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86C1F" w14:textId="77777777" w:rsidR="005E487D" w:rsidRDefault="00756308" w:rsidP="005E48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  <w:lang w:val="sr-Cyrl-CS"/>
        </w:rPr>
        <w:t>ИЗЈ</w:t>
      </w:r>
      <w:r w:rsidR="006B0040">
        <w:rPr>
          <w:b/>
          <w:sz w:val="28"/>
          <w:lang w:val="sr-Cyrl-CS"/>
        </w:rPr>
        <w:t>АВА О УСКЛАЂЕНОСТИ ПРОПИСА</w:t>
      </w:r>
      <w:r w:rsidR="005E487D">
        <w:rPr>
          <w:b/>
          <w:sz w:val="28"/>
          <w:lang w:val="sr-Cyrl-CS"/>
        </w:rPr>
        <w:t xml:space="preserve"> СА ПРОПИСИМА ЕВРОПСКЕ УНИЈЕ</w:t>
      </w:r>
    </w:p>
    <w:p w14:paraId="5BA8AFEF" w14:textId="77777777" w:rsidR="005E487D" w:rsidRDefault="005E487D" w:rsidP="005E487D">
      <w:pPr>
        <w:pStyle w:val="FootnoteText"/>
        <w:rPr>
          <w:lang w:val="sr-Cyrl-CS"/>
        </w:rPr>
      </w:pPr>
    </w:p>
    <w:p w14:paraId="71725962" w14:textId="77777777" w:rsidR="005E487D" w:rsidRPr="004A55C9" w:rsidRDefault="005E487D" w:rsidP="005E487D">
      <w:pPr>
        <w:jc w:val="both"/>
        <w:rPr>
          <w:b/>
          <w:lang w:val="sr-Cyrl-RS"/>
        </w:rPr>
      </w:pPr>
      <w:r>
        <w:rPr>
          <w:b/>
          <w:lang w:val="sr-Cyrl-CS"/>
        </w:rPr>
        <w:t xml:space="preserve">1. </w:t>
      </w:r>
      <w:r w:rsidR="004A55C9">
        <w:rPr>
          <w:b/>
        </w:rPr>
        <w:t>O</w:t>
      </w:r>
      <w:r w:rsidR="004A55C9">
        <w:rPr>
          <w:b/>
          <w:lang w:val="sr-Cyrl-CS"/>
        </w:rPr>
        <w:t>влашћени предлагач прописа</w:t>
      </w:r>
      <w:r w:rsidR="004A55C9">
        <w:rPr>
          <w:b/>
          <w:lang w:val="sr-Cyrl-RS"/>
        </w:rPr>
        <w:t xml:space="preserve">: </w:t>
      </w:r>
      <w:r w:rsidR="004A55C9" w:rsidRPr="004A55C9">
        <w:rPr>
          <w:lang w:val="sr-Cyrl-RS"/>
        </w:rPr>
        <w:t>Влада</w:t>
      </w:r>
    </w:p>
    <w:p w14:paraId="4ADC0494" w14:textId="77777777" w:rsidR="005E487D" w:rsidRDefault="005E487D" w:rsidP="005E487D">
      <w:pPr>
        <w:jc w:val="both"/>
        <w:rPr>
          <w:b/>
          <w:lang w:val="sr-Cyrl-CS"/>
        </w:rPr>
      </w:pPr>
    </w:p>
    <w:p w14:paraId="75A884E5" w14:textId="77777777" w:rsidR="005E487D" w:rsidRDefault="004A55C9" w:rsidP="005E487D">
      <w:pPr>
        <w:jc w:val="both"/>
        <w:rPr>
          <w:lang w:val="sr-Cyrl-CS"/>
        </w:rPr>
      </w:pPr>
      <w:r>
        <w:rPr>
          <w:lang w:val="sr-Cyrl-CS"/>
        </w:rPr>
        <w:t xml:space="preserve">Обрађивач: </w:t>
      </w:r>
      <w:r w:rsidR="005E487D">
        <w:rPr>
          <w:lang w:val="sr-Cyrl-CS"/>
        </w:rPr>
        <w:t xml:space="preserve">Министарство унутрашњих послова </w:t>
      </w:r>
    </w:p>
    <w:p w14:paraId="5CFF2AF1" w14:textId="77777777" w:rsidR="005E487D" w:rsidRDefault="005E487D" w:rsidP="005E487D">
      <w:pPr>
        <w:jc w:val="both"/>
        <w:rPr>
          <w:lang w:val="sr-Cyrl-CS"/>
        </w:rPr>
      </w:pPr>
    </w:p>
    <w:p w14:paraId="441F532A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t>2. Назив прописа</w:t>
      </w:r>
    </w:p>
    <w:p w14:paraId="00C65684" w14:textId="77777777" w:rsidR="005E487D" w:rsidRDefault="004A55C9" w:rsidP="005E487D">
      <w:pPr>
        <w:jc w:val="both"/>
        <w:rPr>
          <w:lang w:val="sr-Cyrl-CS"/>
        </w:rPr>
      </w:pPr>
      <w:r>
        <w:rPr>
          <w:lang w:val="sr-Cyrl-CS"/>
        </w:rPr>
        <w:t xml:space="preserve">Предлог </w:t>
      </w:r>
      <w:r w:rsidR="005E487D">
        <w:rPr>
          <w:lang w:val="sr-Cyrl-CS"/>
        </w:rPr>
        <w:t>закона о изменама и допунама Закона о националном ДНК регистру</w:t>
      </w:r>
    </w:p>
    <w:p w14:paraId="53F1BAC7" w14:textId="77777777" w:rsidR="005E487D" w:rsidRDefault="005E487D" w:rsidP="005E487D">
      <w:pPr>
        <w:jc w:val="both"/>
        <w:rPr>
          <w:lang w:val="sr-Latn-CS"/>
        </w:rPr>
      </w:pPr>
      <w:r>
        <w:rPr>
          <w:lang w:val="sr-Latn-CS"/>
        </w:rPr>
        <w:t>Draft Law on</w:t>
      </w:r>
      <w:r>
        <w:rPr>
          <w:lang w:val="sr-Cyrl-RS"/>
        </w:rPr>
        <w:t xml:space="preserve"> </w:t>
      </w:r>
      <w:r>
        <w:rPr>
          <w:lang w:val="sr-Latn-RS"/>
        </w:rPr>
        <w:t>amandments on Law of</w:t>
      </w:r>
      <w:r>
        <w:rPr>
          <w:lang w:val="sr-Latn-CS"/>
        </w:rPr>
        <w:t xml:space="preserve"> National DNA Database</w:t>
      </w:r>
    </w:p>
    <w:p w14:paraId="7B97404E" w14:textId="77777777" w:rsidR="005E487D" w:rsidRDefault="005E487D" w:rsidP="005E487D">
      <w:pPr>
        <w:jc w:val="both"/>
        <w:rPr>
          <w:lang w:val="sr-Cyrl-CS"/>
        </w:rPr>
      </w:pPr>
    </w:p>
    <w:p w14:paraId="748AD7BC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</w:t>
      </w:r>
    </w:p>
    <w:p w14:paraId="0D833A9D" w14:textId="77777777" w:rsidR="005E487D" w:rsidRDefault="005E487D" w:rsidP="005E487D">
      <w:pPr>
        <w:jc w:val="both"/>
        <w:rPr>
          <w:b/>
          <w:lang w:val="sr-Cyrl-CS"/>
        </w:rPr>
      </w:pPr>
    </w:p>
    <w:p w14:paraId="7E6C617D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t>а) Одредба Споразума која се односе на нормативну саржину прописа</w:t>
      </w:r>
    </w:p>
    <w:p w14:paraId="1EE4EB0E" w14:textId="77777777" w:rsidR="005E487D" w:rsidRDefault="005E487D" w:rsidP="005E487D">
      <w:pPr>
        <w:jc w:val="both"/>
        <w:rPr>
          <w:lang w:val="sr-Cyrl-CS"/>
        </w:rPr>
      </w:pPr>
      <w:r>
        <w:rPr>
          <w:b/>
          <w:lang w:val="sr-Cyrl-CS"/>
        </w:rPr>
        <w:t xml:space="preserve">    </w:t>
      </w:r>
      <w:r>
        <w:rPr>
          <w:lang w:val="sr-Latn-CS"/>
        </w:rPr>
        <w:t xml:space="preserve">VII </w:t>
      </w:r>
      <w:r>
        <w:rPr>
          <w:lang w:val="sr-Cyrl-CS"/>
        </w:rPr>
        <w:t>Правосуђе, слобода и безбедност, члан 86 – Спречавање и борба против организованог криминала и осталих незаконитих активности</w:t>
      </w:r>
    </w:p>
    <w:p w14:paraId="4F1A2844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б) Прелазни рок за усклађивање законодавства према одредбама Споразума  </w:t>
      </w:r>
    </w:p>
    <w:p w14:paraId="39878AAD" w14:textId="77777777" w:rsidR="005E487D" w:rsidRDefault="005E487D" w:rsidP="005E487D">
      <w:pPr>
        <w:jc w:val="both"/>
        <w:rPr>
          <w:b/>
          <w:lang w:val="sr-Cyrl-CS"/>
        </w:rPr>
      </w:pPr>
    </w:p>
    <w:p w14:paraId="1FDFDDC0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в) Оцена испуњености обавезе које произлазе из наведене одредбе Споразума </w:t>
      </w:r>
    </w:p>
    <w:p w14:paraId="6A4ACC7D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t>/</w:t>
      </w:r>
    </w:p>
    <w:p w14:paraId="5293CB06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14:paraId="0AE08970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t>/</w:t>
      </w:r>
    </w:p>
    <w:p w14:paraId="63054283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t>д) Веза са Националним програмом за усвајање правних тековина Европске уније</w:t>
      </w:r>
    </w:p>
    <w:p w14:paraId="5BD5779A" w14:textId="77777777" w:rsidR="005E487D" w:rsidRDefault="005E487D" w:rsidP="005E487D">
      <w:pPr>
        <w:jc w:val="both"/>
        <w:rPr>
          <w:lang w:val="sr-Cyrl-CS"/>
        </w:rPr>
      </w:pPr>
      <w:r>
        <w:rPr>
          <w:lang w:val="sr-Cyrl-CS"/>
        </w:rPr>
        <w:t>Поглавље 3 – Способност преузимања обавеза из чланства у ЕУ, у потпоглављу 3.24. Правда, слобода и безбедност, потпотпоглављу 3.24.6. Полицијска сарадња и борба против организованог криминала.</w:t>
      </w:r>
    </w:p>
    <w:p w14:paraId="275A2AE2" w14:textId="77777777" w:rsidR="0084156E" w:rsidRDefault="00CE5CBC" w:rsidP="0084156E">
      <w:pPr>
        <w:jc w:val="both"/>
        <w:rPr>
          <w:lang w:val="sr-Cyrl-RS"/>
        </w:rPr>
      </w:pPr>
      <w:r>
        <w:rPr>
          <w:lang w:val="sr-Cyrl-RS"/>
        </w:rPr>
        <w:t>Имајући у виду да је</w:t>
      </w:r>
      <w:r w:rsidR="00137280">
        <w:rPr>
          <w:lang w:val="sr-Cyrl-RS"/>
        </w:rPr>
        <w:t xml:space="preserve"> </w:t>
      </w:r>
      <w:r w:rsidR="00137280" w:rsidRPr="00137280">
        <w:rPr>
          <w:lang w:val="sr-Cyrl-CS"/>
        </w:rPr>
        <w:t>Националним програмом за усвајање правних тековина Европске уније</w:t>
      </w:r>
      <w:r w:rsidR="00137280">
        <w:rPr>
          <w:lang w:val="sr-Cyrl-CS"/>
        </w:rPr>
        <w:t>, код планиране активности – Закон о изменама и допунама Закона о националном ДНК регистру (</w:t>
      </w:r>
      <w:r w:rsidR="00137280">
        <w:t xml:space="preserve">IV </w:t>
      </w:r>
      <w:r w:rsidR="00137280">
        <w:rPr>
          <w:lang w:val="sr-Cyrl-RS"/>
        </w:rPr>
        <w:t>квартал 2022. године)</w:t>
      </w:r>
      <w:r>
        <w:rPr>
          <w:lang w:val="sr-Cyrl-RS"/>
        </w:rPr>
        <w:t xml:space="preserve"> предвиђено усклађивање са</w:t>
      </w:r>
      <w:r w:rsidR="00137280">
        <w:rPr>
          <w:lang w:val="sr-Cyrl-RS"/>
        </w:rPr>
        <w:t xml:space="preserve"> прописи</w:t>
      </w:r>
      <w:r>
        <w:rPr>
          <w:lang w:val="sr-Cyrl-RS"/>
        </w:rPr>
        <w:t>ма</w:t>
      </w:r>
      <w:r w:rsidR="00137280">
        <w:rPr>
          <w:lang w:val="sr-Cyrl-RS"/>
        </w:rPr>
        <w:t xml:space="preserve"> ЕУ (</w:t>
      </w:r>
      <w:r w:rsidR="00137280">
        <w:t>Celexi</w:t>
      </w:r>
      <w:r w:rsidR="00F72710">
        <w:t>1</w:t>
      </w:r>
      <w:r>
        <w:rPr>
          <w:lang w:val="sr-Cyrl-RS"/>
        </w:rPr>
        <w:t xml:space="preserve"> </w:t>
      </w:r>
      <w:r w:rsidR="00F72710">
        <w:t>:32019R1020 1:32009G1205(01) 1:32008D0615 1:32001G0703(01)</w:t>
      </w:r>
      <w:r w:rsidR="00137280">
        <w:rPr>
          <w:lang w:val="sr-Cyrl-RS"/>
        </w:rPr>
        <w:t>),</w:t>
      </w:r>
      <w:r>
        <w:rPr>
          <w:lang w:val="sr-Cyrl-RS"/>
        </w:rPr>
        <w:t xml:space="preserve"> указујемо да припремљени нацрт закона не садржи транспоноване одредбе наведених ЕУ прописа. </w:t>
      </w:r>
    </w:p>
    <w:p w14:paraId="492BF512" w14:textId="77777777" w:rsidR="0084156E" w:rsidRDefault="00CE5CBC" w:rsidP="0084156E">
      <w:pPr>
        <w:jc w:val="both"/>
        <w:rPr>
          <w:color w:val="000000" w:themeColor="text1"/>
          <w:lang w:val="sr-Cyrl-RS"/>
        </w:rPr>
      </w:pPr>
      <w:r>
        <w:rPr>
          <w:lang w:val="sr-Cyrl-RS"/>
        </w:rPr>
        <w:t xml:space="preserve">Изменама и допунама Закона о националном ДНК регистру извршено је усклађивање са Законом о заштити података о личности („Службени гласник РС“, број 87/18) и то нарочито у погледу прецизирања сврхе обраде података у националном ДНК регистру, као и разврставања збирки ДНК профила у наведеном регистру, у зависности од фазе кривичног поступка. Такође, изменама и допунама наведеног закона је предвиђено формирање нове базе ДНК профила </w:t>
      </w:r>
      <w:r>
        <w:rPr>
          <w:color w:val="000000" w:themeColor="text1"/>
          <w:lang w:val="sr-Cyrl-RS"/>
        </w:rPr>
        <w:t>утврђених у поступцима за утврђивање чињеница о статусу новорођене деце за коју се сумња да се нестала из породилишта или здравствених установа у Репулици Србији. На овај начин Република Србија испуњава</w:t>
      </w:r>
      <w:r w:rsidR="0084156E">
        <w:rPr>
          <w:color w:val="000000" w:themeColor="text1"/>
          <w:lang w:val="sr-Cyrl-RS"/>
        </w:rPr>
        <w:t xml:space="preserve"> своју обавезу</w:t>
      </w:r>
      <w:r>
        <w:rPr>
          <w:color w:val="000000" w:themeColor="text1"/>
          <w:lang w:val="sr-Cyrl-RS"/>
        </w:rPr>
        <w:t xml:space="preserve"> </w:t>
      </w:r>
      <w:r w:rsidRPr="00DC7CB4">
        <w:rPr>
          <w:color w:val="000000" w:themeColor="text1"/>
          <w:shd w:val="clear" w:color="auto" w:fill="FFFFFF"/>
        </w:rPr>
        <w:t>из пресуде Европског суда за људска права у предмету </w:t>
      </w:r>
      <w:hyperlink r:id="rId6" w:tgtFrame="_blank" w:history="1">
        <w:r w:rsidRPr="0084156E">
          <w:rPr>
            <w:rStyle w:val="Hyperlink"/>
            <w:color w:val="000000" w:themeColor="text1"/>
            <w:u w:val="none"/>
            <w:shd w:val="clear" w:color="auto" w:fill="FFFFFF"/>
          </w:rPr>
          <w:t>Јовановић против Србије</w:t>
        </w:r>
      </w:hyperlink>
      <w:r w:rsidR="0084156E" w:rsidRPr="0084156E">
        <w:rPr>
          <w:color w:val="000000" w:themeColor="text1"/>
          <w:lang w:val="sr-Cyrl-RS"/>
        </w:rPr>
        <w:t>.</w:t>
      </w:r>
      <w:r w:rsidR="0084156E">
        <w:rPr>
          <w:color w:val="000000" w:themeColor="text1"/>
          <w:lang w:val="sr-Cyrl-RS"/>
        </w:rPr>
        <w:t xml:space="preserve"> </w:t>
      </w:r>
    </w:p>
    <w:p w14:paraId="36658CA1" w14:textId="77777777" w:rsidR="00CE5CBC" w:rsidRPr="0084156E" w:rsidRDefault="0084156E" w:rsidP="0084156E">
      <w:pPr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Коначно, извршене су одређене измене закона које представљају</w:t>
      </w:r>
      <w:r w:rsidR="002C2772">
        <w:rPr>
          <w:color w:val="000000" w:themeColor="text1"/>
        </w:rPr>
        <w:t xml:space="preserve"> </w:t>
      </w:r>
      <w:r w:rsidR="002C2772">
        <w:rPr>
          <w:color w:val="000000" w:themeColor="text1"/>
          <w:lang w:val="sr-Cyrl-RS"/>
        </w:rPr>
        <w:t>решења за</w:t>
      </w:r>
      <w:r>
        <w:rPr>
          <w:color w:val="000000" w:themeColor="text1"/>
          <w:lang w:val="sr-Cyrl-RS"/>
        </w:rPr>
        <w:t xml:space="preserve"> уочене недостатке у примени истог (казнене одредбе).</w:t>
      </w:r>
    </w:p>
    <w:p w14:paraId="70D0D533" w14:textId="77777777" w:rsidR="00F72710" w:rsidRPr="00F72710" w:rsidRDefault="00F72710" w:rsidP="005E487D">
      <w:pPr>
        <w:jc w:val="both"/>
        <w:rPr>
          <w:b/>
          <w:lang w:val="sr-Cyrl-RS"/>
        </w:rPr>
      </w:pPr>
    </w:p>
    <w:p w14:paraId="16900821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t>4. Усклађеност прописа са прописима Европске уније</w:t>
      </w:r>
    </w:p>
    <w:p w14:paraId="2E94A48B" w14:textId="77777777" w:rsidR="005E487D" w:rsidRDefault="005E487D" w:rsidP="005E487D">
      <w:pPr>
        <w:jc w:val="both"/>
        <w:rPr>
          <w:lang w:val="sr-Cyrl-CS"/>
        </w:rPr>
      </w:pPr>
    </w:p>
    <w:p w14:paraId="17793813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lastRenderedPageBreak/>
        <w:t xml:space="preserve">а) Навођење одредби примарних извора права ЕУ и усклађеност са њима </w:t>
      </w:r>
    </w:p>
    <w:p w14:paraId="2068E0A2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t>/</w:t>
      </w:r>
    </w:p>
    <w:p w14:paraId="727E7560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t>б) Навођење секундарних извора права ЕУ и оцена усклађености са њима</w:t>
      </w:r>
    </w:p>
    <w:p w14:paraId="7869CB7F" w14:textId="77777777" w:rsidR="005E487D" w:rsidRDefault="005E487D" w:rsidP="005E487D">
      <w:pPr>
        <w:jc w:val="both"/>
        <w:rPr>
          <w:b/>
          <w:lang w:val="sr-Latn-RS"/>
        </w:rPr>
      </w:pPr>
      <w:r>
        <w:rPr>
          <w:bCs/>
          <w:spacing w:val="-9"/>
          <w:lang w:val="sr-Latn-RS"/>
        </w:rPr>
        <w:t>/</w:t>
      </w:r>
    </w:p>
    <w:p w14:paraId="0DB0CF6F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t>в) Навођење осталих извора права ЕУ и усклађенст са њима</w:t>
      </w:r>
    </w:p>
    <w:p w14:paraId="53129862" w14:textId="77777777" w:rsidR="005E487D" w:rsidRDefault="005E487D" w:rsidP="005E487D">
      <w:pPr>
        <w:jc w:val="both"/>
        <w:rPr>
          <w:rFonts w:ascii="Bookman Old Style" w:hAnsi="Bookman Old Style"/>
          <w:bCs/>
          <w:spacing w:val="-9"/>
          <w:lang w:val="sr-Latn-RS"/>
        </w:rPr>
      </w:pPr>
      <w:r>
        <w:rPr>
          <w:rFonts w:ascii="Bookman Old Style" w:hAnsi="Bookman Old Style"/>
          <w:bCs/>
          <w:spacing w:val="-9"/>
          <w:lang w:val="sr-Latn-RS"/>
        </w:rPr>
        <w:t>/</w:t>
      </w:r>
    </w:p>
    <w:p w14:paraId="0B6CD740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t>г) Разлози за делимичну усклађеност, односно неусклађеност</w:t>
      </w:r>
    </w:p>
    <w:p w14:paraId="698A5816" w14:textId="77777777" w:rsidR="005E487D" w:rsidRDefault="005E487D" w:rsidP="005E487D">
      <w:pPr>
        <w:jc w:val="both"/>
        <w:rPr>
          <w:lang w:val="sr-Latn-RS"/>
        </w:rPr>
      </w:pPr>
      <w:r>
        <w:rPr>
          <w:lang w:val="sr-Latn-RS"/>
        </w:rPr>
        <w:t>/</w:t>
      </w:r>
    </w:p>
    <w:p w14:paraId="7B6239C7" w14:textId="77777777" w:rsidR="005E487D" w:rsidRDefault="005E487D" w:rsidP="005E487D">
      <w:pPr>
        <w:jc w:val="both"/>
        <w:rPr>
          <w:b/>
          <w:lang w:val="sr-Latn-RS"/>
        </w:rPr>
      </w:pPr>
      <w:r>
        <w:rPr>
          <w:b/>
          <w:lang w:val="sr-Cyrl-CS"/>
        </w:rPr>
        <w:t>д) Рок у којем је предвиђено постизање потпуне усклађености прописа са прописима Европске уније</w:t>
      </w:r>
    </w:p>
    <w:p w14:paraId="024F75D1" w14:textId="77777777" w:rsidR="005E487D" w:rsidRDefault="005E487D" w:rsidP="005E487D">
      <w:pPr>
        <w:jc w:val="both"/>
        <w:rPr>
          <w:b/>
          <w:lang w:val="sr-Latn-RS"/>
        </w:rPr>
      </w:pPr>
      <w:r>
        <w:rPr>
          <w:b/>
          <w:lang w:val="sr-Latn-RS"/>
        </w:rPr>
        <w:t>/</w:t>
      </w:r>
    </w:p>
    <w:p w14:paraId="3D678368" w14:textId="77777777" w:rsidR="005E487D" w:rsidRDefault="005E487D" w:rsidP="005E487D">
      <w:pPr>
        <w:jc w:val="both"/>
        <w:rPr>
          <w:b/>
          <w:i/>
          <w:lang w:val="sr-Latn-RS"/>
        </w:rPr>
      </w:pPr>
    </w:p>
    <w:p w14:paraId="4728F444" w14:textId="77777777" w:rsidR="005E487D" w:rsidRDefault="005E487D" w:rsidP="005E487D">
      <w:pPr>
        <w:jc w:val="both"/>
        <w:rPr>
          <w:b/>
          <w:lang w:val="ru-RU"/>
        </w:rPr>
      </w:pPr>
      <w:r>
        <w:rPr>
          <w:b/>
          <w:lang w:val="sr-Cyrl-CS"/>
        </w:rPr>
        <w:t>5</w:t>
      </w:r>
      <w:r>
        <w:rPr>
          <w:b/>
          <w:lang w:val="ru-RU"/>
        </w:rPr>
        <w:t>. Уколико не постоје одговарајуће надлежности Европске уније у материји коју регулише пропис и не постоје одговарајући секундарни извори права Европске уније са којима је потребно обезбедити усклађеност, потребно је образложити ту чињеницу. У овом случају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</w:t>
      </w:r>
    </w:p>
    <w:p w14:paraId="092FAA20" w14:textId="77777777" w:rsidR="005E487D" w:rsidRDefault="005E487D" w:rsidP="005E487D">
      <w:pPr>
        <w:jc w:val="both"/>
        <w:rPr>
          <w:b/>
          <w:lang w:val="sr-Cyrl-CS"/>
        </w:rPr>
      </w:pPr>
    </w:p>
    <w:p w14:paraId="049E43CD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t>6</w:t>
      </w:r>
      <w:r>
        <w:rPr>
          <w:b/>
          <w:lang w:val="ru-RU"/>
        </w:rPr>
        <w:t xml:space="preserve">. </w:t>
      </w:r>
      <w:r>
        <w:rPr>
          <w:b/>
          <w:lang w:val="sr-Cyrl-CS"/>
        </w:rPr>
        <w:t xml:space="preserve">Да </w:t>
      </w:r>
      <w:r>
        <w:rPr>
          <w:b/>
          <w:lang w:val="ru-RU"/>
        </w:rPr>
        <w:t>ли</w:t>
      </w:r>
      <w:r>
        <w:rPr>
          <w:b/>
          <w:lang w:val="sr-Cyrl-CS"/>
        </w:rPr>
        <w:t xml:space="preserve"> су претходно</w:t>
      </w:r>
      <w:r>
        <w:rPr>
          <w:b/>
          <w:lang w:val="ru-RU"/>
        </w:rPr>
        <w:t xml:space="preserve"> наведени извори права Европске уније преведени на </w:t>
      </w:r>
      <w:r>
        <w:rPr>
          <w:b/>
          <w:lang w:val="sr-Cyrl-CS"/>
        </w:rPr>
        <w:t>срп</w:t>
      </w:r>
      <w:r>
        <w:rPr>
          <w:b/>
          <w:lang w:val="ru-RU"/>
        </w:rPr>
        <w:t>ски језик?</w:t>
      </w:r>
    </w:p>
    <w:p w14:paraId="469BCF76" w14:textId="77777777" w:rsidR="005E487D" w:rsidRDefault="005E487D" w:rsidP="005E487D">
      <w:pPr>
        <w:jc w:val="both"/>
        <w:rPr>
          <w:lang w:val="sr-Latn-RS"/>
        </w:rPr>
      </w:pPr>
      <w:r>
        <w:rPr>
          <w:lang w:val="sr-Latn-RS"/>
        </w:rPr>
        <w:t>/</w:t>
      </w:r>
    </w:p>
    <w:p w14:paraId="6272C05A" w14:textId="77777777" w:rsidR="005E487D" w:rsidRDefault="005E487D" w:rsidP="005E487D">
      <w:pPr>
        <w:jc w:val="both"/>
        <w:rPr>
          <w:b/>
          <w:lang w:val="sr-Cyrl-CS"/>
        </w:rPr>
      </w:pPr>
    </w:p>
    <w:p w14:paraId="674A1868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t>7. Да ли је пропис преведен на неки службени језик Европске уније?</w:t>
      </w:r>
    </w:p>
    <w:p w14:paraId="20973436" w14:textId="77777777" w:rsidR="005E487D" w:rsidRDefault="005E487D" w:rsidP="005E487D">
      <w:pPr>
        <w:jc w:val="both"/>
        <w:rPr>
          <w:lang w:val="sr-Latn-RS"/>
        </w:rPr>
      </w:pPr>
      <w:r>
        <w:rPr>
          <w:lang w:val="sr-Latn-RS"/>
        </w:rPr>
        <w:t>/</w:t>
      </w:r>
    </w:p>
    <w:p w14:paraId="63BABAB4" w14:textId="77777777" w:rsidR="005E487D" w:rsidRDefault="005E487D" w:rsidP="005E487D">
      <w:pPr>
        <w:jc w:val="both"/>
        <w:rPr>
          <w:b/>
          <w:lang w:val="sr-Cyrl-CS"/>
        </w:rPr>
      </w:pPr>
    </w:p>
    <w:p w14:paraId="0D998959" w14:textId="77777777" w:rsidR="005E487D" w:rsidRDefault="005E487D" w:rsidP="005E487D">
      <w:pPr>
        <w:jc w:val="both"/>
        <w:rPr>
          <w:b/>
          <w:lang w:val="sr-Cyrl-CS"/>
        </w:rPr>
      </w:pPr>
      <w:r>
        <w:rPr>
          <w:b/>
          <w:lang w:val="sr-Cyrl-CS"/>
        </w:rPr>
        <w:t>8. Сарадња са Европском унијом и учешће консултаната у изради прописа и њихово мишљење о усклађености</w:t>
      </w:r>
    </w:p>
    <w:p w14:paraId="5636DBC5" w14:textId="77777777" w:rsidR="004B421D" w:rsidRPr="00E13727" w:rsidRDefault="004B421D" w:rsidP="004B421D">
      <w:pPr>
        <w:pStyle w:val="ListParagraph"/>
        <w:ind w:left="1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lang w:val="sr-Cyrl-RS"/>
        </w:rPr>
        <w:t xml:space="preserve"> </w:t>
      </w:r>
      <w:r w:rsidRPr="00E13727">
        <w:rPr>
          <w:rFonts w:ascii="Times New Roman" w:hAnsi="Times New Roman" w:cs="Times New Roman"/>
          <w:sz w:val="24"/>
          <w:szCs w:val="24"/>
          <w:lang w:val="sr-Cyrl-RS"/>
        </w:rPr>
        <w:t xml:space="preserve">Приликом припреме извршног прописа  - </w:t>
      </w:r>
      <w:r w:rsidRPr="00E13727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r w:rsidRPr="00E13727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редбе </w:t>
      </w:r>
      <w:r w:rsidRPr="00E13727">
        <w:rPr>
          <w:rFonts w:ascii="Times New Roman" w:hAnsi="Times New Roman" w:cs="Times New Roman"/>
          <w:bCs/>
          <w:color w:val="000000"/>
          <w:sz w:val="24"/>
          <w:szCs w:val="24"/>
        </w:rPr>
        <w:t>о начину вођења националног ДНК регистра и ближим условима за размену и преношење података</w:t>
      </w:r>
      <w:r w:rsidRPr="00E13727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, активно је учествовао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у</w:t>
      </w:r>
      <w:r w:rsidRPr="00E13727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оквиру </w:t>
      </w:r>
      <w:r w:rsidRPr="00E1372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TAEX </w:t>
      </w:r>
      <w:r w:rsidRPr="00E13727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програма консултант ЕК. Том приликом је анализиран како Пре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длог уредбе, тако и Закон о националном </w:t>
      </w:r>
      <w:r w:rsidRPr="00E13727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ДНК регистру и Закон о евиденцијама и обради података у области унутрашњих послова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(због рокова чувања података у националном ДНК регистру прописаних тим законом</w:t>
      </w:r>
      <w:r w:rsidRPr="00E13727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, након чега</w:t>
      </w:r>
      <w:r w:rsidRPr="00E13727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је прибављено позитивно мишљење ЕК на Предлог уредбе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и наведене</w:t>
      </w:r>
      <w:r w:rsidRPr="00E13727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законе.</w:t>
      </w:r>
    </w:p>
    <w:p w14:paraId="1199F680" w14:textId="77777777" w:rsidR="004B421D" w:rsidRPr="00E13727" w:rsidRDefault="004B421D" w:rsidP="004B421D">
      <w:pPr>
        <w:pStyle w:val="ListParagraph"/>
        <w:ind w:left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924F7C" w14:textId="77777777" w:rsidR="005E487D" w:rsidRDefault="005E487D" w:rsidP="005E487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</w:t>
      </w:r>
    </w:p>
    <w:p w14:paraId="3A0030B9" w14:textId="77777777" w:rsidR="007608F4" w:rsidRDefault="007608F4"/>
    <w:sectPr w:rsidR="007608F4" w:rsidSect="009731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74723" w14:textId="77777777" w:rsidR="00C00972" w:rsidRDefault="00C00972" w:rsidP="009731C7">
      <w:r>
        <w:separator/>
      </w:r>
    </w:p>
  </w:endnote>
  <w:endnote w:type="continuationSeparator" w:id="0">
    <w:p w14:paraId="60920556" w14:textId="77777777" w:rsidR="00C00972" w:rsidRDefault="00C00972" w:rsidP="00973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B709C" w14:textId="77777777" w:rsidR="009731C7" w:rsidRDefault="009731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1C0C9" w14:textId="77777777" w:rsidR="009731C7" w:rsidRDefault="009731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DA2EC" w14:textId="77777777" w:rsidR="009731C7" w:rsidRDefault="009731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E30FD" w14:textId="77777777" w:rsidR="00C00972" w:rsidRDefault="00C00972" w:rsidP="009731C7">
      <w:r>
        <w:separator/>
      </w:r>
    </w:p>
  </w:footnote>
  <w:footnote w:type="continuationSeparator" w:id="0">
    <w:p w14:paraId="166161FA" w14:textId="77777777" w:rsidR="00C00972" w:rsidRDefault="00C00972" w:rsidP="00973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B5476" w14:textId="77777777" w:rsidR="009731C7" w:rsidRDefault="009731C7" w:rsidP="00F66D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2840177" w14:textId="77777777" w:rsidR="009731C7" w:rsidRDefault="009731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D1C64" w14:textId="77777777" w:rsidR="009731C7" w:rsidRDefault="009731C7" w:rsidP="00F66D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326E4B8" w14:textId="77777777" w:rsidR="009731C7" w:rsidRDefault="009731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131BE" w14:textId="77777777" w:rsidR="009731C7" w:rsidRDefault="009731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87D"/>
    <w:rsid w:val="00037DC2"/>
    <w:rsid w:val="00137280"/>
    <w:rsid w:val="002C2772"/>
    <w:rsid w:val="004A55C9"/>
    <w:rsid w:val="004B421D"/>
    <w:rsid w:val="005E487D"/>
    <w:rsid w:val="006B0040"/>
    <w:rsid w:val="00756308"/>
    <w:rsid w:val="007608F4"/>
    <w:rsid w:val="0084156E"/>
    <w:rsid w:val="008C0E45"/>
    <w:rsid w:val="009731C7"/>
    <w:rsid w:val="00C00972"/>
    <w:rsid w:val="00CE5CBC"/>
    <w:rsid w:val="00F7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42900"/>
  <w15:docId w15:val="{9C699B11-BDA2-4A4B-9D0B-D31C2F2C4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87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fn Char,Footnote Text Char Char Char Char,Footnote Text Char Char Char1,Fußnote Char,Car Car Char,Footnote Text Char Char1 Char,Footnote Text Char1 Char Char Char,Footnote Text Char Char1 Char Char Char,single space Char"/>
    <w:basedOn w:val="DefaultParagraphFont"/>
    <w:link w:val="FootnoteText"/>
    <w:semiHidden/>
    <w:locked/>
    <w:rsid w:val="005E487D"/>
    <w:rPr>
      <w:rFonts w:ascii="Arial" w:eastAsia="Calibri" w:hAnsi="Arial" w:cs="Arial"/>
      <w:sz w:val="20"/>
      <w:szCs w:val="20"/>
    </w:rPr>
  </w:style>
  <w:style w:type="paragraph" w:styleId="FootnoteText">
    <w:name w:val="footnote text"/>
    <w:aliases w:val="fn,Footnote Text Char Char Char,Footnote Text Char Char,Fußnote,Car Car,Footnote Text Char Char1,Footnote Text Char1 Char Char,Footnote Text Char Char1 Char Char,Footnote Text Char Char Char Char Char Char,single space,footnote te"/>
    <w:basedOn w:val="Normal"/>
    <w:link w:val="FootnoteTextChar"/>
    <w:semiHidden/>
    <w:unhideWhenUsed/>
    <w:rsid w:val="005E487D"/>
    <w:rPr>
      <w:rFonts w:ascii="Arial" w:hAnsi="Arial" w:cs="Arial"/>
      <w:sz w:val="20"/>
      <w:szCs w:val="20"/>
      <w:lang w:val="sr-Latn-RS"/>
    </w:rPr>
  </w:style>
  <w:style w:type="character" w:customStyle="1" w:styleId="FootnoteTextChar1">
    <w:name w:val="Footnote Text Char1"/>
    <w:basedOn w:val="DefaultParagraphFont"/>
    <w:uiPriority w:val="99"/>
    <w:semiHidden/>
    <w:rsid w:val="005E487D"/>
    <w:rPr>
      <w:rFonts w:ascii="Times New Roman" w:eastAsia="Calibri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B421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sr-Latn-RS" w:eastAsia="sr-Latn-RS"/>
    </w:rPr>
  </w:style>
  <w:style w:type="character" w:styleId="Hyperlink">
    <w:name w:val="Hyperlink"/>
    <w:basedOn w:val="DefaultParagraphFont"/>
    <w:uiPriority w:val="99"/>
    <w:semiHidden/>
    <w:unhideWhenUsed/>
    <w:rsid w:val="00CE5CB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31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1C7"/>
    <w:rPr>
      <w:rFonts w:ascii="Times New Roman" w:eastAsia="Calibri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731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1C7"/>
    <w:rPr>
      <w:rFonts w:ascii="Times New Roman" w:eastAsia="Calibri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973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7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no-informacioni-sistem.rs/SlGlasnikPortal/viewdoc?uuid=6be567e5-461c-7f5e-257d-208664b2bd74&amp;external=tru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Mileva Zenović</dc:creator>
  <cp:lastModifiedBy>Ivana Vojinović</cp:lastModifiedBy>
  <cp:revision>2</cp:revision>
  <cp:lastPrinted>2023-06-27T11:18:00Z</cp:lastPrinted>
  <dcterms:created xsi:type="dcterms:W3CDTF">2023-09-04T11:39:00Z</dcterms:created>
  <dcterms:modified xsi:type="dcterms:W3CDTF">2023-09-04T11:39:00Z</dcterms:modified>
</cp:coreProperties>
</file>