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1.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rawings/drawing2.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3.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drawings/drawing4.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drawings/drawing5.xml" ContentType="application/vnd.openxmlformats-officedocument.drawingml.chartshapes+xml"/>
  <Override PartName="/word/charts/chart11.xml" ContentType="application/vnd.openxmlformats-officedocument.drawingml.chart+xml"/>
  <Override PartName="/word/drawings/drawing6.xml" ContentType="application/vnd.openxmlformats-officedocument.drawingml.chartshapes+xml"/>
  <Override PartName="/word/charts/chart12.xml" ContentType="application/vnd.openxmlformats-officedocument.drawingml.chart+xml"/>
  <Override PartName="/word/drawings/drawing7.xml" ContentType="application/vnd.openxmlformats-officedocument.drawingml.chartshapes+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drawings/drawing8.xml" ContentType="application/vnd.openxmlformats-officedocument.drawingml.chartshapes+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drawings/drawing9.xml" ContentType="application/vnd.openxmlformats-officedocument.drawingml.chartshapes+xml"/>
  <Override PartName="/word/charts/chart15.xml" ContentType="application/vnd.openxmlformats-officedocument.drawingml.chart+xml"/>
  <Override PartName="/word/drawings/drawing10.xml" ContentType="application/vnd.openxmlformats-officedocument.drawingml.chartshapes+xml"/>
  <Override PartName="/word/charts/chart16.xml" ContentType="application/vnd.openxmlformats-officedocument.drawingml.chart+xml"/>
  <Override PartName="/word/drawings/drawing11.xml" ContentType="application/vnd.openxmlformats-officedocument.drawingml.chartshapes+xml"/>
  <Override PartName="/word/charts/chart17.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4.xml" ContentType="application/vnd.openxmlformats-officedocument.themeOverride+xml"/>
  <Override PartName="/word/charts/chart18.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5.xml" ContentType="application/vnd.openxmlformats-officedocument.themeOverride+xml"/>
  <Override PartName="/word/charts/chart19.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6.xml" ContentType="application/vnd.openxmlformats-officedocument.themeOverride+xml"/>
  <Override PartName="/word/charts/chart20.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7.xml" ContentType="application/vnd.openxmlformats-officedocument.themeOverride+xml"/>
  <Override PartName="/word/charts/chart21.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8.xml" ContentType="application/vnd.openxmlformats-officedocument.themeOverride+xml"/>
  <Override PartName="/word/charts/chart22.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9.xml" ContentType="application/vnd.openxmlformats-officedocument.themeOverride+xml"/>
  <Override PartName="/word/charts/chart23.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0.xml" ContentType="application/vnd.openxmlformats-officedocument.themeOverride+xml"/>
  <Override PartName="/word/charts/chart24.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1.xml" ContentType="application/vnd.openxmlformats-officedocument.themeOverride+xml"/>
  <Override PartName="/word/charts/chart25.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2.xml" ContentType="application/vnd.openxmlformats-officedocument.themeOverride+xml"/>
  <Override PartName="/word/charts/chart26.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13.xml" ContentType="application/vnd.openxmlformats-officedocument.themeOverride+xml"/>
  <Override PartName="/word/charts/chart27.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14.xml" ContentType="application/vnd.openxmlformats-officedocument.themeOverride+xml"/>
  <Override PartName="/word/charts/chart28.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15.xml" ContentType="application/vnd.openxmlformats-officedocument.themeOverride+xml"/>
  <Override PartName="/word/charts/chart29.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16.xml" ContentType="application/vnd.openxmlformats-officedocument.themeOverride+xml"/>
  <Override PartName="/word/charts/chart30.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17.xml" ContentType="application/vnd.openxmlformats-officedocument.themeOverride+xml"/>
  <Override PartName="/word/charts/chart31.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18.xml" ContentType="application/vnd.openxmlformats-officedocument.themeOverride+xml"/>
  <Override PartName="/word/charts/chart32.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19.xml" ContentType="application/vnd.openxmlformats-officedocument.themeOverride+xml"/>
  <Override PartName="/word/charts/chart33.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20.xml" ContentType="application/vnd.openxmlformats-officedocument.themeOverride+xml"/>
  <Override PartName="/word/charts/chart34.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21.xml" ContentType="application/vnd.openxmlformats-officedocument.themeOverride+xml"/>
  <Override PartName="/word/charts/chart35.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22.xml" ContentType="application/vnd.openxmlformats-officedocument.themeOverride+xml"/>
  <Override PartName="/word/charts/chart36.xml" ContentType="application/vnd.openxmlformats-officedocument.drawingml.chart+xml"/>
  <Override PartName="/word/charts/style32.xml" ContentType="application/vnd.ms-office.chartstyle+xml"/>
  <Override PartName="/word/charts/colors32.xml" ContentType="application/vnd.ms-office.chartcolorstyle+xml"/>
  <Override PartName="/word/theme/themeOverride23.xml" ContentType="application/vnd.openxmlformats-officedocument.themeOverride+xml"/>
  <Override PartName="/word/drawings/drawing12.xml" ContentType="application/vnd.openxmlformats-officedocument.drawingml.chartshapes+xml"/>
  <Override PartName="/word/header6.xml" ContentType="application/vnd.openxmlformats-officedocument.wordprocessingml.header+xml"/>
  <Override PartName="/word/footer7.xml" ContentType="application/vnd.openxmlformats-officedocument.wordprocessingml.footer+xml"/>
  <Override PartName="/word/charts/chart37.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24.xml" ContentType="application/vnd.openxmlformats-officedocument.themeOverride+xml"/>
  <Override PartName="/word/drawings/drawing13.xml" ContentType="application/vnd.openxmlformats-officedocument.drawingml.chartshapes+xml"/>
  <Override PartName="/word/charts/chart38.xml" ContentType="application/vnd.openxmlformats-officedocument.drawingml.chart+xml"/>
  <Override PartName="/word/charts/style34.xml" ContentType="application/vnd.ms-office.chartstyle+xml"/>
  <Override PartName="/word/charts/colors34.xml" ContentType="application/vnd.ms-office.chartcolorstyle+xml"/>
  <Override PartName="/word/theme/themeOverride25.xml" ContentType="application/vnd.openxmlformats-officedocument.themeOverride+xml"/>
  <Override PartName="/word/drawings/drawing14.xml" ContentType="application/vnd.openxmlformats-officedocument.drawingml.chartshapes+xml"/>
  <Override PartName="/word/charts/chart39.xml" ContentType="application/vnd.openxmlformats-officedocument.drawingml.chart+xml"/>
  <Override PartName="/word/theme/themeOverride26.xml" ContentType="application/vnd.openxmlformats-officedocument.themeOverride+xml"/>
  <Override PartName="/word/charts/chart40.xml" ContentType="application/vnd.openxmlformats-officedocument.drawingml.chart+xml"/>
  <Override PartName="/word/charts/style35.xml" ContentType="application/vnd.ms-office.chartstyle+xml"/>
  <Override PartName="/word/charts/colors35.xml" ContentType="application/vnd.ms-office.chartcolorstyle+xml"/>
  <Override PartName="/word/theme/themeOverride27.xml" ContentType="application/vnd.openxmlformats-officedocument.themeOverride+xml"/>
  <Override PartName="/word/drawings/drawing15.xml" ContentType="application/vnd.openxmlformats-officedocument.drawingml.chartshapes+xml"/>
  <Override PartName="/word/charts/chart41.xml" ContentType="application/vnd.openxmlformats-officedocument.drawingml.chart+xml"/>
  <Override PartName="/word/theme/themeOverride28.xml" ContentType="application/vnd.openxmlformats-officedocument.themeOverride+xml"/>
  <Override PartName="/word/drawings/drawing16.xml" ContentType="application/vnd.openxmlformats-officedocument.drawingml.chartshapes+xml"/>
  <Override PartName="/word/charts/chart42.xml" ContentType="application/vnd.openxmlformats-officedocument.drawingml.chart+xml"/>
  <Override PartName="/word/charts/style36.xml" ContentType="application/vnd.ms-office.chartstyle+xml"/>
  <Override PartName="/word/charts/colors36.xml" ContentType="application/vnd.ms-office.chartcolorstyle+xml"/>
  <Override PartName="/word/theme/themeOverride29.xml" ContentType="application/vnd.openxmlformats-officedocument.themeOverride+xml"/>
  <Override PartName="/word/charts/chart43.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30.xml" ContentType="application/vnd.openxmlformats-officedocument.themeOverride+xml"/>
  <Override PartName="/word/charts/chart44.xml" ContentType="application/vnd.openxmlformats-officedocument.drawingml.chart+xml"/>
  <Override PartName="/word/charts/style38.xml" ContentType="application/vnd.ms-office.chartstyle+xml"/>
  <Override PartName="/word/charts/colors38.xml" ContentType="application/vnd.ms-office.chartcolorstyle+xml"/>
  <Override PartName="/word/theme/themeOverride31.xml" ContentType="application/vnd.openxmlformats-officedocument.themeOverride+xml"/>
  <Override PartName="/word/charts/chart45.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32.xml" ContentType="application/vnd.openxmlformats-officedocument.themeOverride+xml"/>
  <Override PartName="/word/drawings/drawing17.xml" ContentType="application/vnd.openxmlformats-officedocument.drawingml.chartshapes+xml"/>
  <Override PartName="/word/charts/chart46.xml" ContentType="application/vnd.openxmlformats-officedocument.drawingml.chart+xml"/>
  <Override PartName="/word/charts/style40.xml" ContentType="application/vnd.ms-office.chartstyle+xml"/>
  <Override PartName="/word/charts/colors40.xml" ContentType="application/vnd.ms-office.chartcolorstyle+xml"/>
  <Override PartName="/word/theme/themeOverride33.xml" ContentType="application/vnd.openxmlformats-officedocument.themeOverride+xml"/>
  <Override PartName="/word/drawings/drawing18.xml" ContentType="application/vnd.openxmlformats-officedocument.drawingml.chartshapes+xml"/>
  <Override PartName="/word/charts/chart47.xml" ContentType="application/vnd.openxmlformats-officedocument.drawingml.chart+xml"/>
  <Override PartName="/word/charts/style41.xml" ContentType="application/vnd.ms-office.chartstyle+xml"/>
  <Override PartName="/word/charts/colors41.xml" ContentType="application/vnd.ms-office.chartcolorstyle+xml"/>
  <Override PartName="/word/theme/themeOverride34.xml" ContentType="application/vnd.openxmlformats-officedocument.themeOverride+xml"/>
  <Override PartName="/word/charts/chart48.xml" ContentType="application/vnd.openxmlformats-officedocument.drawingml.chart+xml"/>
  <Override PartName="/word/theme/themeOverride35.xml" ContentType="application/vnd.openxmlformats-officedocument.themeOverride+xml"/>
  <Override PartName="/word/charts/chart49.xml" ContentType="application/vnd.openxmlformats-officedocument.drawingml.chart+xml"/>
  <Override PartName="/word/charts/style42.xml" ContentType="application/vnd.ms-office.chartstyle+xml"/>
  <Override PartName="/word/charts/colors42.xml" ContentType="application/vnd.ms-office.chartcolorstyle+xml"/>
  <Override PartName="/word/theme/themeOverride36.xml" ContentType="application/vnd.openxmlformats-officedocument.themeOverride+xml"/>
  <Override PartName="/word/drawings/drawing19.xml" ContentType="application/vnd.openxmlformats-officedocument.drawingml.chartshapes+xml"/>
  <Override PartName="/word/charts/chart50.xml" ContentType="application/vnd.openxmlformats-officedocument.drawingml.chart+xml"/>
  <Override PartName="/word/charts/style43.xml" ContentType="application/vnd.ms-office.chartstyle+xml"/>
  <Override PartName="/word/charts/colors43.xml" ContentType="application/vnd.ms-office.chartcolorstyle+xml"/>
  <Override PartName="/word/theme/themeOverride37.xml" ContentType="application/vnd.openxmlformats-officedocument.themeOverride+xml"/>
  <Override PartName="/word/drawings/drawing20.xml" ContentType="application/vnd.openxmlformats-officedocument.drawingml.chartshapes+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0.xml" ContentType="application/vnd.openxmlformats-officedocument.wordprocessingml.header+xml"/>
  <Override PartName="/word/charts/chart51.xml" ContentType="application/vnd.openxmlformats-officedocument.drawingml.chart+xml"/>
  <Override PartName="/word/charts/style44.xml" ContentType="application/vnd.ms-office.chartstyle+xml"/>
  <Override PartName="/word/charts/colors44.xml" ContentType="application/vnd.ms-office.chartcolorstyle+xml"/>
  <Override PartName="/word/header21.xml" ContentType="application/vnd.openxmlformats-officedocument.wordprocessingml.header+xml"/>
  <Override PartName="/word/header22.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9.xml" ContentType="application/vnd.openxmlformats-officedocument.wordprocessingml.header+xml"/>
  <Override PartName="/word/charts/chart52.xml" ContentType="application/vnd.openxmlformats-officedocument.drawingml.chart+xml"/>
  <Override PartName="/word/charts/style45.xml" ContentType="application/vnd.ms-office.chartstyle+xml"/>
  <Override PartName="/word/charts/colors45.xml" ContentType="application/vnd.ms-office.chartcolorstyle+xml"/>
  <Override PartName="/word/theme/themeOverride38.xml" ContentType="application/vnd.openxmlformats-officedocument.themeOverride+xml"/>
  <Override PartName="/word/charts/chart53.xml" ContentType="application/vnd.openxmlformats-officedocument.drawingml.chart+xml"/>
  <Override PartName="/word/charts/style46.xml" ContentType="application/vnd.ms-office.chartstyle+xml"/>
  <Override PartName="/word/charts/colors46.xml" ContentType="application/vnd.ms-office.chartcolorstyle+xml"/>
  <Override PartName="/word/theme/themeOverride39.xml" ContentType="application/vnd.openxmlformats-officedocument.themeOverride+xml"/>
  <Override PartName="/word/drawings/drawing21.xml" ContentType="application/vnd.openxmlformats-officedocument.drawingml.chartshapes+xml"/>
  <Override PartName="/word/charts/chart54.xml" ContentType="application/vnd.openxmlformats-officedocument.drawingml.chart+xml"/>
  <Override PartName="/word/charts/style47.xml" ContentType="application/vnd.ms-office.chartstyle+xml"/>
  <Override PartName="/word/charts/colors47.xml" ContentType="application/vnd.ms-office.chartcolorstyle+xml"/>
  <Override PartName="/word/theme/themeOverride40.xml" ContentType="application/vnd.openxmlformats-officedocument.themeOverride+xml"/>
  <Override PartName="/word/drawings/drawing22.xml" ContentType="application/vnd.openxmlformats-officedocument.drawingml.chartshapes+xml"/>
  <Override PartName="/word/header30.xml" ContentType="application/vnd.openxmlformats-officedocument.wordprocessingml.header+xml"/>
  <Override PartName="/word/header31.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6.xml" ContentType="application/vnd.openxmlformats-officedocument.wordprocessingml.header+xml"/>
  <Override PartName="/word/charts/chart55.xml" ContentType="application/vnd.openxmlformats-officedocument.drawingml.chart+xml"/>
  <Override PartName="/word/drawings/drawing23.xml" ContentType="application/vnd.openxmlformats-officedocument.drawingml.chartshapes+xml"/>
  <Override PartName="/word/footer30.xml" ContentType="application/vnd.openxmlformats-officedocument.wordprocessingml.footer+xml"/>
  <Override PartName="/word/footer31.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2.xml" ContentType="application/vnd.openxmlformats-officedocument.wordprocessingml.footer+xml"/>
  <Override PartName="/word/header39.xml" ContentType="application/vnd.openxmlformats-officedocument.wordprocessingml.header+xml"/>
  <Override PartName="/word/footer33.xml" ContentType="application/vnd.openxmlformats-officedocument.wordprocessingml.footer+xml"/>
  <Override PartName="/word/header40.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44.xml" ContentType="application/vnd.openxmlformats-officedocument.wordprocessingml.header+xml"/>
  <Override PartName="/word/charts/chart56.xml" ContentType="application/vnd.openxmlformats-officedocument.drawingml.chart+xml"/>
  <Override PartName="/word/charts/style48.xml" ContentType="application/vnd.ms-office.chartstyle+xml"/>
  <Override PartName="/word/charts/colors48.xml" ContentType="application/vnd.ms-office.chartcolorstyle+xml"/>
  <Override PartName="/word/header45.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8.xml" ContentType="application/vnd.openxmlformats-officedocument.wordprocessingml.header+xml"/>
  <Override PartName="/word/charts/chart57.xml" ContentType="application/vnd.openxmlformats-officedocument.drawingml.chart+xml"/>
  <Override PartName="/word/charts/style49.xml" ContentType="application/vnd.ms-office.chartstyle+xml"/>
  <Override PartName="/word/charts/colors49.xml" ContentType="application/vnd.ms-office.chartcolorstyle+xml"/>
  <Override PartName="/word/drawings/drawing24.xml" ContentType="application/vnd.openxmlformats-officedocument.drawingml.chartshapes+xml"/>
  <Override PartName="/word/charts/chart58.xml" ContentType="application/vnd.openxmlformats-officedocument.drawingml.chart+xml"/>
  <Override PartName="/word/charts/style50.xml" ContentType="application/vnd.ms-office.chartstyle+xml"/>
  <Override PartName="/word/charts/colors50.xml" ContentType="application/vnd.ms-office.chartcolorstyle+xml"/>
  <Override PartName="/word/drawings/drawing25.xml" ContentType="application/vnd.openxmlformats-officedocument.drawingml.chartshapes+xml"/>
  <Override PartName="/word/charts/chart59.xml" ContentType="application/vnd.openxmlformats-officedocument.drawingml.chart+xml"/>
  <Override PartName="/word/theme/themeOverride41.xml" ContentType="application/vnd.openxmlformats-officedocument.themeOverride+xml"/>
  <Override PartName="/word/drawings/drawing26.xml" ContentType="application/vnd.openxmlformats-officedocument.drawingml.chartshapes+xml"/>
  <Override PartName="/word/header49.xml" ContentType="application/vnd.openxmlformats-officedocument.wordprocessingml.header+xml"/>
  <Override PartName="/word/header50.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53.xml" ContentType="application/vnd.openxmlformats-officedocument.wordprocessingml.header+xml"/>
  <Override PartName="/word/charts/chart60.xml" ContentType="application/vnd.openxmlformats-officedocument.drawingml.chart+xml"/>
  <Override PartName="/word/charts/style51.xml" ContentType="application/vnd.ms-office.chartstyle+xml"/>
  <Override PartName="/word/charts/colors51.xml" ContentType="application/vnd.ms-office.chartcolorstyle+xml"/>
  <Override PartName="/word/charts/chart61.xml" ContentType="application/vnd.openxmlformats-officedocument.drawingml.chart+xml"/>
  <Override PartName="/word/charts/style52.xml" ContentType="application/vnd.ms-office.chartstyle+xml"/>
  <Override PartName="/word/charts/colors52.xml" ContentType="application/vnd.ms-office.chartcolorstyle+xml"/>
  <Override PartName="/word/charts/chart62.xml" ContentType="application/vnd.openxmlformats-officedocument.drawingml.chart+xml"/>
  <Override PartName="/word/charts/style53.xml" ContentType="application/vnd.ms-office.chartstyle+xml"/>
  <Override PartName="/word/charts/colors53.xml" ContentType="application/vnd.ms-office.chartcolorstyle+xml"/>
  <Override PartName="/word/drawings/drawing27.xml" ContentType="application/vnd.openxmlformats-officedocument.drawingml.chartshapes+xml"/>
  <Override PartName="/word/header54.xml" ContentType="application/vnd.openxmlformats-officedocument.wordprocessingml.header+xml"/>
  <Override PartName="/word/header55.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62.xml" ContentType="application/vnd.openxmlformats-officedocument.wordprocessingml.header+xml"/>
  <Override PartName="/word/charts/chart63.xml" ContentType="application/vnd.openxmlformats-officedocument.drawingml.chart+xml"/>
  <Override PartName="/word/theme/themeOverride42.xml" ContentType="application/vnd.openxmlformats-officedocument.themeOverride+xml"/>
  <Override PartName="/word/charts/chart64.xml" ContentType="application/vnd.openxmlformats-officedocument.drawingml.chart+xml"/>
  <Override PartName="/word/theme/themeOverride43.xml" ContentType="application/vnd.openxmlformats-officedocument.themeOverride+xml"/>
  <Override PartName="/word/charts/chart65.xml" ContentType="application/vnd.openxmlformats-officedocument.drawingml.chart+xml"/>
  <Override PartName="/word/theme/themeOverride44.xml" ContentType="application/vnd.openxmlformats-officedocument.themeOverride+xml"/>
  <Override PartName="/word/charts/chart66.xml" ContentType="application/vnd.openxmlformats-officedocument.drawingml.chart+xml"/>
  <Override PartName="/word/theme/themeOverride45.xml" ContentType="application/vnd.openxmlformats-officedocument.themeOverride+xml"/>
  <Override PartName="/word/charts/chart67.xml" ContentType="application/vnd.openxmlformats-officedocument.drawingml.chart+xml"/>
  <Override PartName="/word/charts/chart68.xml" ContentType="application/vnd.openxmlformats-officedocument.drawingml.chart+xml"/>
  <Override PartName="/word/charts/style54.xml" ContentType="application/vnd.ms-office.chartstyle+xml"/>
  <Override PartName="/word/charts/colors54.xml" ContentType="application/vnd.ms-office.chartcolorstyle+xml"/>
  <Override PartName="/word/header63.xml" ContentType="application/vnd.openxmlformats-officedocument.wordprocessingml.header+xml"/>
  <Override PartName="/word/header64.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54.xml" ContentType="application/vnd.openxmlformats-officedocument.wordprocessingml.footer+xml"/>
  <Override PartName="/word/footer55.xml" ContentType="application/vnd.openxmlformats-officedocument.wordprocessingml.footer+xml"/>
  <Override PartName="/word/header68.xml" ContentType="application/vnd.openxmlformats-officedocument.wordprocessingml.header+xml"/>
  <Override PartName="/word/footer5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30CA7E" w14:textId="257A7875" w:rsidR="006F6A0B" w:rsidRPr="0007074F" w:rsidRDefault="006F6A0B" w:rsidP="003C3685">
      <w:pPr>
        <w:spacing w:before="240"/>
        <w:ind w:firstLine="720"/>
        <w:rPr>
          <w:rFonts w:cstheme="minorHAnsi"/>
          <w:sz w:val="48"/>
          <w:szCs w:val="64"/>
          <w:lang w:val="sr-Cyrl-CS"/>
        </w:rPr>
      </w:pPr>
      <w:r w:rsidRPr="0007074F">
        <w:rPr>
          <w:rFonts w:ascii="Calibri" w:eastAsia="Calibri" w:hAnsi="Calibri" w:cs="Calibri"/>
          <w:bCs/>
          <w:szCs w:val="72"/>
          <w:lang w:val="sr-Cyrl-CS"/>
        </w:rPr>
        <w:t xml:space="preserve">На основу члана 27в став 1. и члана 31. став 1. </w:t>
      </w:r>
      <w:r w:rsidR="00212AA8" w:rsidRPr="0007074F">
        <w:rPr>
          <w:rFonts w:ascii="Calibri" w:eastAsia="Calibri" w:hAnsi="Calibri" w:cs="Calibri"/>
          <w:bCs/>
          <w:szCs w:val="72"/>
          <w:lang w:val="sr-Cyrl-CS"/>
        </w:rPr>
        <w:t xml:space="preserve">тачка 1) </w:t>
      </w:r>
      <w:r w:rsidR="005756EA" w:rsidRPr="0007074F">
        <w:rPr>
          <w:rFonts w:ascii="Calibri" w:eastAsia="Calibri" w:hAnsi="Calibri" w:cs="Calibri"/>
          <w:bCs/>
          <w:szCs w:val="72"/>
          <w:lang w:val="sr-Cyrl-CS"/>
        </w:rPr>
        <w:t xml:space="preserve">подтачка (7) </w:t>
      </w:r>
      <w:r w:rsidRPr="0007074F">
        <w:rPr>
          <w:rFonts w:ascii="Calibri" w:eastAsia="Calibri" w:hAnsi="Calibri" w:cs="Calibri"/>
          <w:bCs/>
          <w:szCs w:val="72"/>
          <w:lang w:val="sr-Cyrl-CS"/>
        </w:rPr>
        <w:t>Закона о буџетском систему („Службени гласник РС”, бр. 54/09, 73/10, 101/10, 101/11, 93/12, 62/13, 63/13 – исправка, 108/13, 142/14, 68/15 – др. закон, 103/15, 99/16, 113/17, 95/18, 31/19, 72/19, 149/20, 118/21</w:t>
      </w:r>
      <w:r w:rsidR="008E0A5F" w:rsidRPr="0007074F">
        <w:rPr>
          <w:rFonts w:ascii="Calibri" w:eastAsia="Calibri" w:hAnsi="Calibri" w:cs="Calibri"/>
          <w:bCs/>
          <w:szCs w:val="72"/>
          <w:lang w:val="sr-Cyrl-CS"/>
        </w:rPr>
        <w:t>,</w:t>
      </w:r>
      <w:r w:rsidRPr="0007074F">
        <w:rPr>
          <w:rFonts w:ascii="Calibri" w:eastAsia="Calibri" w:hAnsi="Calibri" w:cs="Calibri"/>
          <w:bCs/>
          <w:szCs w:val="72"/>
          <w:lang w:val="sr-Cyrl-CS"/>
        </w:rPr>
        <w:t xml:space="preserve"> 118/21 – др. </w:t>
      </w:r>
      <w:r w:rsidR="008E0A5F" w:rsidRPr="0007074F">
        <w:rPr>
          <w:rFonts w:ascii="Calibri" w:eastAsia="Calibri" w:hAnsi="Calibri" w:cs="Calibri"/>
          <w:bCs/>
          <w:szCs w:val="72"/>
          <w:lang w:val="sr-Cyrl-CS"/>
        </w:rPr>
        <w:t>закон и 138/22</w:t>
      </w:r>
      <w:r w:rsidRPr="0007074F">
        <w:rPr>
          <w:rFonts w:ascii="Calibri" w:eastAsia="Calibri" w:hAnsi="Calibri" w:cs="Calibri"/>
          <w:bCs/>
          <w:szCs w:val="72"/>
          <w:lang w:val="sr-Cyrl-CS"/>
        </w:rPr>
        <w:t>)</w:t>
      </w:r>
      <w:r w:rsidRPr="0007074F">
        <w:rPr>
          <w:rFonts w:cstheme="minorHAnsi"/>
          <w:bCs/>
          <w:szCs w:val="72"/>
          <w:lang w:val="sr-Cyrl-CS"/>
        </w:rPr>
        <w:t>,</w:t>
      </w:r>
    </w:p>
    <w:p w14:paraId="6CD5367C" w14:textId="77777777" w:rsidR="006F6A0B" w:rsidRPr="0007074F" w:rsidRDefault="006F6A0B" w:rsidP="003C3685">
      <w:pPr>
        <w:ind w:firstLine="720"/>
        <w:rPr>
          <w:rFonts w:cstheme="minorHAnsi"/>
          <w:bCs/>
          <w:szCs w:val="72"/>
          <w:lang w:val="sr-Cyrl-CS"/>
        </w:rPr>
      </w:pPr>
      <w:r w:rsidRPr="0007074F">
        <w:rPr>
          <w:rFonts w:cstheme="minorHAnsi"/>
          <w:bCs/>
          <w:szCs w:val="72"/>
          <w:lang w:val="sr-Cyrl-CS"/>
        </w:rPr>
        <w:t>Влада усваја</w:t>
      </w:r>
    </w:p>
    <w:p w14:paraId="4A9836C5" w14:textId="77777777" w:rsidR="006F6A0B" w:rsidRPr="0007074F" w:rsidRDefault="006F6A0B" w:rsidP="008420D4">
      <w:pPr>
        <w:spacing w:after="0" w:line="240" w:lineRule="auto"/>
        <w:jc w:val="center"/>
        <w:rPr>
          <w:rFonts w:cstheme="minorHAnsi"/>
          <w:b/>
          <w:bCs/>
          <w:sz w:val="26"/>
          <w:szCs w:val="26"/>
          <w:lang w:val="sr-Cyrl-CS"/>
        </w:rPr>
      </w:pPr>
      <w:r w:rsidRPr="0007074F">
        <w:rPr>
          <w:rFonts w:cstheme="minorHAnsi"/>
          <w:b/>
          <w:bCs/>
          <w:sz w:val="26"/>
          <w:szCs w:val="26"/>
          <w:lang w:val="sr-Cyrl-CS"/>
        </w:rPr>
        <w:t>ФИСКАЛНУ СТРАТЕГИЈУ</w:t>
      </w:r>
    </w:p>
    <w:p w14:paraId="4C7A09FE" w14:textId="77777777" w:rsidR="006F6A0B" w:rsidRPr="0007074F" w:rsidRDefault="006F6A0B" w:rsidP="008420D4">
      <w:pPr>
        <w:spacing w:after="0" w:line="240" w:lineRule="auto"/>
        <w:jc w:val="center"/>
        <w:rPr>
          <w:rFonts w:cstheme="minorHAnsi"/>
          <w:b/>
          <w:bCs/>
          <w:sz w:val="26"/>
          <w:szCs w:val="26"/>
          <w:lang w:val="sr-Cyrl-CS"/>
        </w:rPr>
      </w:pPr>
      <w:r w:rsidRPr="0007074F">
        <w:rPr>
          <w:rFonts w:cstheme="minorHAnsi"/>
          <w:b/>
          <w:bCs/>
          <w:sz w:val="26"/>
          <w:szCs w:val="26"/>
          <w:lang w:val="sr-Cyrl-CS"/>
        </w:rPr>
        <w:t>ЗА 2024. ГОДИНУ СА ПРОЈЕКЦИЈАМА ЗА 2025. И 2026. ГОДИНУ</w:t>
      </w:r>
    </w:p>
    <w:p w14:paraId="00DE3ABB" w14:textId="77777777" w:rsidR="006F6A0B" w:rsidRPr="0007074F" w:rsidRDefault="006F6A0B" w:rsidP="008420D4">
      <w:pPr>
        <w:spacing w:after="0" w:line="240" w:lineRule="auto"/>
        <w:jc w:val="center"/>
        <w:rPr>
          <w:rFonts w:cstheme="minorHAnsi"/>
          <w:b/>
          <w:bCs/>
          <w:sz w:val="24"/>
          <w:szCs w:val="72"/>
          <w:lang w:val="sr-Cyrl-CS"/>
        </w:rPr>
      </w:pPr>
    </w:p>
    <w:p w14:paraId="687FC929" w14:textId="77777777" w:rsidR="006F6A0B" w:rsidRPr="0007074F" w:rsidRDefault="006F6A0B" w:rsidP="00D20C27">
      <w:pPr>
        <w:pStyle w:val="Heading1"/>
        <w:jc w:val="center"/>
        <w:rPr>
          <w:rFonts w:asciiTheme="minorHAnsi" w:hAnsiTheme="minorHAnsi" w:cstheme="minorHAnsi"/>
          <w:b/>
          <w:sz w:val="26"/>
          <w:szCs w:val="26"/>
          <w:lang w:val="sr-Cyrl-CS"/>
        </w:rPr>
      </w:pPr>
      <w:bookmarkStart w:id="0" w:name="_Toc119654139"/>
      <w:bookmarkStart w:id="1" w:name="_Toc135994495"/>
      <w:r w:rsidRPr="0007074F">
        <w:rPr>
          <w:rFonts w:asciiTheme="minorHAnsi" w:hAnsiTheme="minorHAnsi" w:cstheme="minorHAnsi"/>
          <w:b/>
          <w:sz w:val="26"/>
          <w:szCs w:val="26"/>
          <w:lang w:val="sr-Cyrl-CS"/>
        </w:rPr>
        <w:t>I. МАКРОЕКОНОМСКИ ОКВИР ЗА ПЕРИОД ОД 2024. ДО 2026. ГОДИНЕ</w:t>
      </w:r>
      <w:bookmarkEnd w:id="0"/>
      <w:bookmarkEnd w:id="1"/>
    </w:p>
    <w:p w14:paraId="095510B3" w14:textId="77777777" w:rsidR="006F6A0B" w:rsidRPr="0007074F" w:rsidRDefault="006F6A0B" w:rsidP="00087CD9">
      <w:pPr>
        <w:spacing w:after="120"/>
        <w:jc w:val="center"/>
        <w:rPr>
          <w:rFonts w:cstheme="minorHAnsi"/>
          <w:color w:val="2F5496" w:themeColor="accent1" w:themeShade="BF"/>
          <w:sz w:val="18"/>
          <w:lang w:val="sr-Cyrl-CS"/>
        </w:rPr>
      </w:pPr>
    </w:p>
    <w:p w14:paraId="1F6E6A10" w14:textId="77777777" w:rsidR="006F6A0B" w:rsidRPr="0007074F" w:rsidRDefault="006F6A0B" w:rsidP="00D20C27">
      <w:pPr>
        <w:pStyle w:val="Heading2"/>
        <w:jc w:val="center"/>
        <w:rPr>
          <w:rFonts w:asciiTheme="minorHAnsi" w:hAnsiTheme="minorHAnsi" w:cstheme="minorHAnsi"/>
          <w:b/>
          <w:sz w:val="24"/>
          <w:lang w:val="sr-Cyrl-CS"/>
        </w:rPr>
      </w:pPr>
      <w:bookmarkStart w:id="2" w:name="_Toc119654140"/>
      <w:bookmarkStart w:id="3" w:name="_Toc135994496"/>
      <w:r w:rsidRPr="0007074F">
        <w:rPr>
          <w:rFonts w:asciiTheme="minorHAnsi" w:hAnsiTheme="minorHAnsi" w:cstheme="minorHAnsi"/>
          <w:b/>
          <w:sz w:val="22"/>
          <w:lang w:val="sr-Cyrl-CS"/>
        </w:rPr>
        <w:t xml:space="preserve">1. </w:t>
      </w:r>
      <w:r w:rsidRPr="0007074F">
        <w:rPr>
          <w:rFonts w:asciiTheme="minorHAnsi" w:hAnsiTheme="minorHAnsi" w:cstheme="minorHAnsi"/>
          <w:b/>
          <w:sz w:val="24"/>
          <w:lang w:val="sr-Cyrl-CS"/>
        </w:rPr>
        <w:t>Општи оквир и главни циљеви и смернице економске политике</w:t>
      </w:r>
      <w:bookmarkEnd w:id="2"/>
      <w:bookmarkEnd w:id="3"/>
    </w:p>
    <w:p w14:paraId="250A2D20" w14:textId="6E2A07AB" w:rsidR="006F6A0B" w:rsidRPr="0007074F" w:rsidRDefault="006F6A0B" w:rsidP="002D6E55">
      <w:pPr>
        <w:rPr>
          <w:rFonts w:cstheme="minorHAnsi"/>
          <w:color w:val="auto"/>
          <w:sz w:val="18"/>
          <w:highlight w:val="darkGray"/>
          <w:lang w:val="sr-Cyrl-CS"/>
        </w:rPr>
      </w:pPr>
    </w:p>
    <w:p w14:paraId="5D7515F8" w14:textId="77777777" w:rsidR="006F6A0B" w:rsidRPr="0007074F" w:rsidRDefault="006F6A0B" w:rsidP="002D6E55">
      <w:pPr>
        <w:rPr>
          <w:rFonts w:cstheme="minorHAnsi"/>
          <w:color w:val="auto"/>
          <w:sz w:val="18"/>
          <w:highlight w:val="darkGray"/>
          <w:lang w:val="sr-Cyrl-CS"/>
        </w:rPr>
        <w:sectPr w:rsidR="006F6A0B" w:rsidRPr="0007074F" w:rsidSect="00766A90">
          <w:headerReference w:type="default" r:id="rId8"/>
          <w:footerReference w:type="default" r:id="rId9"/>
          <w:headerReference w:type="first" r:id="rId10"/>
          <w:pgSz w:w="12240" w:h="15840" w:code="1"/>
          <w:pgMar w:top="1440" w:right="1440" w:bottom="1440" w:left="1440" w:header="720" w:footer="720" w:gutter="0"/>
          <w:pgNumType w:start="1"/>
          <w:cols w:space="720"/>
          <w:titlePg/>
          <w:docGrid w:linePitch="360"/>
        </w:sectPr>
      </w:pPr>
    </w:p>
    <w:p w14:paraId="5C0A790A" w14:textId="0D1A0803" w:rsidR="006F6A0B" w:rsidRPr="0007074F" w:rsidRDefault="006F6A0B" w:rsidP="002D6E55">
      <w:pPr>
        <w:rPr>
          <w:rFonts w:ascii="Calibri" w:eastAsia="Calibri" w:hAnsi="Calibri" w:cs="Calibri"/>
          <w:bCs/>
          <w:color w:val="0070C0"/>
          <w:szCs w:val="72"/>
          <w:lang w:val="sr-Cyrl-CS"/>
        </w:rPr>
      </w:pPr>
      <w:r w:rsidRPr="0007074F">
        <w:rPr>
          <w:rFonts w:ascii="Calibri" w:eastAsia="Calibri" w:hAnsi="Calibri" w:cs="Calibri"/>
          <w:b/>
          <w:bCs/>
          <w:color w:val="0070C0"/>
          <w:szCs w:val="72"/>
          <w:lang w:val="sr-Cyrl-CS"/>
        </w:rPr>
        <w:t>Привредна активност у Србији показала је довољну отпорност, имајући у виду проблеме и неизвесности са којима је суочена.</w:t>
      </w:r>
      <w:r w:rsidRPr="0007074F">
        <w:rPr>
          <w:rFonts w:ascii="Calibri" w:eastAsia="Calibri" w:hAnsi="Calibri" w:cs="Calibri"/>
          <w:bCs/>
          <w:color w:val="0070C0"/>
          <w:szCs w:val="72"/>
          <w:lang w:val="sr-Cyrl-CS"/>
        </w:rPr>
        <w:t xml:space="preserve"> У протеклих, више од годину дана, економија је погођена високим ценама хране и енергената, падом у домаћој производњи електричне енергије, слабијим растом најзначајнијих трговинских партнера и пооштравањем услова финансирања. Раст</w:t>
      </w:r>
      <w:r w:rsidR="008B113D" w:rsidRPr="0007074F">
        <w:rPr>
          <w:rFonts w:ascii="Calibri" w:eastAsia="Calibri" w:hAnsi="Calibri" w:cs="Calibri"/>
          <w:bCs/>
          <w:color w:val="0070C0"/>
          <w:szCs w:val="72"/>
          <w:lang w:val="sr-Cyrl-CS"/>
        </w:rPr>
        <w:t xml:space="preserve"> бруто домаћег производа (у даљем тексту:</w:t>
      </w:r>
      <w:r w:rsidRPr="0007074F">
        <w:rPr>
          <w:rFonts w:ascii="Calibri" w:eastAsia="Calibri" w:hAnsi="Calibri" w:cs="Calibri"/>
          <w:bCs/>
          <w:color w:val="0070C0"/>
          <w:szCs w:val="72"/>
          <w:lang w:val="sr-Cyrl-CS"/>
        </w:rPr>
        <w:t xml:space="preserve"> БДП</w:t>
      </w:r>
      <w:r w:rsidR="008B113D" w:rsidRPr="0007074F">
        <w:rPr>
          <w:rFonts w:ascii="Calibri" w:eastAsia="Calibri" w:hAnsi="Calibri" w:cs="Calibri"/>
          <w:bCs/>
          <w:color w:val="0070C0"/>
          <w:szCs w:val="72"/>
          <w:lang w:val="sr-Cyrl-CS"/>
        </w:rPr>
        <w:t>)</w:t>
      </w:r>
      <w:r w:rsidRPr="0007074F">
        <w:rPr>
          <w:rFonts w:ascii="Calibri" w:eastAsia="Calibri" w:hAnsi="Calibri" w:cs="Calibri"/>
          <w:bCs/>
          <w:color w:val="0070C0"/>
          <w:szCs w:val="72"/>
          <w:lang w:val="sr-Cyrl-CS"/>
        </w:rPr>
        <w:t xml:space="preserve"> у 2022. години износио је 2,3%, док се у 2023. години очекује раст од 2,5%, имајући у виду и даље присутне отежане околности пословања. У средњем року, предвиђа се опоравак. Пројектована стопа раста у 2024. години износи 3,5%, а затим се очекује повратак на путању потенцијалног раста од преко 4% на крају посматраног периода.</w:t>
      </w:r>
    </w:p>
    <w:p w14:paraId="18D26866" w14:textId="77777777" w:rsidR="006F6A0B" w:rsidRPr="0007074F" w:rsidRDefault="006F6A0B" w:rsidP="002D6E55">
      <w:pPr>
        <w:rPr>
          <w:rFonts w:ascii="Calibri" w:eastAsia="Calibri" w:hAnsi="Calibri" w:cs="Calibri"/>
          <w:bCs/>
          <w:color w:val="0070C0"/>
          <w:szCs w:val="72"/>
          <w:lang w:val="sr-Cyrl-CS"/>
        </w:rPr>
      </w:pPr>
      <w:r w:rsidRPr="0007074F">
        <w:rPr>
          <w:rFonts w:ascii="Calibri" w:eastAsia="Calibri" w:hAnsi="Calibri" w:cs="Calibri"/>
          <w:b/>
          <w:bCs/>
          <w:color w:val="0070C0"/>
          <w:szCs w:val="72"/>
          <w:lang w:val="sr-Cyrl-CS"/>
        </w:rPr>
        <w:t>Привреда Србије, као и других земаља у окружењу и на сличном нивоу привредног развоја, под утицајем је бројних неизвесности.</w:t>
      </w:r>
      <w:r w:rsidRPr="0007074F">
        <w:rPr>
          <w:rFonts w:ascii="Calibri" w:eastAsia="Calibri" w:hAnsi="Calibri" w:cs="Calibri"/>
          <w:bCs/>
          <w:color w:val="0070C0"/>
          <w:szCs w:val="72"/>
          <w:lang w:val="sr-Cyrl-CS"/>
        </w:rPr>
        <w:t xml:space="preserve"> Неизвесност економских изгледа последица је даљег развоја геополитичких околности, ситуације у енергетском сектору, изгледа за раст најзначајнијих економских партнера, инфлације и неповољних услова на међународном финансијском тржишту.</w:t>
      </w:r>
    </w:p>
    <w:p w14:paraId="5AFBDCE1" w14:textId="77777777" w:rsidR="006F6A0B" w:rsidRPr="0007074F" w:rsidRDefault="006F6A0B" w:rsidP="002D6E55">
      <w:pPr>
        <w:rPr>
          <w:rFonts w:ascii="Calibri" w:eastAsia="Calibri" w:hAnsi="Calibri" w:cs="Calibri"/>
          <w:bCs/>
          <w:color w:val="0070C0"/>
          <w:szCs w:val="72"/>
          <w:lang w:val="sr-Cyrl-CS"/>
        </w:rPr>
      </w:pPr>
      <w:r w:rsidRPr="0007074F">
        <w:rPr>
          <w:rFonts w:ascii="Calibri" w:eastAsia="Calibri" w:hAnsi="Calibri" w:cs="Calibri"/>
          <w:b/>
          <w:bCs/>
          <w:color w:val="0070C0"/>
          <w:szCs w:val="72"/>
          <w:lang w:val="sr-Cyrl-CS"/>
        </w:rPr>
        <w:t>Макроекономске политике у наредном периоду морају бити довољно чврсте, у циљу обуздавања инфлације као приоритетног задатка.</w:t>
      </w:r>
      <w:r w:rsidRPr="0007074F">
        <w:rPr>
          <w:rFonts w:ascii="Calibri" w:eastAsia="Calibri" w:hAnsi="Calibri" w:cs="Calibri"/>
          <w:bCs/>
          <w:color w:val="0070C0"/>
          <w:szCs w:val="72"/>
          <w:lang w:val="sr-Cyrl-CS"/>
        </w:rPr>
        <w:t xml:space="preserve"> Пооштравање монетарне политике је оправдано и одговарајуће, док фискална политика даје </w:t>
      </w:r>
      <w:r w:rsidRPr="0007074F">
        <w:rPr>
          <w:rFonts w:ascii="Calibri" w:eastAsia="Calibri" w:hAnsi="Calibri" w:cs="Calibri"/>
          <w:bCs/>
          <w:color w:val="0070C0"/>
          <w:szCs w:val="72"/>
          <w:lang w:val="sr-Cyrl-CS"/>
        </w:rPr>
        <w:t>допринос и подршку у смањењу инфлације. Остварени дефицит у 2022. години нижи је од предвиђеног, док је у 2023. години планирани дефицит (до 3%) конзистентан са потребним заокретом економске политике у циљу обуздавања инфлације и стварања резерви као одговор на високу неизвесност. Фискалне мере помогле су у смањењу утицаја енергетске кризе на потрошаче и привреднике. Ипак, широко постављене мере у наредном периоду, морају се ограничити. Фокус фискалне политике је постепена и умерена консолидација, док се посебно циљаним мерама наставља подршка енергетски угроженим домаћинствима и предузећима уз наставак инвестиционе активности државе у инфраструктуру и јачање капиталних улагања у сектор енергетике.</w:t>
      </w:r>
    </w:p>
    <w:p w14:paraId="379E2B09" w14:textId="0B935837" w:rsidR="006F6A0B" w:rsidRPr="0007074F" w:rsidRDefault="006F6A0B" w:rsidP="00D75319">
      <w:pPr>
        <w:spacing w:after="0"/>
        <w:rPr>
          <w:rFonts w:ascii="Calibri" w:eastAsia="Calibri" w:hAnsi="Calibri" w:cs="Calibri"/>
          <w:bCs/>
          <w:color w:val="0070C0"/>
          <w:szCs w:val="72"/>
          <w:lang w:val="sr-Cyrl-CS"/>
        </w:rPr>
        <w:sectPr w:rsidR="006F6A0B" w:rsidRPr="0007074F" w:rsidSect="006F6A0B">
          <w:type w:val="continuous"/>
          <w:pgSz w:w="12240" w:h="15840" w:code="1"/>
          <w:pgMar w:top="1440" w:right="1440" w:bottom="1440" w:left="1440" w:header="720" w:footer="720" w:gutter="0"/>
          <w:pgNumType w:start="1"/>
          <w:cols w:num="2" w:space="720"/>
          <w:titlePg/>
          <w:docGrid w:linePitch="360"/>
        </w:sectPr>
      </w:pPr>
      <w:r w:rsidRPr="0007074F">
        <w:rPr>
          <w:rFonts w:ascii="Calibri" w:eastAsia="Calibri" w:hAnsi="Calibri" w:cs="Calibri"/>
          <w:b/>
          <w:bCs/>
          <w:color w:val="0070C0"/>
          <w:szCs w:val="72"/>
          <w:lang w:val="sr-Cyrl-CS"/>
        </w:rPr>
        <w:t>Окосницу одрживе фискалне политике у средњем року чини нови сет фискалних правила која представљају довољну гаранцију за стабилизацију и одрживу путању дефицита и дуга.</w:t>
      </w:r>
      <w:r w:rsidRPr="0007074F">
        <w:rPr>
          <w:rFonts w:ascii="Calibri" w:eastAsia="Calibri" w:hAnsi="Calibri" w:cs="Calibri"/>
          <w:bCs/>
          <w:color w:val="0070C0"/>
          <w:szCs w:val="72"/>
          <w:lang w:val="sr-Cyrl-CS"/>
        </w:rPr>
        <w:t xml:space="preserve"> Фискална правила којом се најзначајније категорије јавних расхода (плате и пензије) држе под контролом, на снази су већ од 2023. године. Пуна примена општих фискалних правила која ограничавају дефицит сектора државе, у односу на достигнути ниво дуга, предвиђена је за 2025. годину. До тада, усклађеност са потребним смањењем дефицита и дуга обезбеђена је Фискалном стратегијом Владе Републике Србије и подржана Аран</w:t>
      </w:r>
      <w:r w:rsidR="00210270" w:rsidRPr="0007074F">
        <w:rPr>
          <w:rFonts w:ascii="Calibri" w:eastAsia="Calibri" w:hAnsi="Calibri" w:cs="Calibri"/>
          <w:bCs/>
          <w:color w:val="0070C0"/>
          <w:szCs w:val="72"/>
          <w:lang w:val="sr-Cyrl-CS"/>
        </w:rPr>
        <w:t>жманом са Међународним монетарним фондом (у даљем тексту: ММФ)</w:t>
      </w:r>
      <w:bookmarkStart w:id="4" w:name="_Toc73364963"/>
      <w:bookmarkEnd w:id="4"/>
      <w:r w:rsidR="004B61AD" w:rsidRPr="0007074F">
        <w:rPr>
          <w:rFonts w:ascii="Calibri" w:eastAsia="Calibri" w:hAnsi="Calibri" w:cs="Calibri"/>
          <w:bCs/>
          <w:color w:val="0070C0"/>
          <w:szCs w:val="72"/>
          <w:lang w:val="sr-Cyrl-CS"/>
        </w:rPr>
        <w:t>.</w:t>
      </w:r>
    </w:p>
    <w:p w14:paraId="27D81533" w14:textId="77777777" w:rsidR="00907B95" w:rsidRPr="0007074F" w:rsidRDefault="00907B95" w:rsidP="002D6E55">
      <w:pPr>
        <w:pStyle w:val="Heading2"/>
        <w:jc w:val="center"/>
        <w:rPr>
          <w:rFonts w:asciiTheme="minorHAnsi" w:hAnsiTheme="minorHAnsi" w:cstheme="minorHAnsi"/>
          <w:b/>
          <w:bCs/>
          <w:color w:val="2F5496"/>
          <w:sz w:val="24"/>
          <w:lang w:val="sr-Cyrl-CS"/>
        </w:rPr>
      </w:pPr>
      <w:bookmarkStart w:id="5" w:name="_Toc119654141"/>
      <w:bookmarkStart w:id="6" w:name="_Toc135994497"/>
      <w:r w:rsidRPr="0007074F">
        <w:rPr>
          <w:rFonts w:asciiTheme="minorHAnsi" w:hAnsiTheme="minorHAnsi" w:cstheme="minorHAnsi"/>
          <w:b/>
          <w:bCs/>
          <w:color w:val="2F5496"/>
          <w:sz w:val="24"/>
          <w:lang w:val="sr-Cyrl-CS"/>
        </w:rPr>
        <w:lastRenderedPageBreak/>
        <w:t>2. Процене међународног економског окружења</w:t>
      </w:r>
      <w:bookmarkEnd w:id="5"/>
      <w:bookmarkEnd w:id="6"/>
    </w:p>
    <w:p w14:paraId="27B217F3" w14:textId="77777777" w:rsidR="00907B95" w:rsidRPr="0007074F" w:rsidRDefault="00907B95" w:rsidP="002D6E55">
      <w:pPr>
        <w:rPr>
          <w:lang w:val="sr-Cyrl-CS"/>
        </w:rPr>
      </w:pPr>
      <w:r w:rsidRPr="0007074F">
        <w:rPr>
          <w:rFonts w:cstheme="minorHAnsi"/>
          <w:b/>
          <w:noProof/>
          <w:sz w:val="24"/>
        </w:rPr>
        <mc:AlternateContent>
          <mc:Choice Requires="wps">
            <w:drawing>
              <wp:anchor distT="0" distB="0" distL="114300" distR="114300" simplePos="0" relativeHeight="251672064" behindDoc="1" locked="0" layoutInCell="1" allowOverlap="1" wp14:anchorId="7DDA9754" wp14:editId="729B2CEC">
                <wp:simplePos x="0" y="0"/>
                <wp:positionH relativeFrom="margin">
                  <wp:posOffset>-107950</wp:posOffset>
                </wp:positionH>
                <wp:positionV relativeFrom="paragraph">
                  <wp:posOffset>199390</wp:posOffset>
                </wp:positionV>
                <wp:extent cx="6139815" cy="4667250"/>
                <wp:effectExtent l="0" t="0" r="0" b="0"/>
                <wp:wrapNone/>
                <wp:docPr id="63" name="Rectangle 63"/>
                <wp:cNvGraphicFramePr/>
                <a:graphic xmlns:a="http://schemas.openxmlformats.org/drawingml/2006/main">
                  <a:graphicData uri="http://schemas.microsoft.com/office/word/2010/wordprocessingShape">
                    <wps:wsp>
                      <wps:cNvSpPr/>
                      <wps:spPr>
                        <a:xfrm>
                          <a:off x="0" y="0"/>
                          <a:ext cx="6139815" cy="466725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71D37B8E" id="Rectangle 63" o:spid="_x0000_s1026" style="position:absolute;margin-left:-8.5pt;margin-top:15.7pt;width:483.45pt;height:367.5pt;z-index:-251644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" fillcolor="#d8d8d8 [2732]" stroked="f" strokeweight="1pt">
                <v:fill r:id="rId19" o:title="" color2="white [3212]" type="pattern"/>
                <w10:wrap anchorx="margin"/>
              </v:rect>
            </w:pict>
          </mc:Fallback>
        </mc:AlternateContent>
      </w:r>
    </w:p>
    <w:p w14:paraId="764D979F" w14:textId="77777777" w:rsidR="00907B95" w:rsidRPr="0007074F" w:rsidRDefault="00907B95" w:rsidP="002D6E55">
      <w:pPr>
        <w:spacing w:after="240"/>
        <w:rPr>
          <w:rFonts w:cstheme="minorHAnsi"/>
          <w:bCs/>
          <w:color w:val="FF0000"/>
          <w:szCs w:val="72"/>
          <w:lang w:val="sr-Cyrl-CS"/>
        </w:rPr>
        <w:sectPr w:rsidR="00907B95" w:rsidRPr="0007074F" w:rsidSect="00BE69F5">
          <w:headerReference w:type="even" r:id="rId20"/>
          <w:headerReference w:type="default" r:id="rId21"/>
          <w:footerReference w:type="even" r:id="rId22"/>
          <w:footerReference w:type="default" r:id="rId23"/>
          <w:footerReference w:type="first" r:id="rId24"/>
          <w:type w:val="continuous"/>
          <w:pgSz w:w="12240" w:h="15840" w:code="1"/>
          <w:pgMar w:top="1440" w:right="1440" w:bottom="1440" w:left="1440" w:header="720" w:footer="720" w:gutter="0"/>
          <w:cols w:space="720"/>
          <w:titlePg/>
          <w:docGrid w:linePitch="360"/>
        </w:sectPr>
      </w:pPr>
    </w:p>
    <w:p w14:paraId="19BEA081" w14:textId="49C1B675" w:rsidR="00907B95" w:rsidRPr="0007074F" w:rsidRDefault="00907B95" w:rsidP="006D0DA9">
      <w:pPr>
        <w:spacing w:after="480"/>
        <w:rPr>
          <w:rFonts w:cstheme="minorHAnsi"/>
          <w:bCs/>
          <w:color w:val="0070C0"/>
          <w:szCs w:val="72"/>
          <w:lang w:val="sr-Cyrl-CS"/>
        </w:rPr>
      </w:pPr>
      <w:r w:rsidRPr="0007074F">
        <w:rPr>
          <w:rFonts w:cstheme="minorHAnsi"/>
          <w:bCs/>
          <w:color w:val="0070C0"/>
          <w:szCs w:val="72"/>
          <w:lang w:val="sr-Cyrl-CS"/>
        </w:rPr>
        <w:t xml:space="preserve">Глобална економија је у фази постепеног опоравка од негативних последица пандемије коронавируса и конфликта у Украјини. Поремећаји у ланцима снабдевања полако нестају, док се неравнотеже на тржишту енергената и хране постепено смањују. На светска економска кретања повољно утиче и напуштање политике нулте толеранције на </w:t>
      </w:r>
      <w:r w:rsidR="006D0DA9" w:rsidRPr="0007074F">
        <w:rPr>
          <w:rFonts w:cstheme="minorHAnsi"/>
          <w:bCs/>
          <w:color w:val="0070C0"/>
          <w:szCs w:val="72"/>
          <w:lang w:val="sr-Cyrl-CS"/>
        </w:rPr>
        <w:t>COVID</w:t>
      </w:r>
      <w:r w:rsidRPr="0007074F">
        <w:rPr>
          <w:rFonts w:cstheme="minorHAnsi"/>
          <w:bCs/>
          <w:color w:val="0070C0"/>
          <w:szCs w:val="72"/>
          <w:lang w:val="sr-Cyrl-CS"/>
        </w:rPr>
        <w:t xml:space="preserve">-19 у Кини, чија се привреда снажно опоравља након поновног отварања. Међутим, ситуација на глобалном нивоу и даље је прилично неизвесна, на шта указује и скорашња нестабилност банкарског сектора у САД и Европи. Инфлаторни притисци на глобалном нивоу су постојанији и јачи него што се то претходно очекивало. Иако раст светских цена полако успорава, што углавном одражава оштар заокрет у ценама енергије и хране, у многим земљама базна инфлација још увек није достигла врхунац. Повећање степена рестриктивности монетарне политике од стране већине централних банака требало би да допринесе смањењу инфлације и постепеном повратку у циљане оквире. Међутим, постоји забринутост због наглог пооштравања монетарне политике и њеног утицаја на финансијска тржишта и економски раст. После дужег периода ниске инфлације и изузетно ниских каматних стопа, прошлогодишње брзо и </w:t>
      </w:r>
      <w:r w:rsidRPr="0007074F">
        <w:rPr>
          <w:rFonts w:cstheme="minorHAnsi"/>
          <w:bCs/>
          <w:color w:val="0070C0"/>
          <w:szCs w:val="72"/>
          <w:lang w:val="sr-Cyrl-CS"/>
        </w:rPr>
        <w:t>синхронизовано пооштравање монетарне политике водећих централних банака изазвало је значајне губитке на дугорочним хартијама од вредности са фиксним приносима. Глобалну економију карактерише улазак у циклус који одликује низак економски раст са значајно вишим ризицима по финансијску стабилност и инфлацијом која још увек није у потпуности стављена под контролу. Предвиђања су да ће економски раст у наредних пет година бити најнижи средњорочни раст од 1990. године. Опрезност и координација у вођењу економске</w:t>
      </w:r>
      <w:r w:rsidR="00775205" w:rsidRPr="0007074F">
        <w:rPr>
          <w:rFonts w:cstheme="minorHAnsi"/>
          <w:bCs/>
          <w:color w:val="0070C0"/>
          <w:szCs w:val="72"/>
          <w:lang w:val="sr-Cyrl-CS"/>
        </w:rPr>
        <w:t xml:space="preserve"> политике постаје главни изазов</w:t>
      </w:r>
      <w:r w:rsidRPr="0007074F">
        <w:rPr>
          <w:rFonts w:cstheme="minorHAnsi"/>
          <w:bCs/>
          <w:color w:val="0070C0"/>
          <w:szCs w:val="72"/>
          <w:lang w:val="sr-Cyrl-CS"/>
        </w:rPr>
        <w:t xml:space="preserve"> за креаторе јавних политика. Монетарна политика треба да остане чврсто фокусирана на смањење инфлације, а рестриктивнија фискална политика би требало да јој пружи подршку. Остварење монетарног циља, смањење нивоа инфлације уз помоћ повећања каматних стопа, не сме да угрози економски раст и стабилност финансијског система. Јачање мултилатералне сарадње је од суштинског значаја за постизање напретка у стварању отпорније светске економије, укључујући јачање глобалне финансијске сигурности, ублажавање трошкова климатских промена и смањење штетних ефеката растуће геополитичке подељености.</w:t>
      </w:r>
    </w:p>
    <w:p w14:paraId="41204483" w14:textId="77777777" w:rsidR="00907B95" w:rsidRPr="0007074F" w:rsidRDefault="00907B95" w:rsidP="002D6E55">
      <w:pPr>
        <w:jc w:val="left"/>
        <w:rPr>
          <w:rFonts w:cstheme="minorHAnsi"/>
          <w:b/>
          <w:color w:val="FF0000"/>
          <w:sz w:val="22"/>
          <w:lang w:val="sr-Cyrl-CS"/>
        </w:rPr>
        <w:sectPr w:rsidR="00907B95" w:rsidRPr="0007074F" w:rsidSect="002D6E55">
          <w:type w:val="continuous"/>
          <w:pgSz w:w="12240" w:h="15840"/>
          <w:pgMar w:top="1440" w:right="1440" w:bottom="1440" w:left="1440" w:header="708" w:footer="708" w:gutter="0"/>
          <w:cols w:num="2" w:space="708"/>
          <w:docGrid w:linePitch="360"/>
        </w:sectPr>
      </w:pPr>
    </w:p>
    <w:p w14:paraId="0DF132A7" w14:textId="42C10F58" w:rsidR="00907B95" w:rsidRPr="0007074F" w:rsidRDefault="00907B95" w:rsidP="002D6E55">
      <w:pPr>
        <w:jc w:val="left"/>
        <w:rPr>
          <w:rFonts w:cstheme="minorHAnsi"/>
          <w:b/>
          <w:color w:val="2F5496"/>
          <w:sz w:val="22"/>
          <w:lang w:val="sr-Cyrl-CS"/>
        </w:rPr>
      </w:pPr>
      <w:r w:rsidRPr="0007074F">
        <w:rPr>
          <w:rFonts w:cstheme="minorHAnsi"/>
          <w:b/>
          <w:color w:val="2F5496"/>
          <w:sz w:val="22"/>
          <w:lang w:val="sr-Cyrl-CS"/>
        </w:rPr>
        <w:t>Макроекономске процене М</w:t>
      </w:r>
      <w:r w:rsidR="005E63AA" w:rsidRPr="0007074F">
        <w:rPr>
          <w:rFonts w:cstheme="minorHAnsi"/>
          <w:b/>
          <w:color w:val="2F5496"/>
          <w:sz w:val="22"/>
          <w:lang w:val="sr-Cyrl-CS"/>
        </w:rPr>
        <w:t>МФ</w:t>
      </w:r>
    </w:p>
    <w:p w14:paraId="7930FB12" w14:textId="450D9E02" w:rsidR="00907B95" w:rsidRPr="0007074F" w:rsidRDefault="00907B95" w:rsidP="002D6E55">
      <w:pPr>
        <w:rPr>
          <w:rFonts w:cstheme="minorHAnsi"/>
          <w:bCs/>
          <w:color w:val="44546A"/>
          <w:szCs w:val="72"/>
          <w:lang w:val="sr-Cyrl-CS"/>
        </w:rPr>
      </w:pPr>
      <w:r w:rsidRPr="0007074F">
        <w:rPr>
          <w:rFonts w:cstheme="minorHAnsi"/>
          <w:bCs/>
          <w:color w:val="44546A"/>
          <w:szCs w:val="72"/>
          <w:lang w:val="sr-Cyrl-CS"/>
        </w:rPr>
        <w:t>Нешто повољнији изгледи с почетка године наговестили су могућност бржег опоравка глобалне економије. Међутим, услед и даље присутне високе инфлације и недавних превирања у финансијском сектору, вероватноћа бржег опоравка је смањена. Према април</w:t>
      </w:r>
      <w:r w:rsidR="00210270" w:rsidRPr="0007074F">
        <w:rPr>
          <w:rFonts w:cstheme="minorHAnsi"/>
          <w:bCs/>
          <w:color w:val="44546A"/>
          <w:szCs w:val="72"/>
          <w:lang w:val="sr-Cyrl-CS"/>
        </w:rPr>
        <w:t>ским пројекцијама ММФ</w:t>
      </w:r>
      <w:r w:rsidRPr="0007074F">
        <w:rPr>
          <w:rFonts w:cstheme="minorHAnsi"/>
          <w:bCs/>
          <w:color w:val="44546A"/>
          <w:szCs w:val="72"/>
          <w:lang w:val="sr-Cyrl-CS"/>
        </w:rPr>
        <w:t xml:space="preserve">, глобални раст ће након 3,4% у 2022. години успорити на 2,8% у 2023. години, уз убрзање раста од 2024. године, што је углавном у складу са претходним пројекцијама. Упркос снажном заоштравању монетарних политика водећих централних банка, инфлаторни притисци </w:t>
      </w:r>
      <w:r w:rsidRPr="0007074F">
        <w:rPr>
          <w:rFonts w:cstheme="minorHAnsi"/>
          <w:bCs/>
          <w:szCs w:val="72"/>
          <w:lang w:val="sr-Cyrl-CS"/>
        </w:rPr>
        <w:t>опстају уз повећану рањивост банкарског сектора</w:t>
      </w:r>
      <w:r w:rsidRPr="0007074F">
        <w:rPr>
          <w:rFonts w:cstheme="minorHAnsi"/>
          <w:bCs/>
          <w:color w:val="44546A"/>
          <w:szCs w:val="72"/>
          <w:lang w:val="sr-Cyrl-CS"/>
        </w:rPr>
        <w:t>. Поред тога, у многим земљама нивои јавног дуга су и даље високи што ограничава могућности фискалне политике да одговори на нове изазове.</w:t>
      </w:r>
    </w:p>
    <w:p w14:paraId="671CC98A" w14:textId="464F0BD6" w:rsidR="00907B95" w:rsidRPr="0007074F" w:rsidRDefault="00907B95" w:rsidP="00D75319">
      <w:pPr>
        <w:spacing w:after="0"/>
        <w:rPr>
          <w:rFonts w:cstheme="minorHAnsi"/>
          <w:color w:val="44546A"/>
          <w:lang w:val="sr-Cyrl-CS"/>
        </w:rPr>
      </w:pPr>
      <w:r w:rsidRPr="0007074F">
        <w:rPr>
          <w:rFonts w:cstheme="minorHAnsi"/>
          <w:color w:val="44546A"/>
          <w:lang w:val="sr-Cyrl-CS"/>
        </w:rPr>
        <w:t>И поред успостављеног тренда пада цена на тржишту енергената, решавања застоја у глобалним ланцима снабдевања и смањење трошкова транспорта који доприносе слабљењу трошковних притисака на глобалном нивоу, ризици за остваривање пројекција остају изражени, пре свега као последица и даље присутне неизвесности. Главни фактори успоравања односе се на затезање монетарних политика централних банака и наставак конфликта у Украјини. Опрезност у вођењу монетарне политике је приоритет, упркос израженим негативним ефектима по привредни раст, уз</w:t>
      </w:r>
      <w:r w:rsidR="00D75319" w:rsidRPr="0007074F">
        <w:rPr>
          <w:rFonts w:cstheme="minorHAnsi"/>
          <w:color w:val="44546A"/>
          <w:lang w:val="sr-Cyrl-CS"/>
        </w:rPr>
        <w:t xml:space="preserve"> </w:t>
      </w:r>
      <w:r w:rsidRPr="0007074F">
        <w:rPr>
          <w:rFonts w:cstheme="minorHAnsi"/>
          <w:color w:val="44546A"/>
          <w:lang w:val="sr-Cyrl-CS"/>
        </w:rPr>
        <w:t>високу вероватноћу рецесије у развијеним земљама.</w:t>
      </w:r>
    </w:p>
    <w:p w14:paraId="66EA92DB" w14:textId="77777777" w:rsidR="006D0DA9" w:rsidRPr="0007074F" w:rsidRDefault="006D0DA9" w:rsidP="002D6E55">
      <w:pPr>
        <w:spacing w:after="360"/>
        <w:rPr>
          <w:rFonts w:cstheme="minorHAnsi"/>
          <w:color w:val="44546A"/>
          <w:lang w:val="sr-Cyrl-CS"/>
        </w:rPr>
        <w:sectPr w:rsidR="006D0DA9" w:rsidRPr="0007074F" w:rsidSect="002D6E55">
          <w:type w:val="continuous"/>
          <w:pgSz w:w="12240" w:h="15840"/>
          <w:pgMar w:top="1440" w:right="1440" w:bottom="1440" w:left="1440" w:header="708" w:footer="708" w:gutter="0"/>
          <w:cols w:num="2" w:space="708"/>
          <w:docGrid w:linePitch="360"/>
        </w:sectPr>
      </w:pPr>
    </w:p>
    <w:tbl>
      <w:tblPr>
        <w:tblStyle w:val="TableGrid"/>
        <w:tblW w:w="495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5"/>
        <w:gridCol w:w="1031"/>
        <w:gridCol w:w="1030"/>
        <w:gridCol w:w="1030"/>
        <w:gridCol w:w="1030"/>
        <w:gridCol w:w="1030"/>
      </w:tblGrid>
      <w:tr w:rsidR="00907B95" w:rsidRPr="0007074F" w14:paraId="1E15765F" w14:textId="77777777" w:rsidTr="002D6E55">
        <w:trPr>
          <w:trHeight w:val="251"/>
        </w:trPr>
        <w:tc>
          <w:tcPr>
            <w:tcW w:w="5000" w:type="pct"/>
            <w:gridSpan w:val="6"/>
            <w:tcBorders>
              <w:bottom w:val="single" w:sz="4" w:space="0" w:color="002060"/>
            </w:tcBorders>
            <w:vAlign w:val="center"/>
          </w:tcPr>
          <w:p w14:paraId="566C9177" w14:textId="77777777" w:rsidR="00907B95" w:rsidRPr="0007074F" w:rsidRDefault="00907B95" w:rsidP="002D6E55">
            <w:pPr>
              <w:jc w:val="center"/>
              <w:rPr>
                <w:rFonts w:cstheme="minorHAnsi"/>
                <w:b/>
                <w:color w:val="002060"/>
                <w:lang w:val="sr-Cyrl-CS"/>
              </w:rPr>
            </w:pPr>
            <w:r w:rsidRPr="0007074F">
              <w:rPr>
                <w:rFonts w:cstheme="minorHAnsi"/>
                <w:b/>
                <w:color w:val="002060"/>
                <w:lang w:val="sr-Cyrl-CS"/>
              </w:rPr>
              <w:lastRenderedPageBreak/>
              <w:t>Табела 1. Међународно окружење – макроекономски показатељи</w:t>
            </w:r>
          </w:p>
        </w:tc>
      </w:tr>
      <w:tr w:rsidR="00907B95" w:rsidRPr="0007074F" w14:paraId="41E4B118" w14:textId="77777777" w:rsidTr="002D6E55">
        <w:trPr>
          <w:trHeight w:val="128"/>
        </w:trPr>
        <w:tc>
          <w:tcPr>
            <w:tcW w:w="2220"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386AE2D1" w14:textId="77777777" w:rsidR="00907B95" w:rsidRPr="0007074F" w:rsidRDefault="00907B95" w:rsidP="002D6E55">
            <w:pPr>
              <w:rPr>
                <w:rFonts w:cstheme="minorHAnsi"/>
                <w:color w:val="002060"/>
                <w:sz w:val="18"/>
                <w:lang w:val="sr-Cyrl-CS"/>
              </w:rPr>
            </w:pP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778C50A0" w14:textId="77777777" w:rsidR="00907B95" w:rsidRPr="0007074F" w:rsidRDefault="00907B95" w:rsidP="002D6E55">
            <w:pPr>
              <w:jc w:val="center"/>
              <w:rPr>
                <w:rFonts w:cstheme="minorHAnsi"/>
                <w:color w:val="002060"/>
                <w:sz w:val="18"/>
                <w:lang w:val="sr-Cyrl-CS"/>
              </w:rPr>
            </w:pPr>
            <w:r w:rsidRPr="0007074F">
              <w:rPr>
                <w:rFonts w:cstheme="minorHAnsi"/>
                <w:color w:val="002060"/>
                <w:sz w:val="18"/>
                <w:lang w:val="sr-Cyrl-CS"/>
              </w:rPr>
              <w:t>2022</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5CFE0F1F" w14:textId="77777777" w:rsidR="00907B95" w:rsidRPr="0007074F" w:rsidRDefault="00907B95" w:rsidP="002D6E55">
            <w:pPr>
              <w:jc w:val="center"/>
              <w:rPr>
                <w:rFonts w:cstheme="minorHAnsi"/>
                <w:color w:val="002060"/>
                <w:sz w:val="18"/>
                <w:lang w:val="sr-Cyrl-CS"/>
              </w:rPr>
            </w:pPr>
            <w:r w:rsidRPr="0007074F">
              <w:rPr>
                <w:rFonts w:cstheme="minorHAnsi"/>
                <w:color w:val="002060"/>
                <w:sz w:val="18"/>
                <w:lang w:val="sr-Cyrl-CS"/>
              </w:rPr>
              <w:t>2023</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199701FD" w14:textId="77777777" w:rsidR="00907B95" w:rsidRPr="0007074F" w:rsidRDefault="00907B95" w:rsidP="002D6E55">
            <w:pPr>
              <w:jc w:val="center"/>
              <w:rPr>
                <w:rFonts w:cstheme="minorHAnsi"/>
                <w:color w:val="002060"/>
                <w:sz w:val="18"/>
                <w:lang w:val="sr-Cyrl-CS"/>
              </w:rPr>
            </w:pPr>
            <w:r w:rsidRPr="0007074F">
              <w:rPr>
                <w:rFonts w:cstheme="minorHAnsi"/>
                <w:color w:val="002060"/>
                <w:sz w:val="18"/>
                <w:lang w:val="sr-Cyrl-CS"/>
              </w:rPr>
              <w:t>2024</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513405B3" w14:textId="77777777" w:rsidR="00907B95" w:rsidRPr="0007074F" w:rsidRDefault="00907B95" w:rsidP="002D6E55">
            <w:pPr>
              <w:jc w:val="center"/>
              <w:rPr>
                <w:rFonts w:cstheme="minorHAnsi"/>
                <w:color w:val="002060"/>
                <w:sz w:val="18"/>
                <w:lang w:val="sr-Cyrl-CS"/>
              </w:rPr>
            </w:pPr>
            <w:r w:rsidRPr="0007074F">
              <w:rPr>
                <w:rFonts w:cstheme="minorHAnsi"/>
                <w:color w:val="002060"/>
                <w:sz w:val="18"/>
                <w:lang w:val="sr-Cyrl-CS"/>
              </w:rPr>
              <w:t>2025</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53CB861C" w14:textId="77777777" w:rsidR="00907B95" w:rsidRPr="0007074F" w:rsidRDefault="00907B95" w:rsidP="002D6E55">
            <w:pPr>
              <w:jc w:val="center"/>
              <w:rPr>
                <w:rFonts w:cstheme="minorHAnsi"/>
                <w:color w:val="002060"/>
                <w:sz w:val="18"/>
                <w:lang w:val="sr-Cyrl-CS"/>
              </w:rPr>
            </w:pPr>
            <w:r w:rsidRPr="0007074F">
              <w:rPr>
                <w:rFonts w:cstheme="minorHAnsi"/>
                <w:color w:val="002060"/>
                <w:sz w:val="18"/>
                <w:lang w:val="sr-Cyrl-CS"/>
              </w:rPr>
              <w:t>2026</w:t>
            </w:r>
          </w:p>
        </w:tc>
      </w:tr>
      <w:tr w:rsidR="00907B95" w:rsidRPr="0007074F" w14:paraId="7C92A98A" w14:textId="77777777" w:rsidTr="002D6E55">
        <w:trPr>
          <w:trHeight w:val="136"/>
        </w:trPr>
        <w:tc>
          <w:tcPr>
            <w:tcW w:w="2220" w:type="pct"/>
            <w:tcBorders>
              <w:top w:val="single" w:sz="2" w:space="0" w:color="FFFFFF" w:themeColor="background1"/>
              <w:left w:val="single" w:sz="2" w:space="0" w:color="FFFFFF" w:themeColor="background1"/>
              <w:bottom w:val="single" w:sz="2" w:space="0" w:color="FFFFFF" w:themeColor="background1"/>
            </w:tcBorders>
            <w:shd w:val="clear" w:color="auto" w:fill="E6E6E6"/>
          </w:tcPr>
          <w:p w14:paraId="7D6AC626" w14:textId="77777777" w:rsidR="00907B95" w:rsidRPr="0007074F" w:rsidRDefault="00907B95" w:rsidP="002D6E55">
            <w:pPr>
              <w:rPr>
                <w:rFonts w:cstheme="minorHAnsi"/>
                <w:color w:val="002060"/>
                <w:sz w:val="18"/>
                <w:lang w:val="sr-Cyrl-CS"/>
              </w:rPr>
            </w:pPr>
            <w:r w:rsidRPr="0007074F">
              <w:rPr>
                <w:rFonts w:cstheme="minorHAnsi"/>
                <w:color w:val="002060"/>
                <w:sz w:val="18"/>
                <w:lang w:val="sr-Cyrl-CS"/>
              </w:rPr>
              <w:t>Реални раст БДП</w:t>
            </w:r>
            <w:r w:rsidRPr="0007074F">
              <w:rPr>
                <w:rFonts w:cstheme="minorHAnsi"/>
                <w:color w:val="002060"/>
                <w:sz w:val="18"/>
                <w:vertAlign w:val="superscript"/>
                <w:lang w:val="sr-Cyrl-CS"/>
              </w:rPr>
              <w:t>1</w:t>
            </w:r>
            <w:r w:rsidRPr="0007074F">
              <w:rPr>
                <w:rFonts w:cstheme="minorHAnsi"/>
                <w:color w:val="002060"/>
                <w:sz w:val="18"/>
                <w:lang w:val="sr-Cyrl-CS"/>
              </w:rPr>
              <w:t>, %</w:t>
            </w:r>
          </w:p>
        </w:tc>
        <w:tc>
          <w:tcPr>
            <w:tcW w:w="556" w:type="pct"/>
            <w:tcBorders>
              <w:top w:val="single" w:sz="2" w:space="0" w:color="FFFFFF" w:themeColor="background1"/>
              <w:bottom w:val="single" w:sz="2" w:space="0" w:color="FFFFFF" w:themeColor="background1"/>
            </w:tcBorders>
            <w:shd w:val="clear" w:color="auto" w:fill="E6E6E6"/>
          </w:tcPr>
          <w:p w14:paraId="0440973F" w14:textId="77777777" w:rsidR="00907B95" w:rsidRPr="0007074F" w:rsidRDefault="00907B95" w:rsidP="002D6E55">
            <w:pPr>
              <w:rPr>
                <w:rFonts w:cstheme="minorHAnsi"/>
                <w:color w:val="002060"/>
                <w:sz w:val="18"/>
                <w:lang w:val="sr-Cyrl-CS"/>
              </w:rPr>
            </w:pPr>
          </w:p>
        </w:tc>
        <w:tc>
          <w:tcPr>
            <w:tcW w:w="556" w:type="pct"/>
            <w:tcBorders>
              <w:top w:val="single" w:sz="2" w:space="0" w:color="FFFFFF" w:themeColor="background1"/>
              <w:bottom w:val="single" w:sz="2" w:space="0" w:color="FFFFFF" w:themeColor="background1"/>
            </w:tcBorders>
            <w:shd w:val="clear" w:color="auto" w:fill="E6E6E6"/>
          </w:tcPr>
          <w:p w14:paraId="3CF6EDAE" w14:textId="77777777" w:rsidR="00907B95" w:rsidRPr="0007074F" w:rsidRDefault="00907B95" w:rsidP="002D6E55">
            <w:pPr>
              <w:rPr>
                <w:rFonts w:cstheme="minorHAnsi"/>
                <w:color w:val="002060"/>
                <w:sz w:val="18"/>
                <w:lang w:val="sr-Cyrl-CS"/>
              </w:rPr>
            </w:pPr>
          </w:p>
        </w:tc>
        <w:tc>
          <w:tcPr>
            <w:tcW w:w="556" w:type="pct"/>
            <w:tcBorders>
              <w:top w:val="single" w:sz="2" w:space="0" w:color="FFFFFF" w:themeColor="background1"/>
              <w:bottom w:val="single" w:sz="2" w:space="0" w:color="FFFFFF" w:themeColor="background1"/>
            </w:tcBorders>
            <w:shd w:val="clear" w:color="auto" w:fill="E6E6E6"/>
          </w:tcPr>
          <w:p w14:paraId="680902FA" w14:textId="77777777" w:rsidR="00907B95" w:rsidRPr="0007074F" w:rsidRDefault="00907B95" w:rsidP="002D6E55">
            <w:pPr>
              <w:rPr>
                <w:rFonts w:cstheme="minorHAnsi"/>
                <w:color w:val="002060"/>
                <w:sz w:val="18"/>
                <w:lang w:val="sr-Cyrl-CS"/>
              </w:rPr>
            </w:pPr>
          </w:p>
        </w:tc>
        <w:tc>
          <w:tcPr>
            <w:tcW w:w="556" w:type="pct"/>
            <w:tcBorders>
              <w:top w:val="single" w:sz="2" w:space="0" w:color="FFFFFF" w:themeColor="background1"/>
              <w:bottom w:val="single" w:sz="2" w:space="0" w:color="FFFFFF" w:themeColor="background1"/>
            </w:tcBorders>
            <w:shd w:val="clear" w:color="auto" w:fill="E6E6E6"/>
          </w:tcPr>
          <w:p w14:paraId="3CC417B3" w14:textId="77777777" w:rsidR="00907B95" w:rsidRPr="0007074F" w:rsidRDefault="00907B95" w:rsidP="002D6E55">
            <w:pPr>
              <w:rPr>
                <w:rFonts w:cstheme="minorHAnsi"/>
                <w:color w:val="002060"/>
                <w:sz w:val="18"/>
                <w:lang w:val="sr-Cyrl-CS"/>
              </w:rPr>
            </w:pPr>
          </w:p>
        </w:tc>
        <w:tc>
          <w:tcPr>
            <w:tcW w:w="556" w:type="pct"/>
            <w:tcBorders>
              <w:top w:val="single" w:sz="2" w:space="0" w:color="FFFFFF" w:themeColor="background1"/>
              <w:bottom w:val="single" w:sz="2" w:space="0" w:color="FFFFFF" w:themeColor="background1"/>
              <w:right w:val="single" w:sz="2" w:space="0" w:color="FFFFFF" w:themeColor="background1"/>
            </w:tcBorders>
            <w:shd w:val="clear" w:color="auto" w:fill="E6E6E6"/>
          </w:tcPr>
          <w:p w14:paraId="49CDF090" w14:textId="77777777" w:rsidR="00907B95" w:rsidRPr="0007074F" w:rsidRDefault="00907B95" w:rsidP="002D6E55">
            <w:pPr>
              <w:rPr>
                <w:rFonts w:cstheme="minorHAnsi"/>
                <w:color w:val="002060"/>
                <w:sz w:val="18"/>
                <w:lang w:val="sr-Cyrl-CS"/>
              </w:rPr>
            </w:pPr>
          </w:p>
        </w:tc>
      </w:tr>
      <w:tr w:rsidR="00907B95" w:rsidRPr="0007074F" w14:paraId="33A6CB9F" w14:textId="77777777" w:rsidTr="002D6E55">
        <w:trPr>
          <w:trHeight w:val="136"/>
        </w:trPr>
        <w:tc>
          <w:tcPr>
            <w:tcW w:w="2220" w:type="pct"/>
            <w:tcBorders>
              <w:top w:val="single" w:sz="2" w:space="0" w:color="FFFFFF" w:themeColor="background1"/>
            </w:tcBorders>
          </w:tcPr>
          <w:p w14:paraId="217EFC2F" w14:textId="77777777" w:rsidR="00907B95" w:rsidRPr="0007074F" w:rsidRDefault="00907B95" w:rsidP="002D6E55">
            <w:pPr>
              <w:ind w:left="255"/>
              <w:rPr>
                <w:rFonts w:cstheme="minorHAnsi"/>
                <w:color w:val="002060"/>
                <w:sz w:val="18"/>
                <w:lang w:val="sr-Cyrl-CS"/>
              </w:rPr>
            </w:pPr>
            <w:r w:rsidRPr="0007074F">
              <w:rPr>
                <w:rFonts w:cstheme="minorHAnsi"/>
                <w:color w:val="002060"/>
                <w:sz w:val="18"/>
                <w:lang w:val="sr-Cyrl-CS"/>
              </w:rPr>
              <w:t>Свет укупно</w:t>
            </w:r>
          </w:p>
        </w:tc>
        <w:tc>
          <w:tcPr>
            <w:tcW w:w="556" w:type="pct"/>
            <w:tcBorders>
              <w:top w:val="single" w:sz="2" w:space="0" w:color="FFFFFF" w:themeColor="background1"/>
            </w:tcBorders>
            <w:vAlign w:val="center"/>
          </w:tcPr>
          <w:p w14:paraId="1F9D6407"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3,4</w:t>
            </w:r>
          </w:p>
        </w:tc>
        <w:tc>
          <w:tcPr>
            <w:tcW w:w="556" w:type="pct"/>
            <w:tcBorders>
              <w:top w:val="single" w:sz="2" w:space="0" w:color="FFFFFF" w:themeColor="background1"/>
            </w:tcBorders>
            <w:vAlign w:val="center"/>
          </w:tcPr>
          <w:p w14:paraId="741328E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2,8</w:t>
            </w:r>
          </w:p>
        </w:tc>
        <w:tc>
          <w:tcPr>
            <w:tcW w:w="556" w:type="pct"/>
            <w:tcBorders>
              <w:top w:val="single" w:sz="2" w:space="0" w:color="FFFFFF" w:themeColor="background1"/>
            </w:tcBorders>
            <w:vAlign w:val="center"/>
          </w:tcPr>
          <w:p w14:paraId="1E15D169"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3,0</w:t>
            </w:r>
          </w:p>
        </w:tc>
        <w:tc>
          <w:tcPr>
            <w:tcW w:w="556" w:type="pct"/>
            <w:tcBorders>
              <w:top w:val="single" w:sz="2" w:space="0" w:color="FFFFFF" w:themeColor="background1"/>
            </w:tcBorders>
            <w:vAlign w:val="center"/>
          </w:tcPr>
          <w:p w14:paraId="460F5D5F"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3,2</w:t>
            </w:r>
          </w:p>
        </w:tc>
        <w:tc>
          <w:tcPr>
            <w:tcW w:w="556" w:type="pct"/>
            <w:tcBorders>
              <w:top w:val="single" w:sz="2" w:space="0" w:color="FFFFFF" w:themeColor="background1"/>
            </w:tcBorders>
            <w:vAlign w:val="center"/>
          </w:tcPr>
          <w:p w14:paraId="567DD024"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3,2</w:t>
            </w:r>
          </w:p>
        </w:tc>
      </w:tr>
      <w:tr w:rsidR="00907B95" w:rsidRPr="0007074F" w14:paraId="4247F311" w14:textId="77777777" w:rsidTr="002D6E55">
        <w:trPr>
          <w:trHeight w:val="128"/>
        </w:trPr>
        <w:tc>
          <w:tcPr>
            <w:tcW w:w="2220" w:type="pct"/>
          </w:tcPr>
          <w:p w14:paraId="20DE64BC" w14:textId="77777777" w:rsidR="00907B95" w:rsidRPr="0007074F" w:rsidRDefault="00907B95" w:rsidP="002D6E55">
            <w:pPr>
              <w:ind w:left="255"/>
              <w:rPr>
                <w:rFonts w:cstheme="minorHAnsi"/>
                <w:color w:val="002060"/>
                <w:sz w:val="18"/>
                <w:lang w:val="sr-Cyrl-CS"/>
              </w:rPr>
            </w:pPr>
            <w:r w:rsidRPr="0007074F">
              <w:rPr>
                <w:rFonts w:cstheme="minorHAnsi"/>
                <w:color w:val="002060"/>
                <w:sz w:val="18"/>
                <w:lang w:val="sr-Cyrl-CS"/>
              </w:rPr>
              <w:t>Развијене економије</w:t>
            </w:r>
          </w:p>
        </w:tc>
        <w:tc>
          <w:tcPr>
            <w:tcW w:w="556" w:type="pct"/>
            <w:vAlign w:val="center"/>
          </w:tcPr>
          <w:p w14:paraId="0ECB4F33"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2,7</w:t>
            </w:r>
          </w:p>
        </w:tc>
        <w:tc>
          <w:tcPr>
            <w:tcW w:w="556" w:type="pct"/>
            <w:vAlign w:val="center"/>
          </w:tcPr>
          <w:p w14:paraId="28AA1545"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1,3</w:t>
            </w:r>
          </w:p>
        </w:tc>
        <w:tc>
          <w:tcPr>
            <w:tcW w:w="556" w:type="pct"/>
            <w:vAlign w:val="center"/>
          </w:tcPr>
          <w:p w14:paraId="1FFEC552"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1,4</w:t>
            </w:r>
          </w:p>
        </w:tc>
        <w:tc>
          <w:tcPr>
            <w:tcW w:w="556" w:type="pct"/>
            <w:vAlign w:val="center"/>
          </w:tcPr>
          <w:p w14:paraId="0BE498AF"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1,8</w:t>
            </w:r>
          </w:p>
        </w:tc>
        <w:tc>
          <w:tcPr>
            <w:tcW w:w="556" w:type="pct"/>
            <w:vAlign w:val="center"/>
          </w:tcPr>
          <w:p w14:paraId="5BC22666"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1,9</w:t>
            </w:r>
          </w:p>
        </w:tc>
      </w:tr>
      <w:tr w:rsidR="00907B95" w:rsidRPr="0007074F" w14:paraId="1D7711D6" w14:textId="77777777" w:rsidTr="002D6E55">
        <w:trPr>
          <w:trHeight w:val="136"/>
        </w:trPr>
        <w:tc>
          <w:tcPr>
            <w:tcW w:w="2220" w:type="pct"/>
          </w:tcPr>
          <w:p w14:paraId="5D44AF1D" w14:textId="77777777" w:rsidR="00907B95" w:rsidRPr="0007074F" w:rsidRDefault="00907B95" w:rsidP="002D6E55">
            <w:pPr>
              <w:ind w:left="615" w:hanging="180"/>
              <w:rPr>
                <w:rFonts w:cstheme="minorHAnsi"/>
                <w:color w:val="002060"/>
                <w:sz w:val="18"/>
                <w:lang w:val="sr-Cyrl-CS"/>
              </w:rPr>
            </w:pPr>
            <w:r w:rsidRPr="0007074F">
              <w:rPr>
                <w:rFonts w:cstheme="minorHAnsi"/>
                <w:color w:val="002060"/>
                <w:sz w:val="18"/>
                <w:lang w:val="sr-Cyrl-CS"/>
              </w:rPr>
              <w:t>САД</w:t>
            </w:r>
          </w:p>
        </w:tc>
        <w:tc>
          <w:tcPr>
            <w:tcW w:w="556" w:type="pct"/>
            <w:vAlign w:val="center"/>
          </w:tcPr>
          <w:p w14:paraId="2EFEC081"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2,1</w:t>
            </w:r>
          </w:p>
        </w:tc>
        <w:tc>
          <w:tcPr>
            <w:tcW w:w="556" w:type="pct"/>
            <w:vAlign w:val="center"/>
          </w:tcPr>
          <w:p w14:paraId="7E2BEDF3"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1,6</w:t>
            </w:r>
          </w:p>
        </w:tc>
        <w:tc>
          <w:tcPr>
            <w:tcW w:w="556" w:type="pct"/>
            <w:vAlign w:val="center"/>
          </w:tcPr>
          <w:p w14:paraId="7654825A"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1,1</w:t>
            </w:r>
          </w:p>
        </w:tc>
        <w:tc>
          <w:tcPr>
            <w:tcW w:w="556" w:type="pct"/>
            <w:vAlign w:val="center"/>
          </w:tcPr>
          <w:p w14:paraId="2319B94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1,8</w:t>
            </w:r>
          </w:p>
        </w:tc>
        <w:tc>
          <w:tcPr>
            <w:tcW w:w="556" w:type="pct"/>
            <w:vAlign w:val="center"/>
          </w:tcPr>
          <w:p w14:paraId="2CE6632A"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2,1</w:t>
            </w:r>
          </w:p>
        </w:tc>
      </w:tr>
      <w:tr w:rsidR="00907B95" w:rsidRPr="0007074F" w14:paraId="688087DC" w14:textId="77777777" w:rsidTr="002D6E55">
        <w:trPr>
          <w:trHeight w:val="128"/>
        </w:trPr>
        <w:tc>
          <w:tcPr>
            <w:tcW w:w="2220" w:type="pct"/>
          </w:tcPr>
          <w:p w14:paraId="7BF3EE78" w14:textId="77777777" w:rsidR="00907B95" w:rsidRPr="0007074F" w:rsidRDefault="00907B95" w:rsidP="002D6E55">
            <w:pPr>
              <w:ind w:left="615" w:hanging="180"/>
              <w:rPr>
                <w:rFonts w:cstheme="minorHAnsi"/>
                <w:color w:val="002060"/>
                <w:sz w:val="18"/>
                <w:lang w:val="sr-Cyrl-CS"/>
              </w:rPr>
            </w:pPr>
            <w:r w:rsidRPr="0007074F">
              <w:rPr>
                <w:rFonts w:cstheme="minorHAnsi"/>
                <w:color w:val="002060"/>
                <w:sz w:val="18"/>
                <w:lang w:val="sr-Cyrl-CS"/>
              </w:rPr>
              <w:t>Еврозона</w:t>
            </w:r>
          </w:p>
        </w:tc>
        <w:tc>
          <w:tcPr>
            <w:tcW w:w="556" w:type="pct"/>
            <w:vAlign w:val="center"/>
          </w:tcPr>
          <w:p w14:paraId="5810667B"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3,5</w:t>
            </w:r>
          </w:p>
        </w:tc>
        <w:tc>
          <w:tcPr>
            <w:tcW w:w="556" w:type="pct"/>
            <w:vAlign w:val="center"/>
          </w:tcPr>
          <w:p w14:paraId="08386450"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0,8</w:t>
            </w:r>
          </w:p>
        </w:tc>
        <w:tc>
          <w:tcPr>
            <w:tcW w:w="556" w:type="pct"/>
            <w:vAlign w:val="center"/>
          </w:tcPr>
          <w:p w14:paraId="766D0C8D"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1,4</w:t>
            </w:r>
          </w:p>
        </w:tc>
        <w:tc>
          <w:tcPr>
            <w:tcW w:w="556" w:type="pct"/>
            <w:vAlign w:val="center"/>
          </w:tcPr>
          <w:p w14:paraId="508785F7"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1,9</w:t>
            </w:r>
          </w:p>
        </w:tc>
        <w:tc>
          <w:tcPr>
            <w:tcW w:w="556" w:type="pct"/>
            <w:vAlign w:val="center"/>
          </w:tcPr>
          <w:p w14:paraId="7A2B4199"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1,7</w:t>
            </w:r>
          </w:p>
        </w:tc>
      </w:tr>
      <w:tr w:rsidR="00907B95" w:rsidRPr="0007074F" w14:paraId="40B88F19" w14:textId="77777777" w:rsidTr="002D6E55">
        <w:trPr>
          <w:trHeight w:val="136"/>
        </w:trPr>
        <w:tc>
          <w:tcPr>
            <w:tcW w:w="2220" w:type="pct"/>
          </w:tcPr>
          <w:p w14:paraId="25E8F7BD" w14:textId="77777777" w:rsidR="00907B95" w:rsidRPr="0007074F" w:rsidRDefault="00907B95" w:rsidP="002D6E55">
            <w:pPr>
              <w:ind w:left="345" w:hanging="90"/>
              <w:rPr>
                <w:rFonts w:cstheme="minorHAnsi"/>
                <w:color w:val="002060"/>
                <w:sz w:val="18"/>
                <w:lang w:val="sr-Cyrl-CS"/>
              </w:rPr>
            </w:pPr>
            <w:r w:rsidRPr="0007074F">
              <w:rPr>
                <w:rFonts w:cstheme="minorHAnsi"/>
                <w:color w:val="002060"/>
                <w:sz w:val="18"/>
                <w:lang w:val="sr-Cyrl-CS"/>
              </w:rPr>
              <w:t>Земље у успону</w:t>
            </w:r>
          </w:p>
        </w:tc>
        <w:tc>
          <w:tcPr>
            <w:tcW w:w="556" w:type="pct"/>
            <w:vAlign w:val="center"/>
          </w:tcPr>
          <w:p w14:paraId="7574C7F4"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4,0</w:t>
            </w:r>
          </w:p>
        </w:tc>
        <w:tc>
          <w:tcPr>
            <w:tcW w:w="556" w:type="pct"/>
            <w:vAlign w:val="center"/>
          </w:tcPr>
          <w:p w14:paraId="1C27C19F"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3,9</w:t>
            </w:r>
          </w:p>
        </w:tc>
        <w:tc>
          <w:tcPr>
            <w:tcW w:w="556" w:type="pct"/>
            <w:vAlign w:val="center"/>
          </w:tcPr>
          <w:p w14:paraId="3C3BAC7B"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4,2</w:t>
            </w:r>
          </w:p>
        </w:tc>
        <w:tc>
          <w:tcPr>
            <w:tcW w:w="556" w:type="pct"/>
            <w:vAlign w:val="center"/>
          </w:tcPr>
          <w:p w14:paraId="5854BB9B"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4,0</w:t>
            </w:r>
          </w:p>
        </w:tc>
        <w:tc>
          <w:tcPr>
            <w:tcW w:w="556" w:type="pct"/>
            <w:vAlign w:val="center"/>
          </w:tcPr>
          <w:p w14:paraId="45AE09BE"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4,0</w:t>
            </w:r>
          </w:p>
        </w:tc>
      </w:tr>
      <w:tr w:rsidR="00907B95" w:rsidRPr="0007074F" w14:paraId="2547CD89" w14:textId="77777777" w:rsidTr="002D6E55">
        <w:trPr>
          <w:trHeight w:val="128"/>
        </w:trPr>
        <w:tc>
          <w:tcPr>
            <w:tcW w:w="2220" w:type="pct"/>
          </w:tcPr>
          <w:p w14:paraId="03567A18" w14:textId="77777777" w:rsidR="00907B95" w:rsidRPr="0007074F" w:rsidRDefault="00907B95" w:rsidP="002D6E55">
            <w:pPr>
              <w:ind w:left="615" w:hanging="180"/>
              <w:rPr>
                <w:rFonts w:cstheme="minorHAnsi"/>
                <w:color w:val="002060"/>
                <w:sz w:val="18"/>
                <w:lang w:val="sr-Cyrl-CS"/>
              </w:rPr>
            </w:pPr>
            <w:r w:rsidRPr="0007074F">
              <w:rPr>
                <w:rFonts w:cstheme="minorHAnsi"/>
                <w:color w:val="002060"/>
                <w:sz w:val="18"/>
                <w:lang w:val="sr-Cyrl-CS"/>
              </w:rPr>
              <w:t>Кина</w:t>
            </w:r>
          </w:p>
        </w:tc>
        <w:tc>
          <w:tcPr>
            <w:tcW w:w="556" w:type="pct"/>
            <w:vAlign w:val="center"/>
          </w:tcPr>
          <w:p w14:paraId="27968D30"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3,0</w:t>
            </w:r>
          </w:p>
        </w:tc>
        <w:tc>
          <w:tcPr>
            <w:tcW w:w="556" w:type="pct"/>
            <w:vAlign w:val="center"/>
          </w:tcPr>
          <w:p w14:paraId="55B33331"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5,2</w:t>
            </w:r>
          </w:p>
        </w:tc>
        <w:tc>
          <w:tcPr>
            <w:tcW w:w="556" w:type="pct"/>
            <w:vAlign w:val="center"/>
          </w:tcPr>
          <w:p w14:paraId="56BFC6F3"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4,5</w:t>
            </w:r>
          </w:p>
        </w:tc>
        <w:tc>
          <w:tcPr>
            <w:tcW w:w="556" w:type="pct"/>
            <w:vAlign w:val="center"/>
          </w:tcPr>
          <w:p w14:paraId="1640448D"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4,1</w:t>
            </w:r>
          </w:p>
        </w:tc>
        <w:tc>
          <w:tcPr>
            <w:tcW w:w="556" w:type="pct"/>
            <w:vAlign w:val="center"/>
          </w:tcPr>
          <w:p w14:paraId="3A929AC2"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4,0</w:t>
            </w:r>
          </w:p>
        </w:tc>
      </w:tr>
      <w:tr w:rsidR="00907B95" w:rsidRPr="0007074F" w14:paraId="0A391A5B" w14:textId="77777777" w:rsidTr="002D6E55">
        <w:trPr>
          <w:trHeight w:val="136"/>
        </w:trPr>
        <w:tc>
          <w:tcPr>
            <w:tcW w:w="2220" w:type="pct"/>
          </w:tcPr>
          <w:p w14:paraId="4EA4B811" w14:textId="77777777" w:rsidR="00907B95" w:rsidRPr="0007074F" w:rsidRDefault="00907B95" w:rsidP="002D6E55">
            <w:pPr>
              <w:ind w:left="615" w:hanging="180"/>
              <w:rPr>
                <w:rFonts w:cstheme="minorHAnsi"/>
                <w:color w:val="002060"/>
                <w:sz w:val="18"/>
                <w:lang w:val="sr-Cyrl-CS"/>
              </w:rPr>
            </w:pPr>
            <w:r w:rsidRPr="0007074F">
              <w:rPr>
                <w:rFonts w:cstheme="minorHAnsi"/>
                <w:color w:val="002060"/>
                <w:sz w:val="18"/>
                <w:lang w:val="sr-Cyrl-CS"/>
              </w:rPr>
              <w:t xml:space="preserve">Русија </w:t>
            </w:r>
          </w:p>
        </w:tc>
        <w:tc>
          <w:tcPr>
            <w:tcW w:w="556" w:type="pct"/>
            <w:vAlign w:val="center"/>
          </w:tcPr>
          <w:p w14:paraId="20363FF7"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-2,1</w:t>
            </w:r>
          </w:p>
        </w:tc>
        <w:tc>
          <w:tcPr>
            <w:tcW w:w="556" w:type="pct"/>
            <w:vAlign w:val="center"/>
          </w:tcPr>
          <w:p w14:paraId="5C40ADC3"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0,7</w:t>
            </w:r>
          </w:p>
        </w:tc>
        <w:tc>
          <w:tcPr>
            <w:tcW w:w="556" w:type="pct"/>
            <w:vAlign w:val="center"/>
          </w:tcPr>
          <w:p w14:paraId="3856F32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1,3</w:t>
            </w:r>
          </w:p>
        </w:tc>
        <w:tc>
          <w:tcPr>
            <w:tcW w:w="556" w:type="pct"/>
            <w:vAlign w:val="center"/>
          </w:tcPr>
          <w:p w14:paraId="7ABBB6F2"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1,0</w:t>
            </w:r>
          </w:p>
        </w:tc>
        <w:tc>
          <w:tcPr>
            <w:tcW w:w="556" w:type="pct"/>
            <w:vAlign w:val="center"/>
          </w:tcPr>
          <w:p w14:paraId="0E666B90"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0,8</w:t>
            </w:r>
          </w:p>
        </w:tc>
      </w:tr>
      <w:tr w:rsidR="00907B95" w:rsidRPr="0007074F" w14:paraId="5B4D9B0A" w14:textId="77777777" w:rsidTr="002D6E55">
        <w:trPr>
          <w:trHeight w:val="128"/>
        </w:trPr>
        <w:tc>
          <w:tcPr>
            <w:tcW w:w="2220" w:type="pct"/>
          </w:tcPr>
          <w:p w14:paraId="4BB4BA86" w14:textId="77777777" w:rsidR="00907B95" w:rsidRPr="0007074F" w:rsidRDefault="00907B95" w:rsidP="002D6E55">
            <w:pPr>
              <w:ind w:left="345" w:hanging="90"/>
              <w:rPr>
                <w:rFonts w:cstheme="minorHAnsi"/>
                <w:color w:val="002060"/>
                <w:sz w:val="18"/>
                <w:lang w:val="sr-Cyrl-CS"/>
              </w:rPr>
            </w:pPr>
            <w:r w:rsidRPr="0007074F">
              <w:rPr>
                <w:rFonts w:cstheme="minorHAnsi"/>
                <w:color w:val="002060"/>
                <w:sz w:val="18"/>
                <w:lang w:val="sr-Cyrl-CS"/>
              </w:rPr>
              <w:t>Раст светске трговине, %</w:t>
            </w:r>
          </w:p>
        </w:tc>
        <w:tc>
          <w:tcPr>
            <w:tcW w:w="556" w:type="pct"/>
            <w:vAlign w:val="center"/>
          </w:tcPr>
          <w:p w14:paraId="6F64799F"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5,1</w:t>
            </w:r>
          </w:p>
        </w:tc>
        <w:tc>
          <w:tcPr>
            <w:tcW w:w="556" w:type="pct"/>
            <w:vAlign w:val="center"/>
          </w:tcPr>
          <w:p w14:paraId="7C9ACBE2"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2,4</w:t>
            </w:r>
          </w:p>
        </w:tc>
        <w:tc>
          <w:tcPr>
            <w:tcW w:w="556" w:type="pct"/>
            <w:vAlign w:val="center"/>
          </w:tcPr>
          <w:p w14:paraId="598C9882"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3,5</w:t>
            </w:r>
          </w:p>
        </w:tc>
        <w:tc>
          <w:tcPr>
            <w:tcW w:w="556" w:type="pct"/>
            <w:vAlign w:val="center"/>
          </w:tcPr>
          <w:p w14:paraId="01C3935D"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3,6</w:t>
            </w:r>
          </w:p>
        </w:tc>
        <w:tc>
          <w:tcPr>
            <w:tcW w:w="556" w:type="pct"/>
            <w:vAlign w:val="center"/>
          </w:tcPr>
          <w:p w14:paraId="46F90BF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3,6</w:t>
            </w:r>
          </w:p>
        </w:tc>
      </w:tr>
      <w:tr w:rsidR="00907B95" w:rsidRPr="0007074F" w14:paraId="29D8D555" w14:textId="77777777" w:rsidTr="002D6E55">
        <w:trPr>
          <w:trHeight w:val="136"/>
        </w:trPr>
        <w:tc>
          <w:tcPr>
            <w:tcW w:w="2220" w:type="pct"/>
            <w:shd w:val="clear" w:color="auto" w:fill="E6E6E6"/>
          </w:tcPr>
          <w:p w14:paraId="4B41ACF8" w14:textId="77777777" w:rsidR="00907B95" w:rsidRPr="0007074F" w:rsidRDefault="00907B95" w:rsidP="002D6E55">
            <w:pPr>
              <w:rPr>
                <w:rFonts w:cstheme="minorHAnsi"/>
                <w:color w:val="002060"/>
                <w:sz w:val="18"/>
                <w:lang w:val="sr-Cyrl-CS"/>
              </w:rPr>
            </w:pPr>
            <w:r w:rsidRPr="0007074F">
              <w:rPr>
                <w:rFonts w:cstheme="minorHAnsi"/>
                <w:color w:val="002060"/>
                <w:sz w:val="18"/>
                <w:lang w:val="sr-Cyrl-CS"/>
              </w:rPr>
              <w:t>Стопа незапослености, %</w:t>
            </w:r>
          </w:p>
        </w:tc>
        <w:tc>
          <w:tcPr>
            <w:tcW w:w="556" w:type="pct"/>
            <w:shd w:val="clear" w:color="auto" w:fill="E6E6E6"/>
          </w:tcPr>
          <w:p w14:paraId="319573DF" w14:textId="77777777" w:rsidR="00907B95" w:rsidRPr="0007074F" w:rsidRDefault="00907B95" w:rsidP="002D6E55">
            <w:pPr>
              <w:rPr>
                <w:rFonts w:cstheme="minorHAnsi"/>
                <w:color w:val="002060"/>
                <w:sz w:val="18"/>
                <w:szCs w:val="18"/>
                <w:lang w:val="sr-Cyrl-CS"/>
              </w:rPr>
            </w:pPr>
          </w:p>
        </w:tc>
        <w:tc>
          <w:tcPr>
            <w:tcW w:w="556" w:type="pct"/>
            <w:shd w:val="clear" w:color="auto" w:fill="E6E6E6"/>
          </w:tcPr>
          <w:p w14:paraId="4D8AFA51" w14:textId="77777777" w:rsidR="00907B95" w:rsidRPr="0007074F" w:rsidRDefault="00907B95" w:rsidP="002D6E55">
            <w:pPr>
              <w:rPr>
                <w:rFonts w:cstheme="minorHAnsi"/>
                <w:color w:val="002060"/>
                <w:sz w:val="18"/>
                <w:szCs w:val="18"/>
                <w:lang w:val="sr-Cyrl-CS"/>
              </w:rPr>
            </w:pPr>
          </w:p>
        </w:tc>
        <w:tc>
          <w:tcPr>
            <w:tcW w:w="556" w:type="pct"/>
            <w:shd w:val="clear" w:color="auto" w:fill="E6E6E6"/>
          </w:tcPr>
          <w:p w14:paraId="67B1DA21" w14:textId="77777777" w:rsidR="00907B95" w:rsidRPr="0007074F" w:rsidRDefault="00907B95" w:rsidP="002D6E55">
            <w:pPr>
              <w:rPr>
                <w:rFonts w:cstheme="minorHAnsi"/>
                <w:color w:val="002060"/>
                <w:sz w:val="18"/>
                <w:szCs w:val="18"/>
                <w:lang w:val="sr-Cyrl-CS"/>
              </w:rPr>
            </w:pPr>
          </w:p>
        </w:tc>
        <w:tc>
          <w:tcPr>
            <w:tcW w:w="556" w:type="pct"/>
            <w:shd w:val="clear" w:color="auto" w:fill="E6E6E6"/>
          </w:tcPr>
          <w:p w14:paraId="2D0A02A0" w14:textId="77777777" w:rsidR="00907B95" w:rsidRPr="0007074F" w:rsidRDefault="00907B95" w:rsidP="002D6E55">
            <w:pPr>
              <w:rPr>
                <w:rFonts w:cstheme="minorHAnsi"/>
                <w:color w:val="002060"/>
                <w:sz w:val="18"/>
                <w:szCs w:val="18"/>
                <w:lang w:val="sr-Cyrl-CS"/>
              </w:rPr>
            </w:pPr>
          </w:p>
        </w:tc>
        <w:tc>
          <w:tcPr>
            <w:tcW w:w="556" w:type="pct"/>
            <w:shd w:val="clear" w:color="auto" w:fill="E6E6E6"/>
          </w:tcPr>
          <w:p w14:paraId="74137768" w14:textId="77777777" w:rsidR="00907B95" w:rsidRPr="0007074F" w:rsidRDefault="00907B95" w:rsidP="002D6E55">
            <w:pPr>
              <w:rPr>
                <w:rFonts w:cstheme="minorHAnsi"/>
                <w:color w:val="002060"/>
                <w:sz w:val="18"/>
                <w:szCs w:val="18"/>
                <w:lang w:val="sr-Cyrl-CS"/>
              </w:rPr>
            </w:pPr>
          </w:p>
        </w:tc>
      </w:tr>
      <w:tr w:rsidR="00907B95" w:rsidRPr="0007074F" w14:paraId="07D903C7" w14:textId="77777777" w:rsidTr="002D6E55">
        <w:trPr>
          <w:trHeight w:val="136"/>
        </w:trPr>
        <w:tc>
          <w:tcPr>
            <w:tcW w:w="2220" w:type="pct"/>
          </w:tcPr>
          <w:p w14:paraId="7E7CDDCA" w14:textId="77777777" w:rsidR="00907B95" w:rsidRPr="0007074F" w:rsidRDefault="00907B95" w:rsidP="002D6E55">
            <w:pPr>
              <w:ind w:left="440" w:hanging="180"/>
              <w:rPr>
                <w:rFonts w:cstheme="minorHAnsi"/>
                <w:color w:val="002060"/>
                <w:sz w:val="18"/>
                <w:lang w:val="sr-Cyrl-CS"/>
              </w:rPr>
            </w:pPr>
            <w:r w:rsidRPr="0007074F">
              <w:rPr>
                <w:rFonts w:cstheme="minorHAnsi"/>
                <w:color w:val="002060"/>
                <w:sz w:val="18"/>
                <w:lang w:val="sr-Cyrl-CS"/>
              </w:rPr>
              <w:t>Еврозона</w:t>
            </w:r>
          </w:p>
        </w:tc>
        <w:tc>
          <w:tcPr>
            <w:tcW w:w="556" w:type="pct"/>
            <w:vAlign w:val="center"/>
          </w:tcPr>
          <w:p w14:paraId="17558C44"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6,8</w:t>
            </w:r>
          </w:p>
        </w:tc>
        <w:tc>
          <w:tcPr>
            <w:tcW w:w="556" w:type="pct"/>
            <w:vAlign w:val="center"/>
          </w:tcPr>
          <w:p w14:paraId="47F2C62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6,8</w:t>
            </w:r>
          </w:p>
        </w:tc>
        <w:tc>
          <w:tcPr>
            <w:tcW w:w="556" w:type="pct"/>
            <w:vAlign w:val="center"/>
          </w:tcPr>
          <w:p w14:paraId="47A96C09"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6,8</w:t>
            </w:r>
          </w:p>
        </w:tc>
        <w:tc>
          <w:tcPr>
            <w:tcW w:w="556" w:type="pct"/>
            <w:vAlign w:val="center"/>
          </w:tcPr>
          <w:p w14:paraId="49A27E3E"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6,6</w:t>
            </w:r>
          </w:p>
        </w:tc>
        <w:tc>
          <w:tcPr>
            <w:tcW w:w="556" w:type="pct"/>
            <w:vAlign w:val="center"/>
          </w:tcPr>
          <w:p w14:paraId="79D1FCB7"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6,6</w:t>
            </w:r>
          </w:p>
        </w:tc>
      </w:tr>
      <w:tr w:rsidR="00907B95" w:rsidRPr="0007074F" w14:paraId="359197D4" w14:textId="77777777" w:rsidTr="002D6E55">
        <w:trPr>
          <w:trHeight w:val="128"/>
        </w:trPr>
        <w:tc>
          <w:tcPr>
            <w:tcW w:w="2220" w:type="pct"/>
          </w:tcPr>
          <w:p w14:paraId="2B72902F" w14:textId="77777777" w:rsidR="00907B95" w:rsidRPr="0007074F" w:rsidRDefault="00907B95" w:rsidP="002D6E55">
            <w:pPr>
              <w:ind w:left="440" w:hanging="180"/>
              <w:rPr>
                <w:rFonts w:cstheme="minorHAnsi"/>
                <w:color w:val="002060"/>
                <w:sz w:val="18"/>
                <w:lang w:val="sr-Cyrl-CS"/>
              </w:rPr>
            </w:pPr>
            <w:r w:rsidRPr="0007074F">
              <w:rPr>
                <w:rFonts w:cstheme="minorHAnsi"/>
                <w:color w:val="002060"/>
                <w:sz w:val="18"/>
                <w:lang w:val="sr-Cyrl-CS"/>
              </w:rPr>
              <w:t>САД</w:t>
            </w:r>
          </w:p>
        </w:tc>
        <w:tc>
          <w:tcPr>
            <w:tcW w:w="556" w:type="pct"/>
            <w:vAlign w:val="center"/>
          </w:tcPr>
          <w:p w14:paraId="651218F7"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3,6</w:t>
            </w:r>
          </w:p>
        </w:tc>
        <w:tc>
          <w:tcPr>
            <w:tcW w:w="556" w:type="pct"/>
            <w:vAlign w:val="center"/>
          </w:tcPr>
          <w:p w14:paraId="025496E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3,8</w:t>
            </w:r>
          </w:p>
        </w:tc>
        <w:tc>
          <w:tcPr>
            <w:tcW w:w="556" w:type="pct"/>
            <w:vAlign w:val="center"/>
          </w:tcPr>
          <w:p w14:paraId="022E9163"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4,9</w:t>
            </w:r>
          </w:p>
        </w:tc>
        <w:tc>
          <w:tcPr>
            <w:tcW w:w="556" w:type="pct"/>
            <w:vAlign w:val="center"/>
          </w:tcPr>
          <w:p w14:paraId="4F8C388A"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4,8</w:t>
            </w:r>
          </w:p>
        </w:tc>
        <w:tc>
          <w:tcPr>
            <w:tcW w:w="556" w:type="pct"/>
            <w:vAlign w:val="center"/>
          </w:tcPr>
          <w:p w14:paraId="5161F219"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4,3</w:t>
            </w:r>
          </w:p>
        </w:tc>
      </w:tr>
      <w:tr w:rsidR="00907B95" w:rsidRPr="0007074F" w14:paraId="365C3450" w14:textId="77777777" w:rsidTr="002D6E55">
        <w:trPr>
          <w:trHeight w:val="136"/>
        </w:trPr>
        <w:tc>
          <w:tcPr>
            <w:tcW w:w="2220" w:type="pct"/>
            <w:shd w:val="clear" w:color="auto" w:fill="E6E6E6"/>
          </w:tcPr>
          <w:p w14:paraId="2D7A6553" w14:textId="77777777" w:rsidR="00907B95" w:rsidRPr="0007074F" w:rsidRDefault="00907B95" w:rsidP="002D6E55">
            <w:pPr>
              <w:rPr>
                <w:rFonts w:cstheme="minorHAnsi"/>
                <w:color w:val="002060"/>
                <w:sz w:val="18"/>
                <w:lang w:val="sr-Cyrl-CS"/>
              </w:rPr>
            </w:pPr>
            <w:r w:rsidRPr="0007074F">
              <w:rPr>
                <w:rFonts w:cstheme="minorHAnsi"/>
                <w:color w:val="002060"/>
                <w:sz w:val="18"/>
                <w:lang w:val="sr-Cyrl-CS"/>
              </w:rPr>
              <w:t>Потрошачке цене, просек периода, %</w:t>
            </w:r>
          </w:p>
        </w:tc>
        <w:tc>
          <w:tcPr>
            <w:tcW w:w="556" w:type="pct"/>
            <w:shd w:val="clear" w:color="auto" w:fill="E6E6E6"/>
          </w:tcPr>
          <w:p w14:paraId="4B8DFBAA" w14:textId="77777777" w:rsidR="00907B95" w:rsidRPr="0007074F" w:rsidRDefault="00907B95" w:rsidP="002D6E55">
            <w:pPr>
              <w:rPr>
                <w:rFonts w:cstheme="minorHAnsi"/>
                <w:color w:val="002060"/>
                <w:sz w:val="18"/>
                <w:szCs w:val="18"/>
                <w:lang w:val="sr-Cyrl-CS"/>
              </w:rPr>
            </w:pPr>
          </w:p>
        </w:tc>
        <w:tc>
          <w:tcPr>
            <w:tcW w:w="556" w:type="pct"/>
            <w:shd w:val="clear" w:color="auto" w:fill="E6E6E6"/>
          </w:tcPr>
          <w:p w14:paraId="20FC92C9" w14:textId="77777777" w:rsidR="00907B95" w:rsidRPr="0007074F" w:rsidRDefault="00907B95" w:rsidP="002D6E55">
            <w:pPr>
              <w:rPr>
                <w:rFonts w:cstheme="minorHAnsi"/>
                <w:color w:val="002060"/>
                <w:sz w:val="18"/>
                <w:szCs w:val="18"/>
                <w:lang w:val="sr-Cyrl-CS"/>
              </w:rPr>
            </w:pPr>
          </w:p>
        </w:tc>
        <w:tc>
          <w:tcPr>
            <w:tcW w:w="556" w:type="pct"/>
            <w:shd w:val="clear" w:color="auto" w:fill="E6E6E6"/>
          </w:tcPr>
          <w:p w14:paraId="1497DD53" w14:textId="77777777" w:rsidR="00907B95" w:rsidRPr="0007074F" w:rsidRDefault="00907B95" w:rsidP="002D6E55">
            <w:pPr>
              <w:rPr>
                <w:rFonts w:cstheme="minorHAnsi"/>
                <w:color w:val="002060"/>
                <w:sz w:val="18"/>
                <w:szCs w:val="18"/>
                <w:lang w:val="sr-Cyrl-CS"/>
              </w:rPr>
            </w:pPr>
          </w:p>
        </w:tc>
        <w:tc>
          <w:tcPr>
            <w:tcW w:w="556" w:type="pct"/>
            <w:shd w:val="clear" w:color="auto" w:fill="E6E6E6"/>
          </w:tcPr>
          <w:p w14:paraId="21126463" w14:textId="77777777" w:rsidR="00907B95" w:rsidRPr="0007074F" w:rsidRDefault="00907B95" w:rsidP="002D6E55">
            <w:pPr>
              <w:rPr>
                <w:rFonts w:cstheme="minorHAnsi"/>
                <w:color w:val="002060"/>
                <w:sz w:val="18"/>
                <w:szCs w:val="18"/>
                <w:lang w:val="sr-Cyrl-CS"/>
              </w:rPr>
            </w:pPr>
          </w:p>
        </w:tc>
        <w:tc>
          <w:tcPr>
            <w:tcW w:w="556" w:type="pct"/>
            <w:shd w:val="clear" w:color="auto" w:fill="E6E6E6"/>
          </w:tcPr>
          <w:p w14:paraId="59A1FC62" w14:textId="77777777" w:rsidR="00907B95" w:rsidRPr="0007074F" w:rsidRDefault="00907B95" w:rsidP="002D6E55">
            <w:pPr>
              <w:rPr>
                <w:rFonts w:cstheme="minorHAnsi"/>
                <w:color w:val="002060"/>
                <w:sz w:val="18"/>
                <w:szCs w:val="18"/>
                <w:lang w:val="sr-Cyrl-CS"/>
              </w:rPr>
            </w:pPr>
          </w:p>
        </w:tc>
      </w:tr>
      <w:tr w:rsidR="00907B95" w:rsidRPr="0007074F" w14:paraId="58D61AFE" w14:textId="77777777" w:rsidTr="002D6E55">
        <w:trPr>
          <w:trHeight w:val="128"/>
        </w:trPr>
        <w:tc>
          <w:tcPr>
            <w:tcW w:w="2220" w:type="pct"/>
          </w:tcPr>
          <w:p w14:paraId="0A4FAC72" w14:textId="77777777" w:rsidR="00907B95" w:rsidRPr="0007074F" w:rsidRDefault="00907B95" w:rsidP="002D6E55">
            <w:pPr>
              <w:ind w:left="350" w:hanging="90"/>
              <w:rPr>
                <w:rFonts w:cstheme="minorHAnsi"/>
                <w:color w:val="002060"/>
                <w:sz w:val="18"/>
                <w:lang w:val="sr-Cyrl-CS"/>
              </w:rPr>
            </w:pPr>
            <w:r w:rsidRPr="0007074F">
              <w:rPr>
                <w:rFonts w:cstheme="minorHAnsi"/>
                <w:color w:val="002060"/>
                <w:sz w:val="18"/>
                <w:lang w:val="sr-Cyrl-CS"/>
              </w:rPr>
              <w:t>Еврозона</w:t>
            </w:r>
          </w:p>
        </w:tc>
        <w:tc>
          <w:tcPr>
            <w:tcW w:w="556" w:type="pct"/>
            <w:vAlign w:val="center"/>
          </w:tcPr>
          <w:p w14:paraId="2D973A8D"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8,4</w:t>
            </w:r>
          </w:p>
        </w:tc>
        <w:tc>
          <w:tcPr>
            <w:tcW w:w="556" w:type="pct"/>
            <w:vAlign w:val="center"/>
          </w:tcPr>
          <w:p w14:paraId="1DAE0259"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5,3</w:t>
            </w:r>
          </w:p>
        </w:tc>
        <w:tc>
          <w:tcPr>
            <w:tcW w:w="556" w:type="pct"/>
            <w:vAlign w:val="center"/>
          </w:tcPr>
          <w:p w14:paraId="379CE2FB"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2,9</w:t>
            </w:r>
          </w:p>
        </w:tc>
        <w:tc>
          <w:tcPr>
            <w:tcW w:w="556" w:type="pct"/>
            <w:vAlign w:val="center"/>
          </w:tcPr>
          <w:p w14:paraId="18BC7813"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2,2</w:t>
            </w:r>
          </w:p>
        </w:tc>
        <w:tc>
          <w:tcPr>
            <w:tcW w:w="556" w:type="pct"/>
            <w:vAlign w:val="center"/>
          </w:tcPr>
          <w:p w14:paraId="11572FE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2,0</w:t>
            </w:r>
          </w:p>
        </w:tc>
      </w:tr>
      <w:tr w:rsidR="00907B95" w:rsidRPr="0007074F" w14:paraId="6925BA4B" w14:textId="77777777" w:rsidTr="002D6E55">
        <w:trPr>
          <w:trHeight w:val="136"/>
        </w:trPr>
        <w:tc>
          <w:tcPr>
            <w:tcW w:w="2220" w:type="pct"/>
          </w:tcPr>
          <w:p w14:paraId="28D66D33" w14:textId="77777777" w:rsidR="00907B95" w:rsidRPr="0007074F" w:rsidRDefault="00907B95" w:rsidP="002D6E55">
            <w:pPr>
              <w:ind w:left="350" w:hanging="90"/>
              <w:rPr>
                <w:rFonts w:cstheme="minorHAnsi"/>
                <w:color w:val="002060"/>
                <w:sz w:val="18"/>
                <w:lang w:val="sr-Cyrl-CS"/>
              </w:rPr>
            </w:pPr>
            <w:r w:rsidRPr="0007074F">
              <w:rPr>
                <w:rFonts w:cstheme="minorHAnsi"/>
                <w:color w:val="002060"/>
                <w:sz w:val="18"/>
                <w:lang w:val="sr-Cyrl-CS"/>
              </w:rPr>
              <w:t>Развијене економије</w:t>
            </w:r>
          </w:p>
        </w:tc>
        <w:tc>
          <w:tcPr>
            <w:tcW w:w="556" w:type="pct"/>
            <w:vAlign w:val="center"/>
          </w:tcPr>
          <w:p w14:paraId="4527F8B9"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7,3</w:t>
            </w:r>
          </w:p>
        </w:tc>
        <w:tc>
          <w:tcPr>
            <w:tcW w:w="556" w:type="pct"/>
            <w:vAlign w:val="center"/>
          </w:tcPr>
          <w:p w14:paraId="297D97B7"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4,7</w:t>
            </w:r>
          </w:p>
        </w:tc>
        <w:tc>
          <w:tcPr>
            <w:tcW w:w="556" w:type="pct"/>
            <w:vAlign w:val="center"/>
          </w:tcPr>
          <w:p w14:paraId="52321E66"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2,6</w:t>
            </w:r>
          </w:p>
        </w:tc>
        <w:tc>
          <w:tcPr>
            <w:tcW w:w="556" w:type="pct"/>
            <w:vAlign w:val="center"/>
          </w:tcPr>
          <w:p w14:paraId="67C4FD81"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2,1</w:t>
            </w:r>
          </w:p>
        </w:tc>
        <w:tc>
          <w:tcPr>
            <w:tcW w:w="556" w:type="pct"/>
            <w:vAlign w:val="center"/>
          </w:tcPr>
          <w:p w14:paraId="0B3E1E86"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1,9</w:t>
            </w:r>
          </w:p>
        </w:tc>
      </w:tr>
      <w:tr w:rsidR="00907B95" w:rsidRPr="0007074F" w14:paraId="16B13C3C" w14:textId="77777777" w:rsidTr="002D6E55">
        <w:trPr>
          <w:trHeight w:val="50"/>
        </w:trPr>
        <w:tc>
          <w:tcPr>
            <w:tcW w:w="2220" w:type="pct"/>
          </w:tcPr>
          <w:p w14:paraId="6768B140" w14:textId="77777777" w:rsidR="00907B95" w:rsidRPr="0007074F" w:rsidRDefault="00907B95" w:rsidP="002D6E55">
            <w:pPr>
              <w:ind w:left="350" w:hanging="90"/>
              <w:rPr>
                <w:rFonts w:cstheme="minorHAnsi"/>
                <w:color w:val="002060"/>
                <w:sz w:val="18"/>
                <w:lang w:val="sr-Cyrl-CS"/>
              </w:rPr>
            </w:pPr>
            <w:r w:rsidRPr="0007074F">
              <w:rPr>
                <w:rFonts w:cstheme="minorHAnsi"/>
                <w:color w:val="002060"/>
                <w:sz w:val="18"/>
                <w:lang w:val="sr-Cyrl-CS"/>
              </w:rPr>
              <w:t>Земље у успону</w:t>
            </w:r>
          </w:p>
        </w:tc>
        <w:tc>
          <w:tcPr>
            <w:tcW w:w="556" w:type="pct"/>
            <w:vAlign w:val="center"/>
          </w:tcPr>
          <w:p w14:paraId="3664D492"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9,8</w:t>
            </w:r>
          </w:p>
        </w:tc>
        <w:tc>
          <w:tcPr>
            <w:tcW w:w="556" w:type="pct"/>
            <w:vAlign w:val="center"/>
          </w:tcPr>
          <w:p w14:paraId="553BA33B"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8,6</w:t>
            </w:r>
          </w:p>
        </w:tc>
        <w:tc>
          <w:tcPr>
            <w:tcW w:w="556" w:type="pct"/>
            <w:vAlign w:val="center"/>
          </w:tcPr>
          <w:p w14:paraId="6BF1DF21"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6,5</w:t>
            </w:r>
          </w:p>
        </w:tc>
        <w:tc>
          <w:tcPr>
            <w:tcW w:w="556" w:type="pct"/>
            <w:vAlign w:val="center"/>
          </w:tcPr>
          <w:p w14:paraId="3909E6E1"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5,2</w:t>
            </w:r>
          </w:p>
        </w:tc>
        <w:tc>
          <w:tcPr>
            <w:tcW w:w="556" w:type="pct"/>
            <w:vAlign w:val="center"/>
          </w:tcPr>
          <w:p w14:paraId="4BEB232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4,7</w:t>
            </w:r>
          </w:p>
        </w:tc>
      </w:tr>
      <w:tr w:rsidR="00907B95" w:rsidRPr="0007074F" w14:paraId="077076AC" w14:textId="77777777" w:rsidTr="002D6E55">
        <w:trPr>
          <w:trHeight w:val="14"/>
        </w:trPr>
        <w:tc>
          <w:tcPr>
            <w:tcW w:w="2220" w:type="pct"/>
          </w:tcPr>
          <w:p w14:paraId="286076D5" w14:textId="77777777" w:rsidR="00907B95" w:rsidRPr="0007074F" w:rsidRDefault="00907B95" w:rsidP="002D6E55">
            <w:pPr>
              <w:rPr>
                <w:rFonts w:cstheme="minorHAnsi"/>
                <w:color w:val="002060"/>
                <w:sz w:val="18"/>
                <w:lang w:val="sr-Cyrl-CS"/>
              </w:rPr>
            </w:pPr>
          </w:p>
        </w:tc>
        <w:tc>
          <w:tcPr>
            <w:tcW w:w="556" w:type="pct"/>
            <w:vAlign w:val="center"/>
          </w:tcPr>
          <w:p w14:paraId="17BB833A" w14:textId="77777777" w:rsidR="00907B95" w:rsidRPr="0007074F" w:rsidRDefault="00907B95" w:rsidP="002D6E55">
            <w:pPr>
              <w:rPr>
                <w:rFonts w:cstheme="minorHAnsi"/>
                <w:color w:val="002060"/>
                <w:sz w:val="18"/>
                <w:szCs w:val="18"/>
                <w:lang w:val="sr-Cyrl-CS"/>
              </w:rPr>
            </w:pPr>
          </w:p>
        </w:tc>
        <w:tc>
          <w:tcPr>
            <w:tcW w:w="556" w:type="pct"/>
            <w:vAlign w:val="center"/>
          </w:tcPr>
          <w:p w14:paraId="0FA6043E" w14:textId="77777777" w:rsidR="00907B95" w:rsidRPr="0007074F" w:rsidRDefault="00907B95" w:rsidP="002D6E55">
            <w:pPr>
              <w:rPr>
                <w:rFonts w:cstheme="minorHAnsi"/>
                <w:color w:val="002060"/>
                <w:sz w:val="18"/>
                <w:szCs w:val="18"/>
                <w:lang w:val="sr-Cyrl-CS"/>
              </w:rPr>
            </w:pPr>
          </w:p>
        </w:tc>
        <w:tc>
          <w:tcPr>
            <w:tcW w:w="556" w:type="pct"/>
            <w:vAlign w:val="center"/>
          </w:tcPr>
          <w:p w14:paraId="6EFD6C87" w14:textId="77777777" w:rsidR="00907B95" w:rsidRPr="0007074F" w:rsidRDefault="00907B95" w:rsidP="002D6E55">
            <w:pPr>
              <w:rPr>
                <w:rFonts w:cstheme="minorHAnsi"/>
                <w:color w:val="002060"/>
                <w:sz w:val="18"/>
                <w:szCs w:val="18"/>
                <w:lang w:val="sr-Cyrl-CS"/>
              </w:rPr>
            </w:pPr>
          </w:p>
        </w:tc>
        <w:tc>
          <w:tcPr>
            <w:tcW w:w="556" w:type="pct"/>
            <w:vAlign w:val="center"/>
          </w:tcPr>
          <w:p w14:paraId="0B39651E" w14:textId="77777777" w:rsidR="00907B95" w:rsidRPr="0007074F" w:rsidRDefault="00907B95" w:rsidP="002D6E55">
            <w:pPr>
              <w:rPr>
                <w:rFonts w:cstheme="minorHAnsi"/>
                <w:color w:val="002060"/>
                <w:sz w:val="18"/>
                <w:szCs w:val="18"/>
                <w:lang w:val="sr-Cyrl-CS"/>
              </w:rPr>
            </w:pPr>
          </w:p>
        </w:tc>
        <w:tc>
          <w:tcPr>
            <w:tcW w:w="556" w:type="pct"/>
            <w:vAlign w:val="center"/>
          </w:tcPr>
          <w:p w14:paraId="33E8DCEE" w14:textId="77777777" w:rsidR="00907B95" w:rsidRPr="0007074F" w:rsidRDefault="00907B95" w:rsidP="002D6E55">
            <w:pPr>
              <w:rPr>
                <w:rFonts w:cstheme="minorHAnsi"/>
                <w:color w:val="002060"/>
                <w:sz w:val="18"/>
                <w:szCs w:val="18"/>
                <w:lang w:val="sr-Cyrl-CS"/>
              </w:rPr>
            </w:pPr>
          </w:p>
        </w:tc>
      </w:tr>
      <w:tr w:rsidR="00907B95" w:rsidRPr="0007074F" w14:paraId="4AC7A846" w14:textId="77777777" w:rsidTr="002D6E55">
        <w:trPr>
          <w:trHeight w:val="50"/>
        </w:trPr>
        <w:tc>
          <w:tcPr>
            <w:tcW w:w="2220" w:type="pct"/>
          </w:tcPr>
          <w:p w14:paraId="008560A8" w14:textId="77777777" w:rsidR="00907B95" w:rsidRPr="0007074F" w:rsidRDefault="00907B95" w:rsidP="002D6E55">
            <w:pPr>
              <w:rPr>
                <w:rFonts w:cstheme="minorHAnsi"/>
                <w:color w:val="002060"/>
                <w:sz w:val="18"/>
                <w:lang w:val="sr-Cyrl-CS"/>
              </w:rPr>
            </w:pPr>
            <w:r w:rsidRPr="0007074F">
              <w:rPr>
                <w:rFonts w:cstheme="minorHAnsi"/>
                <w:color w:val="002060"/>
                <w:sz w:val="18"/>
                <w:lang w:val="sr-Cyrl-CS"/>
              </w:rPr>
              <w:t>Девизни курс, евро/долар, просек периода</w:t>
            </w:r>
          </w:p>
        </w:tc>
        <w:tc>
          <w:tcPr>
            <w:tcW w:w="556" w:type="pct"/>
            <w:vAlign w:val="center"/>
          </w:tcPr>
          <w:p w14:paraId="17D9BB0A"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1,1</w:t>
            </w:r>
          </w:p>
        </w:tc>
        <w:tc>
          <w:tcPr>
            <w:tcW w:w="556" w:type="pct"/>
            <w:vAlign w:val="center"/>
          </w:tcPr>
          <w:p w14:paraId="16E93658"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1,1</w:t>
            </w:r>
          </w:p>
        </w:tc>
        <w:tc>
          <w:tcPr>
            <w:tcW w:w="556" w:type="pct"/>
            <w:vAlign w:val="center"/>
          </w:tcPr>
          <w:p w14:paraId="0BD6866E"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1,1</w:t>
            </w:r>
          </w:p>
        </w:tc>
        <w:tc>
          <w:tcPr>
            <w:tcW w:w="556" w:type="pct"/>
            <w:vAlign w:val="center"/>
          </w:tcPr>
          <w:p w14:paraId="3FEFEB7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w:t>
            </w:r>
          </w:p>
        </w:tc>
        <w:tc>
          <w:tcPr>
            <w:tcW w:w="556" w:type="pct"/>
            <w:vAlign w:val="center"/>
          </w:tcPr>
          <w:p w14:paraId="7229DB1C" w14:textId="77777777" w:rsidR="00907B95" w:rsidRPr="0007074F" w:rsidRDefault="00907B95" w:rsidP="002D6E55">
            <w:pPr>
              <w:jc w:val="center"/>
              <w:rPr>
                <w:rFonts w:cstheme="minorHAnsi"/>
                <w:color w:val="002060"/>
                <w:sz w:val="18"/>
                <w:szCs w:val="18"/>
                <w:lang w:val="sr-Cyrl-CS"/>
              </w:rPr>
            </w:pPr>
            <w:r w:rsidRPr="0007074F">
              <w:rPr>
                <w:rFonts w:eastAsia="Times New Roman" w:cstheme="minorHAnsi"/>
                <w:color w:val="002060"/>
                <w:sz w:val="18"/>
                <w:szCs w:val="18"/>
                <w:lang w:val="sr-Cyrl-CS" w:eastAsia="en-GB"/>
              </w:rPr>
              <w:t>-</w:t>
            </w:r>
          </w:p>
        </w:tc>
      </w:tr>
      <w:tr w:rsidR="00907B95" w:rsidRPr="0007074F" w14:paraId="777C610A" w14:textId="77777777" w:rsidTr="002D6E55">
        <w:trPr>
          <w:trHeight w:val="96"/>
        </w:trPr>
        <w:tc>
          <w:tcPr>
            <w:tcW w:w="2220" w:type="pct"/>
          </w:tcPr>
          <w:p w14:paraId="688F5CDE" w14:textId="77777777" w:rsidR="00907B95" w:rsidRPr="0007074F" w:rsidRDefault="00907B95" w:rsidP="002D6E55">
            <w:pPr>
              <w:rPr>
                <w:rFonts w:cstheme="minorHAnsi"/>
                <w:color w:val="002060"/>
                <w:sz w:val="18"/>
                <w:lang w:val="sr-Cyrl-CS"/>
              </w:rPr>
            </w:pPr>
            <w:r w:rsidRPr="0007074F">
              <w:rPr>
                <w:rFonts w:cstheme="minorHAnsi"/>
                <w:color w:val="002060"/>
                <w:sz w:val="18"/>
                <w:lang w:val="sr-Cyrl-CS"/>
              </w:rPr>
              <w:t>Цене житарица, у доларима, годишње промене</w:t>
            </w:r>
            <w:r w:rsidRPr="0007074F">
              <w:rPr>
                <w:rFonts w:cstheme="minorHAnsi"/>
                <w:color w:val="002060"/>
                <w:sz w:val="18"/>
                <w:vertAlign w:val="superscript"/>
                <w:lang w:val="sr-Cyrl-CS"/>
              </w:rPr>
              <w:t>2</w:t>
            </w:r>
          </w:p>
        </w:tc>
        <w:tc>
          <w:tcPr>
            <w:tcW w:w="556" w:type="pct"/>
            <w:vAlign w:val="center"/>
          </w:tcPr>
          <w:p w14:paraId="5EEAAFE0"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24,8</w:t>
            </w:r>
          </w:p>
        </w:tc>
        <w:tc>
          <w:tcPr>
            <w:tcW w:w="556" w:type="pct"/>
            <w:vAlign w:val="center"/>
          </w:tcPr>
          <w:p w14:paraId="6C6A0E8C"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-11,4</w:t>
            </w:r>
          </w:p>
        </w:tc>
        <w:tc>
          <w:tcPr>
            <w:tcW w:w="556" w:type="pct"/>
            <w:vAlign w:val="center"/>
          </w:tcPr>
          <w:p w14:paraId="3BBCF976"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-1,5</w:t>
            </w:r>
          </w:p>
        </w:tc>
        <w:tc>
          <w:tcPr>
            <w:tcW w:w="556" w:type="pct"/>
            <w:vAlign w:val="center"/>
          </w:tcPr>
          <w:p w14:paraId="5BBAED38"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-2,8</w:t>
            </w:r>
          </w:p>
        </w:tc>
        <w:tc>
          <w:tcPr>
            <w:tcW w:w="556" w:type="pct"/>
            <w:vAlign w:val="center"/>
          </w:tcPr>
          <w:p w14:paraId="2D2B76E1"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0,0</w:t>
            </w:r>
          </w:p>
        </w:tc>
      </w:tr>
      <w:tr w:rsidR="00907B95" w:rsidRPr="0007074F" w14:paraId="3053CCD6" w14:textId="77777777" w:rsidTr="002D6E55">
        <w:trPr>
          <w:trHeight w:val="119"/>
        </w:trPr>
        <w:tc>
          <w:tcPr>
            <w:tcW w:w="2220" w:type="pct"/>
          </w:tcPr>
          <w:p w14:paraId="79A3AB86" w14:textId="77777777" w:rsidR="00907B95" w:rsidRPr="0007074F" w:rsidRDefault="00907B95" w:rsidP="002D6E55">
            <w:pPr>
              <w:rPr>
                <w:rFonts w:cstheme="minorHAnsi"/>
                <w:color w:val="002060"/>
                <w:sz w:val="18"/>
                <w:lang w:val="sr-Cyrl-CS"/>
              </w:rPr>
            </w:pPr>
            <w:r w:rsidRPr="0007074F">
              <w:rPr>
                <w:rFonts w:cstheme="minorHAnsi"/>
                <w:color w:val="002060"/>
                <w:sz w:val="18"/>
                <w:lang w:val="sr-Cyrl-CS"/>
              </w:rPr>
              <w:t>Цене метала, у доларима, годишње промене</w:t>
            </w:r>
            <w:r w:rsidRPr="0007074F">
              <w:rPr>
                <w:rFonts w:cstheme="minorHAnsi"/>
                <w:color w:val="002060"/>
                <w:sz w:val="18"/>
                <w:vertAlign w:val="superscript"/>
                <w:lang w:val="sr-Cyrl-CS"/>
              </w:rPr>
              <w:t>3</w:t>
            </w:r>
          </w:p>
        </w:tc>
        <w:tc>
          <w:tcPr>
            <w:tcW w:w="556" w:type="pct"/>
            <w:vAlign w:val="center"/>
          </w:tcPr>
          <w:p w14:paraId="16F82D4B"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-5,6</w:t>
            </w:r>
          </w:p>
        </w:tc>
        <w:tc>
          <w:tcPr>
            <w:tcW w:w="556" w:type="pct"/>
            <w:vAlign w:val="center"/>
          </w:tcPr>
          <w:p w14:paraId="49EE423B"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3,5</w:t>
            </w:r>
          </w:p>
        </w:tc>
        <w:tc>
          <w:tcPr>
            <w:tcW w:w="556" w:type="pct"/>
            <w:vAlign w:val="center"/>
          </w:tcPr>
          <w:p w14:paraId="546F9CCF"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-2,6</w:t>
            </w:r>
          </w:p>
        </w:tc>
        <w:tc>
          <w:tcPr>
            <w:tcW w:w="556" w:type="pct"/>
            <w:vAlign w:val="center"/>
          </w:tcPr>
          <w:p w14:paraId="58DFA70F"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-1,5</w:t>
            </w:r>
          </w:p>
        </w:tc>
        <w:tc>
          <w:tcPr>
            <w:tcW w:w="556" w:type="pct"/>
            <w:vAlign w:val="center"/>
          </w:tcPr>
          <w:p w14:paraId="1718DFF1"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-0,5</w:t>
            </w:r>
          </w:p>
        </w:tc>
      </w:tr>
      <w:tr w:rsidR="00907B95" w:rsidRPr="0007074F" w14:paraId="2BE3A21B" w14:textId="77777777" w:rsidTr="002D6E55">
        <w:trPr>
          <w:trHeight w:val="50"/>
        </w:trPr>
        <w:tc>
          <w:tcPr>
            <w:tcW w:w="2220" w:type="pct"/>
          </w:tcPr>
          <w:p w14:paraId="19E5EEA2" w14:textId="77777777" w:rsidR="00907B95" w:rsidRPr="0007074F" w:rsidRDefault="00907B95" w:rsidP="002D6E55">
            <w:pPr>
              <w:rPr>
                <w:rFonts w:cstheme="minorHAnsi"/>
                <w:color w:val="002060"/>
                <w:sz w:val="18"/>
                <w:lang w:val="sr-Cyrl-CS"/>
              </w:rPr>
            </w:pPr>
            <w:r w:rsidRPr="0007074F">
              <w:rPr>
                <w:rFonts w:cstheme="minorHAnsi"/>
                <w:color w:val="002060"/>
                <w:sz w:val="18"/>
                <w:lang w:val="sr-Cyrl-CS"/>
              </w:rPr>
              <w:t>Цена руде гвожђа, у доларима</w:t>
            </w:r>
            <w:r w:rsidRPr="0007074F">
              <w:rPr>
                <w:rFonts w:cstheme="minorHAnsi"/>
                <w:color w:val="002060"/>
                <w:sz w:val="18"/>
                <w:vertAlign w:val="superscript"/>
                <w:lang w:val="sr-Cyrl-CS"/>
              </w:rPr>
              <w:t>4</w:t>
            </w:r>
          </w:p>
        </w:tc>
        <w:tc>
          <w:tcPr>
            <w:tcW w:w="556" w:type="pct"/>
            <w:vAlign w:val="center"/>
          </w:tcPr>
          <w:p w14:paraId="25007BDE"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120,7</w:t>
            </w:r>
          </w:p>
        </w:tc>
        <w:tc>
          <w:tcPr>
            <w:tcW w:w="556" w:type="pct"/>
            <w:vAlign w:val="center"/>
          </w:tcPr>
          <w:p w14:paraId="1E9CC446"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126,4</w:t>
            </w:r>
          </w:p>
        </w:tc>
        <w:tc>
          <w:tcPr>
            <w:tcW w:w="556" w:type="pct"/>
            <w:vAlign w:val="center"/>
          </w:tcPr>
          <w:p w14:paraId="7F2275FC"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116,4</w:t>
            </w:r>
          </w:p>
        </w:tc>
        <w:tc>
          <w:tcPr>
            <w:tcW w:w="556" w:type="pct"/>
            <w:vAlign w:val="center"/>
          </w:tcPr>
          <w:p w14:paraId="68154C77"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108,0</w:t>
            </w:r>
          </w:p>
        </w:tc>
        <w:tc>
          <w:tcPr>
            <w:tcW w:w="556" w:type="pct"/>
            <w:vAlign w:val="center"/>
          </w:tcPr>
          <w:p w14:paraId="14235E41"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103,8</w:t>
            </w:r>
          </w:p>
        </w:tc>
      </w:tr>
      <w:tr w:rsidR="00907B95" w:rsidRPr="0007074F" w14:paraId="057982F2" w14:textId="77777777" w:rsidTr="002D6E55">
        <w:trPr>
          <w:trHeight w:val="123"/>
        </w:trPr>
        <w:tc>
          <w:tcPr>
            <w:tcW w:w="2220" w:type="pct"/>
            <w:tcBorders>
              <w:bottom w:val="single" w:sz="4" w:space="0" w:color="002060"/>
            </w:tcBorders>
          </w:tcPr>
          <w:p w14:paraId="56CEAC04" w14:textId="77777777" w:rsidR="00907B95" w:rsidRPr="0007074F" w:rsidRDefault="00907B95" w:rsidP="002D6E55">
            <w:pPr>
              <w:rPr>
                <w:rFonts w:cstheme="minorHAnsi"/>
                <w:color w:val="002060"/>
                <w:sz w:val="18"/>
                <w:lang w:val="sr-Cyrl-CS"/>
              </w:rPr>
            </w:pPr>
            <w:r w:rsidRPr="0007074F">
              <w:rPr>
                <w:rFonts w:cstheme="minorHAnsi"/>
                <w:color w:val="002060"/>
                <w:sz w:val="18"/>
                <w:lang w:val="sr-Cyrl-CS"/>
              </w:rPr>
              <w:t>Цене нафте, у доларима, годишње промене, %</w:t>
            </w:r>
          </w:p>
        </w:tc>
        <w:tc>
          <w:tcPr>
            <w:tcW w:w="556" w:type="pct"/>
            <w:tcBorders>
              <w:bottom w:val="single" w:sz="4" w:space="0" w:color="002060"/>
            </w:tcBorders>
            <w:vAlign w:val="center"/>
          </w:tcPr>
          <w:p w14:paraId="51A9F6DC"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39,2</w:t>
            </w:r>
          </w:p>
        </w:tc>
        <w:tc>
          <w:tcPr>
            <w:tcW w:w="556" w:type="pct"/>
            <w:tcBorders>
              <w:bottom w:val="single" w:sz="4" w:space="0" w:color="002060"/>
            </w:tcBorders>
            <w:vAlign w:val="center"/>
          </w:tcPr>
          <w:p w14:paraId="007034DC"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-24,1</w:t>
            </w:r>
          </w:p>
        </w:tc>
        <w:tc>
          <w:tcPr>
            <w:tcW w:w="556" w:type="pct"/>
            <w:tcBorders>
              <w:bottom w:val="single" w:sz="4" w:space="0" w:color="002060"/>
            </w:tcBorders>
            <w:vAlign w:val="center"/>
          </w:tcPr>
          <w:p w14:paraId="6BA894B7"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-5,8</w:t>
            </w:r>
          </w:p>
        </w:tc>
        <w:tc>
          <w:tcPr>
            <w:tcW w:w="556" w:type="pct"/>
            <w:tcBorders>
              <w:bottom w:val="single" w:sz="4" w:space="0" w:color="002060"/>
            </w:tcBorders>
            <w:vAlign w:val="center"/>
          </w:tcPr>
          <w:p w14:paraId="3D5E248C"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-2,8</w:t>
            </w:r>
          </w:p>
        </w:tc>
        <w:tc>
          <w:tcPr>
            <w:tcW w:w="556" w:type="pct"/>
            <w:tcBorders>
              <w:bottom w:val="single" w:sz="4" w:space="0" w:color="002060"/>
            </w:tcBorders>
            <w:vAlign w:val="center"/>
          </w:tcPr>
          <w:p w14:paraId="5FACDBCF" w14:textId="77777777" w:rsidR="00907B95" w:rsidRPr="0007074F" w:rsidRDefault="00907B95" w:rsidP="002D6E55">
            <w:pPr>
              <w:jc w:val="center"/>
              <w:rPr>
                <w:rFonts w:eastAsia="Times New Roman" w:cstheme="minorHAnsi"/>
                <w:color w:val="002060"/>
                <w:sz w:val="18"/>
                <w:szCs w:val="18"/>
                <w:lang w:val="sr-Cyrl-CS" w:eastAsia="en-GB"/>
              </w:rPr>
            </w:pPr>
            <w:r w:rsidRPr="0007074F">
              <w:rPr>
                <w:rFonts w:eastAsia="Times New Roman" w:cstheme="minorHAnsi"/>
                <w:color w:val="002060"/>
                <w:sz w:val="18"/>
                <w:szCs w:val="18"/>
                <w:lang w:val="sr-Cyrl-CS" w:eastAsia="en-GB"/>
              </w:rPr>
              <w:t>-2,3</w:t>
            </w:r>
          </w:p>
        </w:tc>
      </w:tr>
      <w:tr w:rsidR="00907B95" w:rsidRPr="0007074F" w14:paraId="429CBC38" w14:textId="77777777" w:rsidTr="002D6E55">
        <w:trPr>
          <w:trHeight w:val="113"/>
        </w:trPr>
        <w:tc>
          <w:tcPr>
            <w:tcW w:w="5000" w:type="pct"/>
            <w:gridSpan w:val="6"/>
            <w:tcBorders>
              <w:top w:val="single" w:sz="4" w:space="0" w:color="002060"/>
            </w:tcBorders>
          </w:tcPr>
          <w:p w14:paraId="21A1433A" w14:textId="77777777" w:rsidR="00907B95" w:rsidRPr="0007074F" w:rsidRDefault="00907B95" w:rsidP="002D6E55">
            <w:pPr>
              <w:rPr>
                <w:rFonts w:cstheme="minorHAnsi"/>
                <w:bCs/>
                <w:color w:val="44546A"/>
                <w:sz w:val="16"/>
                <w:szCs w:val="72"/>
                <w:lang w:val="sr-Cyrl-CS"/>
              </w:rPr>
            </w:pPr>
            <w:r w:rsidRPr="0007074F">
              <w:rPr>
                <w:rFonts w:cstheme="minorHAnsi"/>
                <w:bCs/>
                <w:color w:val="44546A"/>
                <w:sz w:val="16"/>
                <w:szCs w:val="72"/>
                <w:lang w:val="sr-Cyrl-CS"/>
              </w:rPr>
              <w:t xml:space="preserve">Извор: ММФ, </w:t>
            </w:r>
            <w:r w:rsidRPr="0007074F">
              <w:rPr>
                <w:rFonts w:cstheme="minorHAnsi"/>
                <w:bCs/>
                <w:i/>
                <w:color w:val="44546A"/>
                <w:sz w:val="16"/>
                <w:szCs w:val="72"/>
                <w:lang w:val="sr-Cyrl-CS"/>
              </w:rPr>
              <w:t>World Economic Outlook</w:t>
            </w:r>
            <w:r w:rsidRPr="0007074F">
              <w:rPr>
                <w:rFonts w:cstheme="minorHAnsi"/>
                <w:bCs/>
                <w:color w:val="44546A"/>
                <w:sz w:val="16"/>
                <w:szCs w:val="72"/>
                <w:lang w:val="sr-Cyrl-CS"/>
              </w:rPr>
              <w:t>, април 2023.</w:t>
            </w:r>
          </w:p>
        </w:tc>
      </w:tr>
      <w:tr w:rsidR="00907B95" w:rsidRPr="0007074F" w14:paraId="32F0BFC6" w14:textId="77777777" w:rsidTr="002D6E55">
        <w:trPr>
          <w:trHeight w:val="383"/>
        </w:trPr>
        <w:tc>
          <w:tcPr>
            <w:tcW w:w="5000" w:type="pct"/>
            <w:gridSpan w:val="6"/>
          </w:tcPr>
          <w:p w14:paraId="11ED9A5F" w14:textId="77777777" w:rsidR="00907B95" w:rsidRPr="0007074F" w:rsidRDefault="00907B95" w:rsidP="002D6E55">
            <w:pPr>
              <w:rPr>
                <w:rFonts w:cstheme="minorHAnsi"/>
                <w:bCs/>
                <w:color w:val="44546A"/>
                <w:sz w:val="16"/>
                <w:szCs w:val="72"/>
                <w:lang w:val="sr-Cyrl-CS"/>
              </w:rPr>
            </w:pPr>
            <w:r w:rsidRPr="0007074F">
              <w:rPr>
                <w:rFonts w:cstheme="minorHAnsi"/>
                <w:bCs/>
                <w:color w:val="44546A"/>
                <w:sz w:val="16"/>
                <w:szCs w:val="72"/>
                <w:vertAlign w:val="superscript"/>
                <w:lang w:val="sr-Cyrl-CS"/>
              </w:rPr>
              <w:t>1</w:t>
            </w:r>
            <w:r w:rsidRPr="0007074F">
              <w:rPr>
                <w:rFonts w:cstheme="minorHAnsi"/>
                <w:bCs/>
                <w:color w:val="44546A"/>
                <w:sz w:val="16"/>
                <w:szCs w:val="72"/>
                <w:lang w:val="sr-Cyrl-CS"/>
              </w:rPr>
              <w:t xml:space="preserve"> Светски БДП израчунат је према паритету куповне моћи.</w:t>
            </w:r>
          </w:p>
          <w:p w14:paraId="6347E2CF" w14:textId="77777777" w:rsidR="00907B95" w:rsidRPr="0007074F" w:rsidRDefault="00907B95" w:rsidP="002D6E55">
            <w:pPr>
              <w:rPr>
                <w:rFonts w:cstheme="minorHAnsi"/>
                <w:bCs/>
                <w:color w:val="44546A"/>
                <w:sz w:val="16"/>
                <w:szCs w:val="72"/>
                <w:lang w:val="sr-Cyrl-CS"/>
              </w:rPr>
            </w:pPr>
            <w:r w:rsidRPr="0007074F">
              <w:rPr>
                <w:rFonts w:cstheme="minorHAnsi"/>
                <w:bCs/>
                <w:color w:val="44546A"/>
                <w:sz w:val="16"/>
                <w:szCs w:val="72"/>
                <w:vertAlign w:val="superscript"/>
                <w:lang w:val="sr-Cyrl-CS"/>
              </w:rPr>
              <w:t>2</w:t>
            </w:r>
            <w:r w:rsidRPr="0007074F">
              <w:rPr>
                <w:rFonts w:cstheme="minorHAnsi"/>
                <w:bCs/>
                <w:color w:val="44546A"/>
                <w:sz w:val="16"/>
                <w:szCs w:val="72"/>
                <w:lang w:val="sr-Cyrl-CS"/>
              </w:rPr>
              <w:t xml:space="preserve"> Цена житарица добијена као пондерисани просек цена пшенице, кукуруза, соје, пиринча и јечма.</w:t>
            </w:r>
          </w:p>
          <w:p w14:paraId="57D51729" w14:textId="77777777" w:rsidR="00907B95" w:rsidRPr="0007074F" w:rsidRDefault="00907B95" w:rsidP="002D6E55">
            <w:pPr>
              <w:rPr>
                <w:rFonts w:cstheme="minorHAnsi"/>
                <w:bCs/>
                <w:color w:val="44546A"/>
                <w:sz w:val="16"/>
                <w:szCs w:val="72"/>
                <w:lang w:val="sr-Cyrl-CS"/>
              </w:rPr>
            </w:pPr>
            <w:r w:rsidRPr="0007074F">
              <w:rPr>
                <w:rFonts w:cstheme="minorHAnsi"/>
                <w:bCs/>
                <w:color w:val="44546A"/>
                <w:sz w:val="16"/>
                <w:szCs w:val="72"/>
                <w:vertAlign w:val="superscript"/>
                <w:lang w:val="sr-Cyrl-CS"/>
              </w:rPr>
              <w:t>3</w:t>
            </w:r>
            <w:r w:rsidRPr="0007074F">
              <w:rPr>
                <w:rFonts w:cstheme="minorHAnsi"/>
                <w:bCs/>
                <w:color w:val="44546A"/>
                <w:sz w:val="16"/>
                <w:szCs w:val="72"/>
                <w:lang w:val="sr-Cyrl-CS"/>
              </w:rPr>
              <w:t xml:space="preserve"> Цена метала добијена као пондерисани просек цена бакра, алуминијума, руде гвожђа, калаја, никла, цинка, олова и уранијума.</w:t>
            </w:r>
          </w:p>
          <w:p w14:paraId="24E65251" w14:textId="77777777" w:rsidR="00907B95" w:rsidRPr="0007074F" w:rsidRDefault="00907B95" w:rsidP="002D6E55">
            <w:pPr>
              <w:rPr>
                <w:rFonts w:cstheme="minorHAnsi"/>
                <w:bCs/>
                <w:color w:val="44546A"/>
                <w:sz w:val="16"/>
                <w:szCs w:val="72"/>
                <w:vertAlign w:val="superscript"/>
                <w:lang w:val="sr-Cyrl-CS"/>
              </w:rPr>
            </w:pPr>
            <w:r w:rsidRPr="0007074F">
              <w:rPr>
                <w:rFonts w:cstheme="minorHAnsi"/>
                <w:bCs/>
                <w:color w:val="44546A"/>
                <w:sz w:val="16"/>
                <w:szCs w:val="72"/>
                <w:vertAlign w:val="superscript"/>
                <w:lang w:val="sr-Cyrl-CS"/>
              </w:rPr>
              <w:t>4</w:t>
            </w:r>
            <w:r w:rsidRPr="0007074F">
              <w:rPr>
                <w:rFonts w:cstheme="minorHAnsi"/>
                <w:bCs/>
                <w:color w:val="44546A"/>
                <w:sz w:val="16"/>
                <w:szCs w:val="72"/>
                <w:lang w:val="sr-Cyrl-CS"/>
              </w:rPr>
              <w:t xml:space="preserve"> Цена руде гвожђа (садржај гвожђа од 62%) за увоз у Кини, лука Тиан Јан, у доларима по метричкој тони.</w:t>
            </w:r>
          </w:p>
        </w:tc>
      </w:tr>
    </w:tbl>
    <w:p w14:paraId="58F9DA4E" w14:textId="77777777" w:rsidR="00907B95" w:rsidRPr="0007074F" w:rsidRDefault="00907B95" w:rsidP="002D6E55">
      <w:pPr>
        <w:spacing w:after="0" w:line="240" w:lineRule="auto"/>
        <w:rPr>
          <w:rFonts w:cstheme="minorHAnsi"/>
          <w:color w:val="auto"/>
          <w:lang w:val="sr-Cyrl-CS"/>
        </w:rPr>
        <w:sectPr w:rsidR="00907B95" w:rsidRPr="0007074F" w:rsidSect="002D6E55">
          <w:type w:val="continuous"/>
          <w:pgSz w:w="12240" w:h="15840"/>
          <w:pgMar w:top="1440" w:right="1440" w:bottom="1440" w:left="1440" w:header="708" w:footer="708" w:gutter="0"/>
          <w:cols w:space="708"/>
          <w:docGrid w:linePitch="360"/>
        </w:sectPr>
      </w:pPr>
    </w:p>
    <w:p w14:paraId="0438D834" w14:textId="77777777" w:rsidR="00907B95" w:rsidRPr="0007074F" w:rsidRDefault="00907B95" w:rsidP="002D6E55">
      <w:pPr>
        <w:rPr>
          <w:rFonts w:cstheme="minorHAnsi"/>
          <w:bCs/>
          <w:color w:val="44546A"/>
          <w:szCs w:val="72"/>
          <w:lang w:val="sr-Cyrl-CS"/>
        </w:rPr>
      </w:pPr>
      <w:r w:rsidRPr="0007074F">
        <w:rPr>
          <w:rFonts w:cstheme="minorHAnsi"/>
          <w:bCs/>
          <w:color w:val="44546A"/>
          <w:szCs w:val="72"/>
          <w:lang w:val="sr-Cyrl-CS"/>
        </w:rPr>
        <w:t>Према априлским проценама ММФ, раст групе развијених земаља за 2023. и 2024. годину процењен је на 1,3% и 1,4%, респективно. Иако је раст за 2023. годину благо ревидиран навише у односу на претходне две пројекције, предвиђа се да ће 90% развијених земаља забележити нижи раст у односу на претходну годину. Недавне турбуленције банкарског сектора у САД, заједно са колапсом неколико регионалних банака, илуструју да постоје значајне рањивости како међу банкама тако и међу небанкарским финансијским институцијама. Успоравање привредног раста је највидљивије у еврозони, где се у 2023. години очекује раст БДП од 0,8%, уз благо убрзање раста у предстојећем периоду. Предвиђено успоравање ће посебно оштро погодити Немачку, која ће забележити пад од 0,1% у 2023. години, након чега ће уследити постепени опоравак.</w:t>
      </w:r>
    </w:p>
    <w:p w14:paraId="13CAEBA8" w14:textId="77777777" w:rsidR="00907B95" w:rsidRPr="0007074F" w:rsidRDefault="00907B95" w:rsidP="002D6E55">
      <w:pPr>
        <w:spacing w:after="80"/>
        <w:rPr>
          <w:rFonts w:cstheme="minorHAnsi"/>
          <w:bCs/>
          <w:szCs w:val="72"/>
          <w:lang w:val="sr-Cyrl-CS"/>
        </w:rPr>
      </w:pPr>
      <w:r w:rsidRPr="0007074F">
        <w:rPr>
          <w:noProof/>
        </w:rPr>
        <w:drawing>
          <wp:inline distT="0" distB="0" distL="0" distR="0" wp14:anchorId="1AC2325E" wp14:editId="271312DF">
            <wp:extent cx="2746375" cy="1440000"/>
            <wp:effectExtent l="0" t="0" r="0" b="825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ABF3850" w14:textId="77777777" w:rsidR="00907B95" w:rsidRPr="0007074F" w:rsidRDefault="00907B95" w:rsidP="002D6E55">
      <w:pPr>
        <w:spacing w:after="40"/>
        <w:rPr>
          <w:rFonts w:cstheme="minorHAnsi"/>
          <w:bCs/>
          <w:szCs w:val="72"/>
          <w:lang w:val="sr-Cyrl-CS"/>
        </w:rPr>
      </w:pPr>
      <w:r w:rsidRPr="0007074F">
        <w:rPr>
          <w:noProof/>
        </w:rPr>
        <w:drawing>
          <wp:inline distT="0" distB="0" distL="0" distR="0" wp14:anchorId="21C7BCDF" wp14:editId="06A571E9">
            <wp:extent cx="2746800" cy="1440000"/>
            <wp:effectExtent l="0" t="0" r="0" b="8255"/>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4E03C50" w14:textId="77777777" w:rsidR="00907B95" w:rsidRPr="0007074F" w:rsidRDefault="00907B95" w:rsidP="002D6E55">
      <w:pPr>
        <w:spacing w:after="0"/>
        <w:rPr>
          <w:rFonts w:cstheme="minorHAnsi"/>
          <w:bCs/>
          <w:szCs w:val="72"/>
          <w:lang w:val="sr-Cyrl-CS"/>
        </w:rPr>
      </w:pPr>
      <w:r w:rsidRPr="0007074F">
        <w:rPr>
          <w:noProof/>
        </w:rPr>
        <w:drawing>
          <wp:inline distT="0" distB="0" distL="0" distR="0" wp14:anchorId="140FA248" wp14:editId="36D16532">
            <wp:extent cx="2743200" cy="157882"/>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7"/>
                    <a:stretch>
                      <a:fillRect/>
                    </a:stretch>
                  </pic:blipFill>
                  <pic:spPr>
                    <a:xfrm>
                      <a:off x="0" y="0"/>
                      <a:ext cx="2743200" cy="157882"/>
                    </a:xfrm>
                    <a:prstGeom prst="rect">
                      <a:avLst/>
                    </a:prstGeom>
                  </pic:spPr>
                </pic:pic>
              </a:graphicData>
            </a:graphic>
          </wp:inline>
        </w:drawing>
      </w:r>
    </w:p>
    <w:p w14:paraId="6976AE70" w14:textId="77777777" w:rsidR="00907B95" w:rsidRPr="0007074F" w:rsidRDefault="00907B95" w:rsidP="002D6E55">
      <w:pPr>
        <w:rPr>
          <w:rFonts w:cstheme="minorHAnsi"/>
          <w:bCs/>
          <w:i/>
          <w:color w:val="44546A"/>
          <w:sz w:val="16"/>
          <w:szCs w:val="72"/>
          <w:lang w:val="sr-Cyrl-CS"/>
        </w:rPr>
      </w:pPr>
      <w:r w:rsidRPr="0007074F">
        <w:rPr>
          <w:rFonts w:cstheme="minorHAnsi"/>
          <w:bCs/>
          <w:color w:val="44546A"/>
          <w:sz w:val="16"/>
          <w:szCs w:val="72"/>
          <w:lang w:val="sr-Cyrl-CS"/>
        </w:rPr>
        <w:t xml:space="preserve">Извор: ММФ, </w:t>
      </w:r>
      <w:r w:rsidRPr="0007074F">
        <w:rPr>
          <w:rFonts w:cstheme="minorHAnsi"/>
          <w:bCs/>
          <w:i/>
          <w:color w:val="44546A"/>
          <w:sz w:val="16"/>
          <w:szCs w:val="72"/>
          <w:lang w:val="sr-Cyrl-CS"/>
        </w:rPr>
        <w:t>World Economic Outlook</w:t>
      </w:r>
    </w:p>
    <w:p w14:paraId="090EF5AD" w14:textId="77777777" w:rsidR="00907B95" w:rsidRPr="0007074F" w:rsidRDefault="00907B95" w:rsidP="002D6E55">
      <w:pPr>
        <w:pStyle w:val="Caption"/>
        <w:keepNext/>
        <w:spacing w:after="40"/>
        <w:rPr>
          <w:rFonts w:cstheme="minorHAnsi"/>
          <w:iCs w:val="0"/>
          <w:szCs w:val="22"/>
          <w:lang w:val="sr-Cyrl-CS"/>
        </w:rPr>
      </w:pPr>
      <w:r w:rsidRPr="0007074F">
        <w:rPr>
          <w:rFonts w:cstheme="minorHAnsi"/>
          <w:iCs w:val="0"/>
          <w:szCs w:val="22"/>
          <w:lang w:val="sr-Cyrl-CS"/>
        </w:rPr>
        <w:lastRenderedPageBreak/>
        <w:t>Глобални економски раст, п.п.</w:t>
      </w:r>
    </w:p>
    <w:p w14:paraId="1DF3B269" w14:textId="77777777" w:rsidR="00907B95" w:rsidRPr="0007074F" w:rsidRDefault="00907B95" w:rsidP="002D6E55">
      <w:pPr>
        <w:rPr>
          <w:rFonts w:cstheme="minorHAnsi"/>
          <w:bCs/>
          <w:color w:val="44546A"/>
          <w:sz w:val="16"/>
          <w:szCs w:val="72"/>
          <w:lang w:val="sr-Cyrl-CS"/>
        </w:rPr>
      </w:pPr>
      <w:r w:rsidRPr="0007074F">
        <w:rPr>
          <w:noProof/>
        </w:rPr>
        <w:drawing>
          <wp:inline distT="0" distB="0" distL="0" distR="0" wp14:anchorId="1A23FC1E" wp14:editId="718BD347">
            <wp:extent cx="2743200" cy="2394000"/>
            <wp:effectExtent l="0" t="0" r="0" b="6350"/>
            <wp:docPr id="15" name="Chart 15">
              <a:extLst xmlns:a="http://schemas.openxmlformats.org/drawingml/2006/main">
                <a:ext uri="{FF2B5EF4-FFF2-40B4-BE49-F238E27FC236}">
                  <a16:creationId xmlns:a16="http://schemas.microsoft.com/office/drawing/2014/main" id="{00000000-0008-0000-06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29102157" w14:textId="77777777" w:rsidR="00907B95" w:rsidRPr="0007074F" w:rsidRDefault="00907B95" w:rsidP="002D6E55">
      <w:pPr>
        <w:rPr>
          <w:rFonts w:cstheme="minorHAnsi"/>
          <w:bCs/>
          <w:color w:val="44546A"/>
          <w:sz w:val="16"/>
          <w:szCs w:val="72"/>
          <w:lang w:val="sr-Cyrl-CS"/>
        </w:rPr>
      </w:pPr>
      <w:r w:rsidRPr="0007074F">
        <w:rPr>
          <w:rFonts w:cstheme="minorHAnsi"/>
          <w:bCs/>
          <w:color w:val="44546A"/>
          <w:sz w:val="16"/>
          <w:szCs w:val="72"/>
          <w:lang w:val="sr-Cyrl-CS"/>
        </w:rPr>
        <w:t xml:space="preserve">Извор: ММФ, </w:t>
      </w:r>
      <w:r w:rsidRPr="0007074F">
        <w:rPr>
          <w:rFonts w:cstheme="minorHAnsi"/>
          <w:bCs/>
          <w:i/>
          <w:iCs/>
          <w:color w:val="44546A"/>
          <w:sz w:val="16"/>
          <w:szCs w:val="72"/>
          <w:lang w:val="sr-Cyrl-CS"/>
        </w:rPr>
        <w:t>World Economic Outlook</w:t>
      </w:r>
      <w:r w:rsidRPr="0007074F">
        <w:rPr>
          <w:rFonts w:cstheme="minorHAnsi"/>
          <w:bCs/>
          <w:color w:val="44546A"/>
          <w:sz w:val="16"/>
          <w:szCs w:val="72"/>
          <w:lang w:val="sr-Cyrl-CS"/>
        </w:rPr>
        <w:t>, април 2023.</w:t>
      </w:r>
    </w:p>
    <w:p w14:paraId="6ADBCD1C" w14:textId="6AFE2F7A" w:rsidR="00907B95" w:rsidRPr="0007074F" w:rsidRDefault="00907B95" w:rsidP="002D6E55">
      <w:pPr>
        <w:rPr>
          <w:rFonts w:cstheme="minorHAnsi"/>
          <w:bCs/>
          <w:color w:val="44546A"/>
          <w:szCs w:val="72"/>
          <w:lang w:val="sr-Cyrl-CS"/>
        </w:rPr>
      </w:pPr>
      <w:r w:rsidRPr="0007074F">
        <w:rPr>
          <w:rFonts w:cstheme="minorHAnsi"/>
          <w:bCs/>
          <w:color w:val="44546A"/>
          <w:szCs w:val="72"/>
          <w:lang w:val="sr-Cyrl-CS"/>
        </w:rPr>
        <w:t>За земље у успону, економски изгледи су у просеку бољи него за развијене економије, али се разликују према регионима. Очекује се да ће у просеку раст износити 3,9% у 2023. години уз убрзање на 4,2% у 2024. години. Након завршетка појаве нових таласа вируса COVID</w:t>
      </w:r>
      <w:r w:rsidR="00775205" w:rsidRPr="0007074F">
        <w:rPr>
          <w:rFonts w:cstheme="minorHAnsi"/>
          <w:bCs/>
          <w:color w:val="44546A"/>
          <w:szCs w:val="72"/>
          <w:lang w:val="sr-Cyrl-CS"/>
        </w:rPr>
        <w:t>-19</w:t>
      </w:r>
      <w:r w:rsidRPr="0007074F">
        <w:rPr>
          <w:rFonts w:cstheme="minorHAnsi"/>
          <w:bCs/>
          <w:color w:val="44546A"/>
          <w:szCs w:val="72"/>
          <w:lang w:val="sr-Cyrl-CS"/>
        </w:rPr>
        <w:t xml:space="preserve"> у Кини и укидања мера ограничења у јануару ове године, високофреквентни економски показатељи указују на раст активности. С обзиром да Кина апсорбује око четвртине извоза из Азије и између 5% и 10% из других географских региона, са поновним отварањем и растом њене економије очекују се позитивни ефекти преливања на остатак света. Предвиђа се да ће раст Блиског истока и централне Азије износити 2,9% у 2023. години, док се за 2024. годину пројектује убрзавање раста на 3,5%. Сличан тренд очекује и регион Латинске Америке, док ће Русија забележити позитивне стопе раста упркос дешавањима у Украјини. У земљама са ниским нивоом дохотка очекује се просечно повећање БДП од 5,1% током 2023–2024. године. Међутим, уочљив је тренд повећања неједнакости у дохотку и благо удаљавање од земаља са средњим нивоом дохотка, јер се у истом периоду очекује да ће раст дохотка по глави становника у просеку износити свега 2,8%, а што је ниже од земаља са средњим нивоом дохотка (3,2%).</w:t>
      </w:r>
    </w:p>
    <w:p w14:paraId="0D58A875" w14:textId="00A05A57" w:rsidR="00907B95" w:rsidRPr="0007074F" w:rsidRDefault="00907B95" w:rsidP="002D6E55">
      <w:pPr>
        <w:rPr>
          <w:rFonts w:cstheme="minorHAnsi"/>
          <w:bCs/>
          <w:color w:val="44546A"/>
          <w:szCs w:val="72"/>
          <w:lang w:val="sr-Cyrl-CS"/>
        </w:rPr>
      </w:pPr>
      <w:r w:rsidRPr="0007074F">
        <w:rPr>
          <w:rFonts w:cstheme="minorHAnsi"/>
          <w:bCs/>
          <w:color w:val="44546A"/>
          <w:szCs w:val="72"/>
          <w:lang w:val="sr-Cyrl-CS"/>
        </w:rPr>
        <w:t xml:space="preserve">Током 2022. дошло је и до снажног раста светских цена примарних производа. Избијањем сукоба у Украјини, већ високе цене примарних производа додатно су порасле. Међутим, растом рецесионих </w:t>
      </w:r>
      <w:r w:rsidRPr="0007074F">
        <w:rPr>
          <w:rFonts w:cstheme="minorHAnsi"/>
          <w:bCs/>
          <w:color w:val="44546A"/>
          <w:szCs w:val="72"/>
          <w:lang w:val="sr-Cyrl-CS"/>
        </w:rPr>
        <w:t xml:space="preserve">притисака на глобалном нивоу, цене великог броја примарних производа су у паду. За цене житарица предвиђа се пад у 2023. години од 11,4%, а потом следи нешто блаже смањење и стабилизација на крају пројекционог периода. Цене метала и минерала бележе пад од априла 2022. године, услед слабије индустријске активности у Кини и Европи, али након отварања Кине уследио </w:t>
      </w:r>
      <w:r w:rsidR="00775205" w:rsidRPr="0007074F">
        <w:rPr>
          <w:rFonts w:cstheme="minorHAnsi"/>
          <w:bCs/>
          <w:color w:val="44546A"/>
          <w:szCs w:val="72"/>
          <w:lang w:val="sr-Cyrl-CS"/>
        </w:rPr>
        <w:t xml:space="preserve">je </w:t>
      </w:r>
      <w:r w:rsidRPr="0007074F">
        <w:rPr>
          <w:rFonts w:cstheme="minorHAnsi"/>
          <w:bCs/>
          <w:color w:val="44546A"/>
          <w:szCs w:val="72"/>
          <w:lang w:val="sr-Cyrl-CS"/>
        </w:rPr>
        <w:t>њихов умерени раст. Пројектује се да ћ</w:t>
      </w:r>
      <w:r w:rsidR="00775205" w:rsidRPr="0007074F">
        <w:rPr>
          <w:rFonts w:cstheme="minorHAnsi"/>
          <w:bCs/>
          <w:color w:val="44546A"/>
          <w:szCs w:val="72"/>
          <w:lang w:val="sr-Cyrl-CS"/>
        </w:rPr>
        <w:t>е цене основних метала бити већe</w:t>
      </w:r>
      <w:r w:rsidRPr="0007074F">
        <w:rPr>
          <w:rFonts w:cstheme="minorHAnsi"/>
          <w:bCs/>
          <w:color w:val="44546A"/>
          <w:szCs w:val="72"/>
          <w:lang w:val="sr-Cyrl-CS"/>
        </w:rPr>
        <w:t xml:space="preserve"> за 3,5% у 2023. години, док се за наредни период предвиђа постепено смањење цена. После наглог пада цене гвожђа у 2022. години, очекује се благо повећање од 4,8% у 2023. години а затим следи тренд опадања у средњем року. Предвиђено је да ће цене сирове нафте пасти са 96,4 $/барелу у 2022. на 73,1 $/барелу у 2023. години, односно за око 24%. У 2024. години се очекује пад од додатних 5,8%, док би се цена на крају посматраног периода стабилизовала на нивоу од 65,4 $/барелу.</w:t>
      </w:r>
    </w:p>
    <w:p w14:paraId="1D433898" w14:textId="77777777" w:rsidR="00907B95" w:rsidRPr="0007074F" w:rsidRDefault="00907B95" w:rsidP="002D6E55">
      <w:pPr>
        <w:pStyle w:val="Caption"/>
        <w:keepNext/>
        <w:spacing w:after="0"/>
        <w:rPr>
          <w:rFonts w:cstheme="minorHAnsi"/>
          <w:b w:val="0"/>
          <w:i/>
          <w:iCs w:val="0"/>
          <w:szCs w:val="22"/>
          <w:lang w:val="sr-Cyrl-CS"/>
        </w:rPr>
      </w:pPr>
      <w:r w:rsidRPr="0007074F">
        <w:rPr>
          <w:rFonts w:cstheme="minorHAnsi"/>
          <w:iCs w:val="0"/>
          <w:szCs w:val="22"/>
          <w:lang w:val="sr-Cyrl-CS"/>
        </w:rPr>
        <w:t>Кретање цена, индекси, 2016=100</w:t>
      </w:r>
    </w:p>
    <w:p w14:paraId="36DED984" w14:textId="77777777" w:rsidR="00907B95" w:rsidRPr="0007074F" w:rsidRDefault="00907B95" w:rsidP="002D6E55">
      <w:pPr>
        <w:spacing w:after="60"/>
        <w:rPr>
          <w:rFonts w:cstheme="minorHAnsi"/>
          <w:bCs/>
          <w:sz w:val="16"/>
          <w:szCs w:val="72"/>
          <w:lang w:val="sr-Cyrl-CS"/>
        </w:rPr>
      </w:pPr>
      <w:r w:rsidRPr="0007074F">
        <w:rPr>
          <w:noProof/>
        </w:rPr>
        <w:drawing>
          <wp:inline distT="0" distB="0" distL="0" distR="0" wp14:anchorId="1C353678" wp14:editId="40774DD2">
            <wp:extent cx="2743200" cy="1998000"/>
            <wp:effectExtent l="0" t="0" r="0" b="2540"/>
            <wp:docPr id="1" name="Chart 1">
              <a:extLst xmlns:a="http://schemas.openxmlformats.org/drawingml/2006/main">
                <a:ext uri="{FF2B5EF4-FFF2-40B4-BE49-F238E27FC236}">
                  <a16:creationId xmlns:a16="http://schemas.microsoft.com/office/drawing/2014/main" id="{00000000-0008-0000-01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E4B5C92" w14:textId="77777777" w:rsidR="00907B95" w:rsidRPr="0007074F" w:rsidRDefault="00907B95" w:rsidP="002D6E55">
      <w:pPr>
        <w:rPr>
          <w:color w:val="44546A"/>
          <w:lang w:val="sr-Cyrl-CS"/>
        </w:rPr>
      </w:pPr>
      <w:r w:rsidRPr="0007074F">
        <w:rPr>
          <w:rFonts w:cstheme="minorHAnsi"/>
          <w:bCs/>
          <w:color w:val="44546A"/>
          <w:sz w:val="16"/>
          <w:szCs w:val="72"/>
          <w:lang w:val="sr-Cyrl-CS"/>
        </w:rPr>
        <w:t xml:space="preserve">Извор: ММФ, </w:t>
      </w:r>
      <w:r w:rsidRPr="0007074F">
        <w:rPr>
          <w:rFonts w:cstheme="minorHAnsi"/>
          <w:bCs/>
          <w:i/>
          <w:color w:val="44546A"/>
          <w:sz w:val="16"/>
          <w:szCs w:val="72"/>
          <w:lang w:val="sr-Cyrl-CS"/>
        </w:rPr>
        <w:t>World Economic Outlook</w:t>
      </w:r>
      <w:r w:rsidRPr="0007074F">
        <w:rPr>
          <w:rFonts w:cstheme="minorHAnsi"/>
          <w:bCs/>
          <w:color w:val="44546A"/>
          <w:sz w:val="16"/>
          <w:szCs w:val="72"/>
          <w:lang w:val="sr-Cyrl-CS"/>
        </w:rPr>
        <w:t>, април 2023.</w:t>
      </w:r>
    </w:p>
    <w:p w14:paraId="4C2B08AE" w14:textId="77777777" w:rsidR="00907B95" w:rsidRPr="0007074F" w:rsidRDefault="00907B95" w:rsidP="002D6E55">
      <w:pPr>
        <w:pStyle w:val="Caption"/>
        <w:keepNext/>
        <w:spacing w:after="40"/>
        <w:rPr>
          <w:rFonts w:cstheme="minorHAnsi"/>
          <w:b w:val="0"/>
          <w:i/>
          <w:iCs w:val="0"/>
          <w:color w:val="44546A"/>
          <w:szCs w:val="22"/>
          <w:lang w:val="sr-Cyrl-CS"/>
        </w:rPr>
      </w:pPr>
      <w:r w:rsidRPr="0007074F">
        <w:rPr>
          <w:rFonts w:cstheme="minorHAnsi"/>
          <w:iCs w:val="0"/>
          <w:szCs w:val="22"/>
          <w:lang w:val="sr-Cyrl-CS"/>
        </w:rPr>
        <w:t>Пројекција кретања цена, индекси, 2019=100</w:t>
      </w:r>
    </w:p>
    <w:p w14:paraId="29F8EB88" w14:textId="77777777" w:rsidR="00907B95" w:rsidRPr="0007074F" w:rsidRDefault="00907B95" w:rsidP="002D6E55">
      <w:pPr>
        <w:spacing w:after="0"/>
        <w:rPr>
          <w:lang w:val="sr-Cyrl-CS"/>
        </w:rPr>
      </w:pPr>
      <w:r w:rsidRPr="0007074F">
        <w:rPr>
          <w:noProof/>
        </w:rPr>
        <w:drawing>
          <wp:inline distT="0" distB="0" distL="0" distR="0" wp14:anchorId="3BF13BEB" wp14:editId="2ABF30B5">
            <wp:extent cx="2743200" cy="1980000"/>
            <wp:effectExtent l="0" t="0" r="0" b="1270"/>
            <wp:docPr id="12" name="Chart 12">
              <a:extLst xmlns:a="http://schemas.openxmlformats.org/drawingml/2006/main">
                <a:ext uri="{FF2B5EF4-FFF2-40B4-BE49-F238E27FC236}">
                  <a16:creationId xmlns:a16="http://schemas.microsoft.com/office/drawing/2014/main" id="{00000000-0008-0000-0200-00001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4D707E99" w14:textId="77777777" w:rsidR="00907B95" w:rsidRPr="0007074F" w:rsidRDefault="00907B95" w:rsidP="002D6E55">
      <w:pPr>
        <w:rPr>
          <w:rFonts w:cstheme="minorHAnsi"/>
          <w:color w:val="44546A"/>
          <w:szCs w:val="72"/>
          <w:lang w:val="sr-Cyrl-CS"/>
        </w:rPr>
      </w:pPr>
      <w:r w:rsidRPr="0007074F">
        <w:rPr>
          <w:rFonts w:cstheme="minorHAnsi"/>
          <w:bCs/>
          <w:color w:val="44546A"/>
          <w:sz w:val="16"/>
          <w:szCs w:val="72"/>
          <w:lang w:val="sr-Cyrl-CS"/>
        </w:rPr>
        <w:t xml:space="preserve">Извор: ММФ, </w:t>
      </w:r>
      <w:r w:rsidRPr="0007074F">
        <w:rPr>
          <w:rFonts w:cstheme="minorHAnsi"/>
          <w:bCs/>
          <w:i/>
          <w:color w:val="44546A"/>
          <w:sz w:val="16"/>
          <w:szCs w:val="72"/>
          <w:lang w:val="sr-Cyrl-CS"/>
        </w:rPr>
        <w:t>World Economic Outlook</w:t>
      </w:r>
      <w:r w:rsidRPr="0007074F">
        <w:rPr>
          <w:rFonts w:cstheme="minorHAnsi"/>
          <w:bCs/>
          <w:color w:val="44546A"/>
          <w:sz w:val="16"/>
          <w:szCs w:val="72"/>
          <w:lang w:val="sr-Cyrl-CS"/>
        </w:rPr>
        <w:t>, април 2023.</w:t>
      </w:r>
    </w:p>
    <w:p w14:paraId="6FB58447" w14:textId="77777777" w:rsidR="00907B95" w:rsidRPr="0007074F" w:rsidRDefault="00907B95" w:rsidP="002D6E55">
      <w:pPr>
        <w:pStyle w:val="Caption"/>
        <w:keepNext/>
        <w:rPr>
          <w:color w:val="44546A"/>
          <w:lang w:val="sr-Cyrl-CS"/>
        </w:rPr>
      </w:pPr>
      <w:r w:rsidRPr="0007074F">
        <w:rPr>
          <w:lang w:val="sr-Cyrl-CS"/>
        </w:rPr>
        <w:lastRenderedPageBreak/>
        <w:t>Пројекција кретања цена нафте по барелу</w:t>
      </w:r>
    </w:p>
    <w:p w14:paraId="21A089B0" w14:textId="77777777" w:rsidR="00907B95" w:rsidRPr="0007074F" w:rsidRDefault="00907B95" w:rsidP="002D6E55">
      <w:pPr>
        <w:rPr>
          <w:rFonts w:cstheme="minorHAnsi"/>
          <w:bCs/>
          <w:szCs w:val="72"/>
          <w:lang w:val="sr-Cyrl-CS"/>
        </w:rPr>
      </w:pPr>
      <w:r w:rsidRPr="0007074F">
        <w:rPr>
          <w:noProof/>
        </w:rPr>
        <w:drawing>
          <wp:inline distT="0" distB="0" distL="0" distR="0" wp14:anchorId="4B88EEFB" wp14:editId="5F44E215">
            <wp:extent cx="2743200" cy="1238435"/>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31"/>
                    <a:stretch>
                      <a:fillRect/>
                    </a:stretch>
                  </pic:blipFill>
                  <pic:spPr>
                    <a:xfrm>
                      <a:off x="0" y="0"/>
                      <a:ext cx="2743200" cy="1238435"/>
                    </a:xfrm>
                    <a:prstGeom prst="rect">
                      <a:avLst/>
                    </a:prstGeom>
                  </pic:spPr>
                </pic:pic>
              </a:graphicData>
            </a:graphic>
          </wp:inline>
        </w:drawing>
      </w:r>
    </w:p>
    <w:p w14:paraId="26CEDC03" w14:textId="77777777" w:rsidR="00907B95" w:rsidRPr="0007074F" w:rsidRDefault="00907B95" w:rsidP="002D6E55">
      <w:pPr>
        <w:rPr>
          <w:rFonts w:cstheme="minorHAnsi"/>
          <w:bCs/>
          <w:color w:val="44546A"/>
          <w:szCs w:val="72"/>
          <w:lang w:val="sr-Cyrl-CS"/>
        </w:rPr>
      </w:pPr>
      <w:r w:rsidRPr="0007074F">
        <w:rPr>
          <w:rFonts w:cstheme="minorHAnsi"/>
          <w:bCs/>
          <w:color w:val="44546A"/>
          <w:sz w:val="16"/>
          <w:szCs w:val="16"/>
          <w:lang w:val="sr-Cyrl-CS"/>
        </w:rPr>
        <w:t xml:space="preserve">Извор: ММФ, </w:t>
      </w:r>
      <w:r w:rsidRPr="0007074F">
        <w:rPr>
          <w:rFonts w:cstheme="minorHAnsi"/>
          <w:bCs/>
          <w:i/>
          <w:color w:val="44546A"/>
          <w:sz w:val="16"/>
          <w:szCs w:val="16"/>
          <w:lang w:val="sr-Cyrl-CS"/>
        </w:rPr>
        <w:t>World Economic Outlook</w:t>
      </w:r>
      <w:r w:rsidRPr="0007074F">
        <w:rPr>
          <w:rFonts w:cstheme="minorHAnsi"/>
          <w:bCs/>
          <w:color w:val="44546A"/>
          <w:sz w:val="16"/>
          <w:szCs w:val="16"/>
          <w:lang w:val="sr-Cyrl-CS"/>
        </w:rPr>
        <w:t>, април 2023</w:t>
      </w:r>
      <w:r w:rsidRPr="0007074F">
        <w:rPr>
          <w:rFonts w:cstheme="minorHAnsi"/>
          <w:bCs/>
          <w:color w:val="44546A"/>
          <w:szCs w:val="72"/>
          <w:lang w:val="sr-Cyrl-CS"/>
        </w:rPr>
        <w:t>.</w:t>
      </w:r>
    </w:p>
    <w:p w14:paraId="68DB25F8" w14:textId="77777777" w:rsidR="00907B95" w:rsidRPr="0007074F" w:rsidRDefault="00907B95" w:rsidP="002D6E55">
      <w:pPr>
        <w:rPr>
          <w:rFonts w:cstheme="minorHAnsi"/>
          <w:bCs/>
          <w:color w:val="44546A"/>
          <w:szCs w:val="72"/>
          <w:lang w:val="sr-Cyrl-CS"/>
        </w:rPr>
      </w:pPr>
      <w:r w:rsidRPr="0007074F">
        <w:rPr>
          <w:rFonts w:cstheme="minorHAnsi"/>
          <w:bCs/>
          <w:color w:val="44546A"/>
          <w:szCs w:val="72"/>
          <w:lang w:val="sr-Cyrl-CS"/>
        </w:rPr>
        <w:t>Каматна стопа на тромесечне државне обвезнице у еврозони износиће 2,8% и 3,0% у 2023. и 2024. години, док ће стопа на тромесечне државне обвезнице у САД износити 5,1% и 4,5%, респективно за исти период.</w:t>
      </w:r>
    </w:p>
    <w:p w14:paraId="3A4C94DA" w14:textId="77777777" w:rsidR="00907B95" w:rsidRPr="0007074F" w:rsidRDefault="00907B95" w:rsidP="002D6E55">
      <w:pPr>
        <w:spacing w:after="120"/>
        <w:rPr>
          <w:rFonts w:cstheme="minorHAnsi"/>
          <w:bCs/>
          <w:color w:val="44546A"/>
          <w:szCs w:val="72"/>
          <w:lang w:val="sr-Cyrl-CS"/>
        </w:rPr>
      </w:pPr>
      <w:r w:rsidRPr="0007074F">
        <w:rPr>
          <w:rFonts w:cstheme="minorHAnsi"/>
          <w:bCs/>
          <w:color w:val="44546A"/>
          <w:szCs w:val="72"/>
          <w:lang w:val="sr-Cyrl-CS"/>
        </w:rPr>
        <w:t>Америчке федералне резерве (у даљем тексту: ФЕД) су од почетка године три пута подизале каматне стопе, а најскорије повећање на распон од 5,00% до 5,25% извршено је у мају. Ово пооштравање монетарне политике у складу је са стратегијом циљања просечне инфлације од 2% у дугом року, уз индикације да ће током остатка 2023. године бити настављено са динамиком повећања каматне стопе, али споријим темпом.</w:t>
      </w:r>
    </w:p>
    <w:p w14:paraId="26F74F68" w14:textId="77777777" w:rsidR="00907B95" w:rsidRPr="0007074F" w:rsidRDefault="00907B95" w:rsidP="002D6E55">
      <w:pPr>
        <w:spacing w:after="0"/>
        <w:jc w:val="center"/>
        <w:rPr>
          <w:rFonts w:cstheme="minorHAnsi"/>
          <w:b/>
          <w:bCs/>
          <w:color w:val="002060"/>
          <w:szCs w:val="72"/>
          <w:lang w:val="sr-Cyrl-CS"/>
        </w:rPr>
      </w:pPr>
      <w:r w:rsidRPr="0007074F">
        <w:rPr>
          <w:rFonts w:cstheme="minorHAnsi"/>
          <w:b/>
          <w:bCs/>
          <w:color w:val="002060"/>
          <w:szCs w:val="72"/>
          <w:lang w:val="sr-Cyrl-CS"/>
        </w:rPr>
        <w:t>Кретање референтне каматне стопе по изабраним земљама, %</w:t>
      </w:r>
    </w:p>
    <w:p w14:paraId="78AE04F2" w14:textId="77777777" w:rsidR="00907B95" w:rsidRPr="0007074F" w:rsidRDefault="00907B95" w:rsidP="002D6E55">
      <w:pPr>
        <w:spacing w:after="40"/>
        <w:rPr>
          <w:rFonts w:cstheme="minorHAnsi"/>
          <w:bCs/>
          <w:szCs w:val="72"/>
          <w:lang w:val="sr-Cyrl-CS"/>
        </w:rPr>
      </w:pPr>
      <w:r w:rsidRPr="0007074F">
        <w:rPr>
          <w:noProof/>
        </w:rPr>
        <w:drawing>
          <wp:inline distT="0" distB="0" distL="0" distR="0" wp14:anchorId="70A223BB" wp14:editId="5A7770AC">
            <wp:extent cx="2747010" cy="2048256"/>
            <wp:effectExtent l="0" t="0" r="0" b="0"/>
            <wp:docPr id="2" name="Chart 2">
              <a:extLst xmlns:a="http://schemas.openxmlformats.org/drawingml/2006/main">
                <a:ext uri="{FF2B5EF4-FFF2-40B4-BE49-F238E27FC236}">
                  <a16:creationId xmlns:a16="http://schemas.microsoft.com/office/drawing/2014/main" id="{00000000-0008-0000-07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4700B2A6" w14:textId="77777777" w:rsidR="00907B95" w:rsidRPr="0007074F" w:rsidRDefault="00907B95" w:rsidP="002D6E55">
      <w:pPr>
        <w:spacing w:after="120"/>
        <w:rPr>
          <w:rFonts w:cstheme="minorHAnsi"/>
          <w:bCs/>
          <w:color w:val="44546A"/>
          <w:sz w:val="16"/>
          <w:szCs w:val="16"/>
          <w:lang w:val="sr-Cyrl-CS"/>
        </w:rPr>
      </w:pPr>
      <w:r w:rsidRPr="0007074F">
        <w:rPr>
          <w:rFonts w:cstheme="minorHAnsi"/>
          <w:bCs/>
          <w:color w:val="44546A"/>
          <w:sz w:val="16"/>
          <w:szCs w:val="16"/>
          <w:lang w:val="sr-Cyrl-CS"/>
        </w:rPr>
        <w:t>Извор: Централне банке изабраних земаља</w:t>
      </w:r>
    </w:p>
    <w:p w14:paraId="00D2522A" w14:textId="296116F3" w:rsidR="00907B95" w:rsidRPr="0007074F" w:rsidRDefault="00907B95" w:rsidP="002D6E55">
      <w:pPr>
        <w:rPr>
          <w:rFonts w:cstheme="minorHAnsi"/>
          <w:bCs/>
          <w:color w:val="44546A"/>
          <w:szCs w:val="72"/>
          <w:lang w:val="sr-Cyrl-CS"/>
        </w:rPr>
      </w:pPr>
      <w:r w:rsidRPr="0007074F">
        <w:rPr>
          <w:rFonts w:cstheme="minorHAnsi"/>
          <w:bCs/>
          <w:color w:val="44546A"/>
          <w:szCs w:val="72"/>
          <w:lang w:val="sr-Cyrl-CS"/>
        </w:rPr>
        <w:t>Ризици пројекција су асиметрични</w:t>
      </w:r>
      <w:r w:rsidR="00FF3142" w:rsidRPr="0007074F">
        <w:rPr>
          <w:rFonts w:cstheme="minorHAnsi"/>
          <w:bCs/>
          <w:color w:val="44546A"/>
          <w:szCs w:val="72"/>
          <w:lang w:val="sr-Cyrl-CS"/>
        </w:rPr>
        <w:t xml:space="preserve"> наниже</w:t>
      </w:r>
      <w:r w:rsidRPr="0007074F">
        <w:rPr>
          <w:rFonts w:cstheme="minorHAnsi"/>
          <w:bCs/>
          <w:color w:val="44546A"/>
          <w:szCs w:val="72"/>
          <w:lang w:val="sr-Cyrl-CS"/>
        </w:rPr>
        <w:t xml:space="preserve"> и остају повишени као последица деловања различитих фактора који могу бити међусобно повезани. Постоји значајан ризик да ће недавна дешавања у банкарском систему довести до заоштравања глобалних финансијских услова, што би додатно утицало на смањену склоност ка инвестирању и </w:t>
      </w:r>
      <w:r w:rsidRPr="0007074F">
        <w:rPr>
          <w:rFonts w:cstheme="minorHAnsi"/>
          <w:bCs/>
          <w:color w:val="44546A"/>
          <w:szCs w:val="72"/>
          <w:lang w:val="sr-Cyrl-CS"/>
        </w:rPr>
        <w:t>потрошњи. Додатни ризици укључују оштрије негативне ефекте повећања каматних стопа централних банака у условима историјски високих нивоа приватног и јавног дуга. Комбинација виших трошкова задуживања и нижег раста могла би да погоди фискалне позиције већине земаља у развоју. Поред тога, инфлација би се могла показати постојанијом од очекиване, што би довело до даљег заоштравања монетарне политике. Други негативни ризици укључују успоравање опоравка Кине, ескалацију конфликта у Украјини и геоекономску фрагментацију која додатно омета мултилатералне напоре за решавање економских изазова.</w:t>
      </w:r>
      <w:r w:rsidRPr="0007074F">
        <w:rPr>
          <w:color w:val="44546A"/>
          <w:lang w:val="sr-Cyrl-CS"/>
        </w:rPr>
        <w:t xml:space="preserve"> </w:t>
      </w:r>
      <w:r w:rsidRPr="0007074F">
        <w:rPr>
          <w:rFonts w:cstheme="minorHAnsi"/>
          <w:bCs/>
          <w:color w:val="44546A"/>
          <w:szCs w:val="72"/>
          <w:lang w:val="sr-Cyrl-CS"/>
        </w:rPr>
        <w:t>Са друге стране, глобална економија би могла да се покаже отпорнијом него што се очекивало, као што се догодило 2022. годи</w:t>
      </w:r>
      <w:r w:rsidR="008C323E" w:rsidRPr="0007074F">
        <w:rPr>
          <w:rFonts w:cstheme="minorHAnsi"/>
          <w:bCs/>
          <w:color w:val="44546A"/>
          <w:szCs w:val="72"/>
          <w:lang w:val="sr-Cyrl-CS"/>
        </w:rPr>
        <w:t>не. Висока штедњa</w:t>
      </w:r>
      <w:r w:rsidRPr="0007074F">
        <w:rPr>
          <w:rFonts w:cstheme="minorHAnsi"/>
          <w:bCs/>
          <w:color w:val="44546A"/>
          <w:szCs w:val="72"/>
          <w:lang w:val="sr-Cyrl-CS"/>
        </w:rPr>
        <w:t xml:space="preserve"> становништва акумулирана у периоду пандемије би уз повољно стање на тржишту рада у бројним економијама могло да утиче на већи раст потрошње домаћинстава од тренутних процена. То би у крајњој инстанци могло да отежа борбу против високе инфлације.</w:t>
      </w:r>
    </w:p>
    <w:p w14:paraId="1FA6D027" w14:textId="77777777" w:rsidR="00907B95" w:rsidRPr="0007074F" w:rsidRDefault="00907B95" w:rsidP="002D6E55">
      <w:pPr>
        <w:rPr>
          <w:b/>
          <w:color w:val="2F5496"/>
          <w:lang w:val="sr-Cyrl-CS"/>
        </w:rPr>
      </w:pPr>
      <w:r w:rsidRPr="0007074F">
        <w:rPr>
          <w:b/>
          <w:color w:val="2F5496"/>
          <w:lang w:val="sr-Cyrl-CS"/>
        </w:rPr>
        <w:t>Макроекономске процене ЕЦБ за подручје еврозоне</w:t>
      </w:r>
    </w:p>
    <w:p w14:paraId="5D8C392A" w14:textId="38A5626C" w:rsidR="00907B95" w:rsidRPr="0007074F" w:rsidRDefault="00907B95" w:rsidP="002D6E55">
      <w:pPr>
        <w:rPr>
          <w:rFonts w:cstheme="minorHAnsi"/>
          <w:bCs/>
          <w:color w:val="44546A"/>
          <w:szCs w:val="72"/>
          <w:lang w:val="sr-Cyrl-CS"/>
        </w:rPr>
      </w:pPr>
      <w:r w:rsidRPr="0007074F">
        <w:rPr>
          <w:rFonts w:cstheme="minorHAnsi"/>
          <w:bCs/>
          <w:color w:val="44546A"/>
          <w:szCs w:val="72"/>
          <w:lang w:val="sr-Cyrl-CS"/>
        </w:rPr>
        <w:t>Економија еврозоне забележила је значајно успоравање у другој половини 2022. године, а затим и стагнацију у четвртом кварталу. Успоравање раста резултат је пада потрошње услед повећане неизвесности, високих цена енергије и ниског поверења. Ипак, остварен је раст од 3,6% у 2022. години, што је за 0,2 п.п. више од претходно очекиваног. Ово је резултат већег позитивног доприноса нето извоза услед благе зиме и мање потражње за увозом енергената, али и бржег отклањања застоја у ланцима снабдевања.</w:t>
      </w:r>
      <w:r w:rsidRPr="0007074F">
        <w:rPr>
          <w:color w:val="44546A"/>
          <w:lang w:val="sr-Cyrl-CS"/>
        </w:rPr>
        <w:t xml:space="preserve"> </w:t>
      </w:r>
      <w:r w:rsidRPr="0007074F">
        <w:rPr>
          <w:rFonts w:cstheme="minorHAnsi"/>
          <w:bCs/>
          <w:color w:val="44546A"/>
          <w:szCs w:val="72"/>
          <w:lang w:val="sr-Cyrl-CS"/>
        </w:rPr>
        <w:t xml:space="preserve">Динамика високофреквентних индикатора током зимских месеци (PMI индекс еврозоне), од октобра бележи раст, а од јануара вредности прелазе границу од 50 поена, </w:t>
      </w:r>
      <w:r w:rsidR="00D0271D" w:rsidRPr="0007074F">
        <w:rPr>
          <w:rFonts w:cstheme="minorHAnsi"/>
          <w:bCs/>
          <w:color w:val="44546A"/>
          <w:szCs w:val="72"/>
          <w:lang w:val="sr-Cyrl-CS"/>
        </w:rPr>
        <w:t>при чему</w:t>
      </w:r>
      <w:r w:rsidRPr="0007074F">
        <w:rPr>
          <w:rFonts w:cstheme="minorHAnsi"/>
          <w:bCs/>
          <w:color w:val="44546A"/>
          <w:szCs w:val="72"/>
          <w:lang w:val="sr-Cyrl-CS"/>
        </w:rPr>
        <w:t xml:space="preserve"> </w:t>
      </w:r>
      <w:r w:rsidR="00D0271D" w:rsidRPr="0007074F">
        <w:rPr>
          <w:rFonts w:cstheme="minorHAnsi"/>
          <w:bCs/>
          <w:color w:val="44546A"/>
          <w:szCs w:val="72"/>
          <w:lang w:val="sr-Cyrl-CS"/>
        </w:rPr>
        <w:t>поче</w:t>
      </w:r>
      <w:r w:rsidR="00AD63EE" w:rsidRPr="0007074F">
        <w:rPr>
          <w:rFonts w:cstheme="minorHAnsi"/>
          <w:bCs/>
          <w:color w:val="44546A"/>
          <w:szCs w:val="72"/>
          <w:lang w:val="sr-Cyrl-CS"/>
        </w:rPr>
        <w:t>т</w:t>
      </w:r>
      <w:r w:rsidR="00D0271D" w:rsidRPr="0007074F">
        <w:rPr>
          <w:rFonts w:cstheme="minorHAnsi"/>
          <w:bCs/>
          <w:color w:val="44546A"/>
          <w:szCs w:val="72"/>
          <w:lang w:val="sr-Cyrl-CS"/>
        </w:rPr>
        <w:t>ком другог квартала подаци</w:t>
      </w:r>
      <w:r w:rsidRPr="0007074F">
        <w:rPr>
          <w:rFonts w:cstheme="minorHAnsi"/>
          <w:bCs/>
          <w:color w:val="44546A"/>
          <w:szCs w:val="72"/>
          <w:lang w:val="sr-Cyrl-CS"/>
        </w:rPr>
        <w:t xml:space="preserve"> указује на значајно побољшање активности у услужном сектору, уз </w:t>
      </w:r>
      <w:r w:rsidR="00D0271D" w:rsidRPr="0007074F">
        <w:rPr>
          <w:rFonts w:cstheme="minorHAnsi"/>
          <w:bCs/>
          <w:color w:val="44546A"/>
          <w:szCs w:val="72"/>
          <w:lang w:val="sr-Cyrl-CS"/>
        </w:rPr>
        <w:t>успоравање у</w:t>
      </w:r>
      <w:r w:rsidRPr="0007074F">
        <w:rPr>
          <w:rFonts w:cstheme="minorHAnsi"/>
          <w:bCs/>
          <w:color w:val="44546A"/>
          <w:szCs w:val="72"/>
          <w:lang w:val="sr-Cyrl-CS"/>
        </w:rPr>
        <w:t xml:space="preserve"> производно</w:t>
      </w:r>
      <w:r w:rsidR="00D0271D" w:rsidRPr="0007074F">
        <w:rPr>
          <w:rFonts w:cstheme="minorHAnsi"/>
          <w:bCs/>
          <w:color w:val="44546A"/>
          <w:szCs w:val="72"/>
          <w:lang w:val="sr-Cyrl-CS"/>
        </w:rPr>
        <w:t>м</w:t>
      </w:r>
      <w:r w:rsidRPr="0007074F">
        <w:rPr>
          <w:rFonts w:cstheme="minorHAnsi"/>
          <w:bCs/>
          <w:color w:val="44546A"/>
          <w:szCs w:val="72"/>
          <w:lang w:val="sr-Cyrl-CS"/>
        </w:rPr>
        <w:t xml:space="preserve"> сектор</w:t>
      </w:r>
      <w:r w:rsidR="00D0271D" w:rsidRPr="0007074F">
        <w:rPr>
          <w:rFonts w:cstheme="minorHAnsi"/>
          <w:bCs/>
          <w:color w:val="44546A"/>
          <w:szCs w:val="72"/>
          <w:lang w:val="sr-Cyrl-CS"/>
        </w:rPr>
        <w:t>у</w:t>
      </w:r>
      <w:r w:rsidRPr="0007074F">
        <w:rPr>
          <w:rFonts w:cstheme="minorHAnsi"/>
          <w:bCs/>
          <w:color w:val="44546A"/>
          <w:szCs w:val="72"/>
          <w:lang w:val="sr-Cyrl-CS"/>
        </w:rPr>
        <w:t>. Уз јачање иностране тражње и под условом да тренутне тензије на финансијском тржишту ослабе, очекује се опоравак раста производње од средине 2023. године који ће бити подржан повољним условима на тржишту рада.</w:t>
      </w:r>
    </w:p>
    <w:p w14:paraId="6779F329" w14:textId="77777777" w:rsidR="00907B95" w:rsidRPr="0007074F" w:rsidRDefault="00907B95" w:rsidP="002D6E55">
      <w:pPr>
        <w:spacing w:after="240"/>
        <w:rPr>
          <w:rFonts w:cstheme="minorHAnsi"/>
          <w:bCs/>
          <w:color w:val="44546A"/>
          <w:szCs w:val="72"/>
          <w:lang w:val="sr-Cyrl-CS"/>
        </w:rPr>
      </w:pPr>
      <w:r w:rsidRPr="0007074F">
        <w:rPr>
          <w:rFonts w:cstheme="minorHAnsi"/>
          <w:bCs/>
          <w:color w:val="44546A"/>
          <w:szCs w:val="72"/>
          <w:lang w:val="sr-Cyrl-CS"/>
        </w:rPr>
        <w:lastRenderedPageBreak/>
        <w:t xml:space="preserve">Према мартовским пројекцијама ЕЦБ, привреда еврозоне ће забележити раст од 1,0% у 2023. години, док је за 2024. годину предвиђено повећање од 1,6% што је за 0,3 п.п. мање него у децембарској пројекцији. Текућа нормализација политике ЕЦБ и даље очекивано повећање каматних стопа ће све више утицати на реалну економију. Такође, додатни ефекти који проистичу из недавног пооштравања услова понуде кредита, заједно са постепеним смањивањем фискалне подршке утицаће на економски раст у средњем року. Према проценама ЕЦБ, приватна потрошња </w:t>
      </w:r>
      <w:r w:rsidRPr="0007074F">
        <w:rPr>
          <w:rFonts w:cstheme="minorHAnsi"/>
          <w:bCs/>
          <w:color w:val="44546A"/>
          <w:szCs w:val="72"/>
          <w:lang w:val="sr-Cyrl-CS"/>
        </w:rPr>
        <w:t>ће се постепено опорављати током периода пројекције (0,7% и 1,3% у 2023. и 2024. години, респективно) како буде слабио утицај инфлације на смањење реалног дохотка, док се за инвестициону активност предвиђа раст од 0,3% и 1,4% за исти период. Са отклањањем уских грла на страни понуде уз јачање екстерне тражње очекује се даљи опоравак извоза еврозоне, уз позитиван допринос нето извоза расту БДП у средњем року. Поред тога, ниже цене енергената допринеће бољим условима размене у еврозони и побољшању биланса текућег рачуна.</w:t>
      </w:r>
    </w:p>
    <w:p w14:paraId="4C724775" w14:textId="77777777" w:rsidR="00907B95" w:rsidRPr="0007074F" w:rsidRDefault="00907B95" w:rsidP="002D6E55">
      <w:pPr>
        <w:spacing w:after="120" w:line="240" w:lineRule="auto"/>
        <w:ind w:left="255"/>
        <w:jc w:val="center"/>
        <w:rPr>
          <w:b/>
          <w:color w:val="002060"/>
          <w:lang w:val="sr-Cyrl-CS"/>
        </w:rPr>
        <w:sectPr w:rsidR="00907B95" w:rsidRPr="0007074F" w:rsidSect="002D6E55">
          <w:footerReference w:type="default" r:id="rId33"/>
          <w:type w:val="continuous"/>
          <w:pgSz w:w="12240" w:h="15840"/>
          <w:pgMar w:top="1440" w:right="1440" w:bottom="1440" w:left="1440" w:header="708" w:footer="708" w:gutter="0"/>
          <w:cols w:num="2" w:space="708"/>
          <w:docGrid w:linePitch="360"/>
        </w:sectPr>
      </w:pPr>
    </w:p>
    <w:tbl>
      <w:tblPr>
        <w:tblW w:w="5000" w:type="pct"/>
        <w:tblLook w:val="04A0" w:firstRow="1" w:lastRow="0" w:firstColumn="1" w:lastColumn="0" w:noHBand="0" w:noVBand="1"/>
      </w:tblPr>
      <w:tblGrid>
        <w:gridCol w:w="4448"/>
        <w:gridCol w:w="1228"/>
        <w:gridCol w:w="1228"/>
        <w:gridCol w:w="1228"/>
        <w:gridCol w:w="1228"/>
      </w:tblGrid>
      <w:tr w:rsidR="00907B95" w:rsidRPr="0007074F" w14:paraId="54A09CF8" w14:textId="77777777" w:rsidTr="002D6E55">
        <w:trPr>
          <w:trHeight w:val="300"/>
        </w:trPr>
        <w:tc>
          <w:tcPr>
            <w:tcW w:w="5000" w:type="pct"/>
            <w:gridSpan w:val="5"/>
            <w:tcBorders>
              <w:bottom w:val="single" w:sz="4" w:space="0" w:color="002060"/>
            </w:tcBorders>
            <w:shd w:val="clear" w:color="auto" w:fill="auto"/>
            <w:noWrap/>
            <w:vAlign w:val="bottom"/>
            <w:hideMark/>
          </w:tcPr>
          <w:p w14:paraId="572C2BFE" w14:textId="77777777" w:rsidR="00907B95" w:rsidRPr="0007074F" w:rsidRDefault="00907B95" w:rsidP="002D6E55">
            <w:pPr>
              <w:spacing w:after="120" w:line="240" w:lineRule="auto"/>
              <w:ind w:left="255"/>
              <w:jc w:val="center"/>
              <w:rPr>
                <w:rFonts w:cstheme="minorHAnsi"/>
                <w:color w:val="002060"/>
                <w:sz w:val="18"/>
                <w:lang w:val="sr-Cyrl-CS"/>
              </w:rPr>
            </w:pPr>
            <w:r w:rsidRPr="0007074F">
              <w:rPr>
                <w:b/>
                <w:color w:val="002060"/>
                <w:lang w:val="sr-Cyrl-CS"/>
              </w:rPr>
              <w:t>Табела 2. Макроекономске пројекције за подручје еврозоне, %</w:t>
            </w:r>
          </w:p>
        </w:tc>
      </w:tr>
      <w:tr w:rsidR="00907B95" w:rsidRPr="0007074F" w14:paraId="1F73E503" w14:textId="77777777" w:rsidTr="002D6E55">
        <w:trPr>
          <w:trHeight w:val="227"/>
        </w:trPr>
        <w:tc>
          <w:tcPr>
            <w:tcW w:w="2376" w:type="pct"/>
            <w:tcBorders>
              <w:top w:val="single" w:sz="4" w:space="0" w:color="002060"/>
            </w:tcBorders>
            <w:shd w:val="clear" w:color="auto" w:fill="auto"/>
            <w:noWrap/>
            <w:vAlign w:val="center"/>
          </w:tcPr>
          <w:p w14:paraId="30B2ACF0" w14:textId="77777777" w:rsidR="00907B95" w:rsidRPr="0007074F" w:rsidRDefault="00907B95" w:rsidP="002D6E55">
            <w:pPr>
              <w:spacing w:after="0" w:line="240" w:lineRule="auto"/>
              <w:jc w:val="center"/>
              <w:rPr>
                <w:rFonts w:eastAsia="Times New Roman" w:cs="Times New Roman"/>
                <w:color w:val="002060"/>
                <w:sz w:val="18"/>
                <w:szCs w:val="18"/>
                <w:lang w:val="sr-Cyrl-CS"/>
              </w:rPr>
            </w:pPr>
          </w:p>
        </w:tc>
        <w:tc>
          <w:tcPr>
            <w:tcW w:w="656" w:type="pct"/>
            <w:tcBorders>
              <w:top w:val="single" w:sz="4" w:space="0" w:color="002060"/>
              <w:bottom w:val="single" w:sz="4" w:space="0" w:color="002060"/>
            </w:tcBorders>
            <w:shd w:val="clear" w:color="auto" w:fill="auto"/>
            <w:noWrap/>
            <w:vAlign w:val="center"/>
          </w:tcPr>
          <w:p w14:paraId="51A13AAB"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2022</w:t>
            </w:r>
          </w:p>
        </w:tc>
        <w:tc>
          <w:tcPr>
            <w:tcW w:w="656" w:type="pct"/>
            <w:tcBorders>
              <w:top w:val="single" w:sz="4" w:space="0" w:color="002060"/>
              <w:bottom w:val="single" w:sz="4" w:space="0" w:color="002060"/>
            </w:tcBorders>
            <w:shd w:val="clear" w:color="auto" w:fill="auto"/>
            <w:noWrap/>
            <w:vAlign w:val="center"/>
          </w:tcPr>
          <w:p w14:paraId="315496E7"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2023</w:t>
            </w:r>
          </w:p>
        </w:tc>
        <w:tc>
          <w:tcPr>
            <w:tcW w:w="656" w:type="pct"/>
            <w:tcBorders>
              <w:top w:val="single" w:sz="4" w:space="0" w:color="002060"/>
              <w:bottom w:val="single" w:sz="4" w:space="0" w:color="002060"/>
            </w:tcBorders>
            <w:shd w:val="clear" w:color="auto" w:fill="auto"/>
            <w:noWrap/>
            <w:vAlign w:val="center"/>
          </w:tcPr>
          <w:p w14:paraId="152DDB29"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2024</w:t>
            </w:r>
          </w:p>
        </w:tc>
        <w:tc>
          <w:tcPr>
            <w:tcW w:w="656" w:type="pct"/>
            <w:tcBorders>
              <w:top w:val="single" w:sz="4" w:space="0" w:color="002060"/>
              <w:bottom w:val="single" w:sz="4" w:space="0" w:color="002060"/>
            </w:tcBorders>
            <w:shd w:val="clear" w:color="auto" w:fill="auto"/>
            <w:noWrap/>
            <w:vAlign w:val="center"/>
          </w:tcPr>
          <w:p w14:paraId="1B3D7310"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2025</w:t>
            </w:r>
          </w:p>
        </w:tc>
      </w:tr>
      <w:tr w:rsidR="00907B95" w:rsidRPr="0007074F" w14:paraId="2EA6955A" w14:textId="77777777" w:rsidTr="002D6E55">
        <w:trPr>
          <w:trHeight w:val="227"/>
        </w:trPr>
        <w:tc>
          <w:tcPr>
            <w:tcW w:w="2376" w:type="pct"/>
            <w:shd w:val="clear" w:color="auto" w:fill="auto"/>
            <w:noWrap/>
            <w:vAlign w:val="bottom"/>
            <w:hideMark/>
          </w:tcPr>
          <w:p w14:paraId="3C256068" w14:textId="77777777" w:rsidR="00907B95" w:rsidRPr="0007074F" w:rsidRDefault="00907B95" w:rsidP="002D6E55">
            <w:pPr>
              <w:spacing w:after="0" w:line="240" w:lineRule="auto"/>
              <w:ind w:left="255" w:hanging="360"/>
              <w:rPr>
                <w:rFonts w:cstheme="minorHAnsi"/>
                <w:color w:val="002060"/>
                <w:sz w:val="18"/>
                <w:lang w:val="sr-Cyrl-CS"/>
              </w:rPr>
            </w:pPr>
            <w:r w:rsidRPr="0007074F">
              <w:rPr>
                <w:rFonts w:cstheme="minorHAnsi"/>
                <w:color w:val="002060"/>
                <w:sz w:val="18"/>
                <w:lang w:val="sr-Cyrl-CS"/>
              </w:rPr>
              <w:t>БДП</w:t>
            </w:r>
          </w:p>
        </w:tc>
        <w:tc>
          <w:tcPr>
            <w:tcW w:w="656" w:type="pct"/>
            <w:tcBorders>
              <w:top w:val="single" w:sz="4" w:space="0" w:color="002060"/>
            </w:tcBorders>
            <w:shd w:val="clear" w:color="auto" w:fill="auto"/>
            <w:noWrap/>
            <w:vAlign w:val="center"/>
            <w:hideMark/>
          </w:tcPr>
          <w:p w14:paraId="00F05817"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3,6</w:t>
            </w:r>
          </w:p>
        </w:tc>
        <w:tc>
          <w:tcPr>
            <w:tcW w:w="656" w:type="pct"/>
            <w:tcBorders>
              <w:top w:val="single" w:sz="4" w:space="0" w:color="002060"/>
            </w:tcBorders>
            <w:shd w:val="clear" w:color="auto" w:fill="FFFFFF" w:themeFill="background1"/>
            <w:noWrap/>
            <w:vAlign w:val="center"/>
            <w:hideMark/>
          </w:tcPr>
          <w:p w14:paraId="1F7029D2"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1,0</w:t>
            </w:r>
          </w:p>
        </w:tc>
        <w:tc>
          <w:tcPr>
            <w:tcW w:w="656" w:type="pct"/>
            <w:tcBorders>
              <w:top w:val="single" w:sz="4" w:space="0" w:color="002060"/>
            </w:tcBorders>
            <w:shd w:val="clear" w:color="auto" w:fill="auto"/>
            <w:noWrap/>
            <w:vAlign w:val="center"/>
            <w:hideMark/>
          </w:tcPr>
          <w:p w14:paraId="2D01315C"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1,6</w:t>
            </w:r>
          </w:p>
        </w:tc>
        <w:tc>
          <w:tcPr>
            <w:tcW w:w="656" w:type="pct"/>
            <w:tcBorders>
              <w:top w:val="single" w:sz="4" w:space="0" w:color="002060"/>
            </w:tcBorders>
            <w:shd w:val="clear" w:color="auto" w:fill="auto"/>
            <w:noWrap/>
            <w:vAlign w:val="center"/>
            <w:hideMark/>
          </w:tcPr>
          <w:p w14:paraId="21CF741F"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1,6</w:t>
            </w:r>
          </w:p>
        </w:tc>
      </w:tr>
      <w:tr w:rsidR="00907B95" w:rsidRPr="0007074F" w14:paraId="181D1137" w14:textId="77777777" w:rsidTr="002D6E55">
        <w:trPr>
          <w:trHeight w:val="227"/>
        </w:trPr>
        <w:tc>
          <w:tcPr>
            <w:tcW w:w="2376" w:type="pct"/>
            <w:shd w:val="clear" w:color="auto" w:fill="auto"/>
            <w:noWrap/>
            <w:vAlign w:val="bottom"/>
            <w:hideMark/>
          </w:tcPr>
          <w:p w14:paraId="47BC75D9" w14:textId="77777777" w:rsidR="00907B95" w:rsidRPr="0007074F" w:rsidRDefault="00907B95" w:rsidP="002D6E55">
            <w:pPr>
              <w:spacing w:after="0" w:line="240" w:lineRule="auto"/>
              <w:ind w:left="360" w:hanging="360"/>
              <w:rPr>
                <w:rFonts w:cstheme="minorHAnsi"/>
                <w:color w:val="002060"/>
                <w:sz w:val="18"/>
                <w:lang w:val="sr-Cyrl-CS"/>
              </w:rPr>
            </w:pPr>
            <w:r w:rsidRPr="0007074F">
              <w:rPr>
                <w:rFonts w:cstheme="minorHAnsi"/>
                <w:color w:val="002060"/>
                <w:sz w:val="18"/>
                <w:lang w:val="sr-Cyrl-CS"/>
              </w:rPr>
              <w:t>Лична потрошња</w:t>
            </w:r>
          </w:p>
        </w:tc>
        <w:tc>
          <w:tcPr>
            <w:tcW w:w="656" w:type="pct"/>
            <w:shd w:val="clear" w:color="auto" w:fill="auto"/>
            <w:noWrap/>
            <w:vAlign w:val="center"/>
            <w:hideMark/>
          </w:tcPr>
          <w:p w14:paraId="2401E75A"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4,3</w:t>
            </w:r>
          </w:p>
        </w:tc>
        <w:tc>
          <w:tcPr>
            <w:tcW w:w="656" w:type="pct"/>
            <w:shd w:val="clear" w:color="auto" w:fill="auto"/>
            <w:noWrap/>
            <w:vAlign w:val="center"/>
            <w:hideMark/>
          </w:tcPr>
          <w:p w14:paraId="78153DDC"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0,7</w:t>
            </w:r>
          </w:p>
        </w:tc>
        <w:tc>
          <w:tcPr>
            <w:tcW w:w="656" w:type="pct"/>
            <w:shd w:val="clear" w:color="auto" w:fill="auto"/>
            <w:noWrap/>
            <w:vAlign w:val="center"/>
            <w:hideMark/>
          </w:tcPr>
          <w:p w14:paraId="61F31CC7"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1,3</w:t>
            </w:r>
          </w:p>
        </w:tc>
        <w:tc>
          <w:tcPr>
            <w:tcW w:w="656" w:type="pct"/>
            <w:shd w:val="clear" w:color="auto" w:fill="auto"/>
            <w:noWrap/>
            <w:vAlign w:val="center"/>
            <w:hideMark/>
          </w:tcPr>
          <w:p w14:paraId="46A3E1DF"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1,4</w:t>
            </w:r>
          </w:p>
        </w:tc>
      </w:tr>
      <w:tr w:rsidR="00907B95" w:rsidRPr="0007074F" w14:paraId="56093633" w14:textId="77777777" w:rsidTr="002D6E55">
        <w:trPr>
          <w:trHeight w:val="227"/>
        </w:trPr>
        <w:tc>
          <w:tcPr>
            <w:tcW w:w="2376" w:type="pct"/>
            <w:shd w:val="clear" w:color="auto" w:fill="auto"/>
            <w:noWrap/>
            <w:vAlign w:val="bottom"/>
            <w:hideMark/>
          </w:tcPr>
          <w:p w14:paraId="2E2A1F5B" w14:textId="77777777" w:rsidR="00907B95" w:rsidRPr="0007074F" w:rsidRDefault="00907B95" w:rsidP="002D6E55">
            <w:pPr>
              <w:spacing w:after="0" w:line="240" w:lineRule="auto"/>
              <w:ind w:left="360" w:hanging="360"/>
              <w:rPr>
                <w:rFonts w:cstheme="minorHAnsi"/>
                <w:color w:val="002060"/>
                <w:sz w:val="18"/>
                <w:lang w:val="sr-Cyrl-CS"/>
              </w:rPr>
            </w:pPr>
            <w:r w:rsidRPr="0007074F">
              <w:rPr>
                <w:rFonts w:cstheme="minorHAnsi"/>
                <w:color w:val="002060"/>
                <w:sz w:val="18"/>
                <w:lang w:val="sr-Cyrl-CS"/>
              </w:rPr>
              <w:t>Државна потрошња</w:t>
            </w:r>
          </w:p>
        </w:tc>
        <w:tc>
          <w:tcPr>
            <w:tcW w:w="656" w:type="pct"/>
            <w:shd w:val="clear" w:color="auto" w:fill="auto"/>
            <w:noWrap/>
            <w:vAlign w:val="center"/>
            <w:hideMark/>
          </w:tcPr>
          <w:p w14:paraId="2101BEA0"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1,4</w:t>
            </w:r>
          </w:p>
        </w:tc>
        <w:tc>
          <w:tcPr>
            <w:tcW w:w="656" w:type="pct"/>
            <w:shd w:val="clear" w:color="auto" w:fill="auto"/>
            <w:noWrap/>
            <w:vAlign w:val="center"/>
            <w:hideMark/>
          </w:tcPr>
          <w:p w14:paraId="5AFACE6C"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-0,2</w:t>
            </w:r>
          </w:p>
        </w:tc>
        <w:tc>
          <w:tcPr>
            <w:tcW w:w="656" w:type="pct"/>
            <w:shd w:val="clear" w:color="auto" w:fill="auto"/>
            <w:noWrap/>
            <w:vAlign w:val="center"/>
            <w:hideMark/>
          </w:tcPr>
          <w:p w14:paraId="62CDFE51"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1,4</w:t>
            </w:r>
          </w:p>
        </w:tc>
        <w:tc>
          <w:tcPr>
            <w:tcW w:w="656" w:type="pct"/>
            <w:shd w:val="clear" w:color="auto" w:fill="auto"/>
            <w:noWrap/>
            <w:vAlign w:val="center"/>
            <w:hideMark/>
          </w:tcPr>
          <w:p w14:paraId="13A257A6"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1,4</w:t>
            </w:r>
          </w:p>
        </w:tc>
      </w:tr>
      <w:tr w:rsidR="00907B95" w:rsidRPr="0007074F" w14:paraId="4FA96911" w14:textId="77777777" w:rsidTr="002D6E55">
        <w:trPr>
          <w:trHeight w:val="227"/>
        </w:trPr>
        <w:tc>
          <w:tcPr>
            <w:tcW w:w="2376" w:type="pct"/>
            <w:shd w:val="clear" w:color="auto" w:fill="auto"/>
            <w:noWrap/>
            <w:vAlign w:val="bottom"/>
            <w:hideMark/>
          </w:tcPr>
          <w:p w14:paraId="3A711387" w14:textId="77777777" w:rsidR="00907B95" w:rsidRPr="0007074F" w:rsidRDefault="00907B95" w:rsidP="002D6E55">
            <w:pPr>
              <w:spacing w:after="0" w:line="240" w:lineRule="auto"/>
              <w:ind w:left="360" w:hanging="360"/>
              <w:rPr>
                <w:rFonts w:cstheme="minorHAnsi"/>
                <w:color w:val="002060"/>
                <w:sz w:val="18"/>
                <w:lang w:val="sr-Cyrl-CS"/>
              </w:rPr>
            </w:pPr>
            <w:r w:rsidRPr="0007074F">
              <w:rPr>
                <w:rFonts w:cstheme="minorHAnsi"/>
                <w:color w:val="002060"/>
                <w:sz w:val="18"/>
                <w:lang w:val="sr-Cyrl-CS"/>
              </w:rPr>
              <w:t>Бруто инвестиције у основна средства</w:t>
            </w:r>
          </w:p>
        </w:tc>
        <w:tc>
          <w:tcPr>
            <w:tcW w:w="656" w:type="pct"/>
            <w:shd w:val="clear" w:color="auto" w:fill="auto"/>
            <w:noWrap/>
            <w:vAlign w:val="center"/>
            <w:hideMark/>
          </w:tcPr>
          <w:p w14:paraId="1F06E315"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3,7</w:t>
            </w:r>
          </w:p>
        </w:tc>
        <w:tc>
          <w:tcPr>
            <w:tcW w:w="656" w:type="pct"/>
            <w:shd w:val="clear" w:color="auto" w:fill="auto"/>
            <w:noWrap/>
            <w:vAlign w:val="center"/>
            <w:hideMark/>
          </w:tcPr>
          <w:p w14:paraId="66426994"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0,3</w:t>
            </w:r>
          </w:p>
        </w:tc>
        <w:tc>
          <w:tcPr>
            <w:tcW w:w="656" w:type="pct"/>
            <w:shd w:val="clear" w:color="auto" w:fill="auto"/>
            <w:noWrap/>
            <w:vAlign w:val="center"/>
            <w:hideMark/>
          </w:tcPr>
          <w:p w14:paraId="1CD94183"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1,4</w:t>
            </w:r>
          </w:p>
        </w:tc>
        <w:tc>
          <w:tcPr>
            <w:tcW w:w="656" w:type="pct"/>
            <w:shd w:val="clear" w:color="auto" w:fill="auto"/>
            <w:noWrap/>
            <w:vAlign w:val="center"/>
            <w:hideMark/>
          </w:tcPr>
          <w:p w14:paraId="55B303E6"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1,8</w:t>
            </w:r>
          </w:p>
        </w:tc>
      </w:tr>
      <w:tr w:rsidR="00907B95" w:rsidRPr="0007074F" w14:paraId="24640B80" w14:textId="77777777" w:rsidTr="002D6E55">
        <w:trPr>
          <w:trHeight w:val="227"/>
        </w:trPr>
        <w:tc>
          <w:tcPr>
            <w:tcW w:w="2376" w:type="pct"/>
            <w:shd w:val="clear" w:color="auto" w:fill="auto"/>
            <w:noWrap/>
            <w:vAlign w:val="bottom"/>
            <w:hideMark/>
          </w:tcPr>
          <w:p w14:paraId="31309B33" w14:textId="77777777" w:rsidR="00907B95" w:rsidRPr="0007074F" w:rsidRDefault="00907B95" w:rsidP="002D6E55">
            <w:pPr>
              <w:spacing w:after="0" w:line="240" w:lineRule="auto"/>
              <w:ind w:left="360" w:hanging="360"/>
              <w:rPr>
                <w:rFonts w:cstheme="minorHAnsi"/>
                <w:color w:val="002060"/>
                <w:sz w:val="18"/>
                <w:lang w:val="sr-Cyrl-CS"/>
              </w:rPr>
            </w:pPr>
            <w:r w:rsidRPr="0007074F">
              <w:rPr>
                <w:rFonts w:cstheme="minorHAnsi"/>
                <w:color w:val="002060"/>
                <w:sz w:val="18"/>
                <w:lang w:val="sr-Cyrl-CS"/>
              </w:rPr>
              <w:t>Извоз</w:t>
            </w:r>
          </w:p>
        </w:tc>
        <w:tc>
          <w:tcPr>
            <w:tcW w:w="656" w:type="pct"/>
            <w:shd w:val="clear" w:color="auto" w:fill="auto"/>
            <w:noWrap/>
            <w:vAlign w:val="center"/>
            <w:hideMark/>
          </w:tcPr>
          <w:p w14:paraId="30BECE31"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7,5</w:t>
            </w:r>
          </w:p>
        </w:tc>
        <w:tc>
          <w:tcPr>
            <w:tcW w:w="656" w:type="pct"/>
            <w:shd w:val="clear" w:color="auto" w:fill="auto"/>
            <w:noWrap/>
            <w:vAlign w:val="center"/>
            <w:hideMark/>
          </w:tcPr>
          <w:p w14:paraId="22F8FF66"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3,4</w:t>
            </w:r>
          </w:p>
        </w:tc>
        <w:tc>
          <w:tcPr>
            <w:tcW w:w="656" w:type="pct"/>
            <w:shd w:val="clear" w:color="auto" w:fill="auto"/>
            <w:noWrap/>
            <w:vAlign w:val="center"/>
            <w:hideMark/>
          </w:tcPr>
          <w:p w14:paraId="456ABE7A"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3,5</w:t>
            </w:r>
          </w:p>
        </w:tc>
        <w:tc>
          <w:tcPr>
            <w:tcW w:w="656" w:type="pct"/>
            <w:shd w:val="clear" w:color="auto" w:fill="auto"/>
            <w:noWrap/>
            <w:vAlign w:val="center"/>
            <w:hideMark/>
          </w:tcPr>
          <w:p w14:paraId="2B1A20AB"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3,3</w:t>
            </w:r>
          </w:p>
        </w:tc>
      </w:tr>
      <w:tr w:rsidR="00907B95" w:rsidRPr="0007074F" w14:paraId="48DA9375" w14:textId="77777777" w:rsidTr="002D6E55">
        <w:trPr>
          <w:trHeight w:val="227"/>
        </w:trPr>
        <w:tc>
          <w:tcPr>
            <w:tcW w:w="2376" w:type="pct"/>
            <w:shd w:val="clear" w:color="auto" w:fill="auto"/>
            <w:noWrap/>
            <w:vAlign w:val="bottom"/>
            <w:hideMark/>
          </w:tcPr>
          <w:p w14:paraId="2D19FD00" w14:textId="77777777" w:rsidR="00907B95" w:rsidRPr="0007074F" w:rsidRDefault="00907B95" w:rsidP="002D6E55">
            <w:pPr>
              <w:spacing w:after="0" w:line="240" w:lineRule="auto"/>
              <w:ind w:left="360" w:hanging="360"/>
              <w:rPr>
                <w:rFonts w:cstheme="minorHAnsi"/>
                <w:color w:val="002060"/>
                <w:sz w:val="18"/>
                <w:lang w:val="sr-Cyrl-CS"/>
              </w:rPr>
            </w:pPr>
            <w:r w:rsidRPr="0007074F">
              <w:rPr>
                <w:rFonts w:cstheme="minorHAnsi"/>
                <w:color w:val="002060"/>
                <w:sz w:val="18"/>
                <w:lang w:val="sr-Cyrl-CS"/>
              </w:rPr>
              <w:t>Увоз</w:t>
            </w:r>
          </w:p>
        </w:tc>
        <w:tc>
          <w:tcPr>
            <w:tcW w:w="656" w:type="pct"/>
            <w:shd w:val="clear" w:color="auto" w:fill="auto"/>
            <w:noWrap/>
            <w:vAlign w:val="center"/>
            <w:hideMark/>
          </w:tcPr>
          <w:p w14:paraId="590BB820"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8,3</w:t>
            </w:r>
          </w:p>
        </w:tc>
        <w:tc>
          <w:tcPr>
            <w:tcW w:w="656" w:type="pct"/>
            <w:shd w:val="clear" w:color="auto" w:fill="auto"/>
            <w:noWrap/>
            <w:vAlign w:val="center"/>
            <w:hideMark/>
          </w:tcPr>
          <w:p w14:paraId="31A37646"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3,0</w:t>
            </w:r>
          </w:p>
        </w:tc>
        <w:tc>
          <w:tcPr>
            <w:tcW w:w="656" w:type="pct"/>
            <w:shd w:val="clear" w:color="auto" w:fill="auto"/>
            <w:noWrap/>
            <w:vAlign w:val="center"/>
            <w:hideMark/>
          </w:tcPr>
          <w:p w14:paraId="66FD1C51"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3,0</w:t>
            </w:r>
          </w:p>
        </w:tc>
        <w:tc>
          <w:tcPr>
            <w:tcW w:w="656" w:type="pct"/>
            <w:shd w:val="clear" w:color="auto" w:fill="auto"/>
            <w:noWrap/>
            <w:vAlign w:val="center"/>
            <w:hideMark/>
          </w:tcPr>
          <w:p w14:paraId="173434CE"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3,2</w:t>
            </w:r>
          </w:p>
        </w:tc>
      </w:tr>
      <w:tr w:rsidR="00907B95" w:rsidRPr="0007074F" w14:paraId="07619225" w14:textId="77777777" w:rsidTr="002D6E55">
        <w:trPr>
          <w:trHeight w:val="227"/>
        </w:trPr>
        <w:tc>
          <w:tcPr>
            <w:tcW w:w="2376" w:type="pct"/>
            <w:shd w:val="clear" w:color="auto" w:fill="auto"/>
            <w:noWrap/>
            <w:vAlign w:val="bottom"/>
            <w:hideMark/>
          </w:tcPr>
          <w:p w14:paraId="0457DA6E" w14:textId="77777777" w:rsidR="00907B95" w:rsidRPr="0007074F" w:rsidRDefault="00907B95" w:rsidP="002D6E55">
            <w:pPr>
              <w:spacing w:after="0" w:line="240" w:lineRule="auto"/>
              <w:ind w:left="255" w:hanging="360"/>
              <w:rPr>
                <w:rFonts w:cstheme="minorHAnsi"/>
                <w:color w:val="002060"/>
                <w:sz w:val="18"/>
                <w:lang w:val="sr-Cyrl-CS"/>
              </w:rPr>
            </w:pPr>
            <w:r w:rsidRPr="0007074F">
              <w:rPr>
                <w:rFonts w:cstheme="minorHAnsi"/>
                <w:color w:val="002060"/>
                <w:sz w:val="18"/>
                <w:lang w:val="sr-Cyrl-CS"/>
              </w:rPr>
              <w:t>Запосленост</w:t>
            </w:r>
          </w:p>
        </w:tc>
        <w:tc>
          <w:tcPr>
            <w:tcW w:w="656" w:type="pct"/>
            <w:shd w:val="clear" w:color="auto" w:fill="auto"/>
            <w:noWrap/>
            <w:vAlign w:val="center"/>
            <w:hideMark/>
          </w:tcPr>
          <w:p w14:paraId="39636928"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2,2</w:t>
            </w:r>
          </w:p>
        </w:tc>
        <w:tc>
          <w:tcPr>
            <w:tcW w:w="656" w:type="pct"/>
            <w:shd w:val="clear" w:color="auto" w:fill="auto"/>
            <w:noWrap/>
            <w:vAlign w:val="center"/>
            <w:hideMark/>
          </w:tcPr>
          <w:p w14:paraId="35C5EA0A"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0,8</w:t>
            </w:r>
          </w:p>
        </w:tc>
        <w:tc>
          <w:tcPr>
            <w:tcW w:w="656" w:type="pct"/>
            <w:shd w:val="clear" w:color="auto" w:fill="auto"/>
            <w:noWrap/>
            <w:vAlign w:val="center"/>
            <w:hideMark/>
          </w:tcPr>
          <w:p w14:paraId="04B0588E"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0,4</w:t>
            </w:r>
          </w:p>
        </w:tc>
        <w:tc>
          <w:tcPr>
            <w:tcW w:w="656" w:type="pct"/>
            <w:shd w:val="clear" w:color="auto" w:fill="auto"/>
            <w:noWrap/>
            <w:vAlign w:val="center"/>
            <w:hideMark/>
          </w:tcPr>
          <w:p w14:paraId="7C41E7AB"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0,3</w:t>
            </w:r>
          </w:p>
        </w:tc>
      </w:tr>
      <w:tr w:rsidR="00907B95" w:rsidRPr="0007074F" w14:paraId="7CD8E737" w14:textId="77777777" w:rsidTr="002D6E55">
        <w:trPr>
          <w:trHeight w:val="227"/>
        </w:trPr>
        <w:tc>
          <w:tcPr>
            <w:tcW w:w="2376" w:type="pct"/>
            <w:shd w:val="clear" w:color="auto" w:fill="auto"/>
            <w:noWrap/>
            <w:vAlign w:val="bottom"/>
            <w:hideMark/>
          </w:tcPr>
          <w:p w14:paraId="45305535" w14:textId="77777777" w:rsidR="00907B95" w:rsidRPr="0007074F" w:rsidRDefault="00907B95" w:rsidP="002D6E55">
            <w:pPr>
              <w:spacing w:after="0" w:line="240" w:lineRule="auto"/>
              <w:ind w:left="255" w:hanging="360"/>
              <w:rPr>
                <w:rFonts w:cstheme="minorHAnsi"/>
                <w:color w:val="002060"/>
                <w:sz w:val="18"/>
                <w:lang w:val="sr-Cyrl-CS"/>
              </w:rPr>
            </w:pPr>
            <w:r w:rsidRPr="0007074F">
              <w:rPr>
                <w:rFonts w:cstheme="minorHAnsi"/>
                <w:color w:val="002060"/>
                <w:sz w:val="18"/>
                <w:lang w:val="sr-Cyrl-CS"/>
              </w:rPr>
              <w:t>Стопа незапослености</w:t>
            </w:r>
          </w:p>
        </w:tc>
        <w:tc>
          <w:tcPr>
            <w:tcW w:w="656" w:type="pct"/>
            <w:shd w:val="clear" w:color="auto" w:fill="auto"/>
            <w:noWrap/>
            <w:vAlign w:val="center"/>
            <w:hideMark/>
          </w:tcPr>
          <w:p w14:paraId="6A419BD5"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6,7</w:t>
            </w:r>
          </w:p>
        </w:tc>
        <w:tc>
          <w:tcPr>
            <w:tcW w:w="656" w:type="pct"/>
            <w:shd w:val="clear" w:color="auto" w:fill="auto"/>
            <w:noWrap/>
            <w:vAlign w:val="center"/>
            <w:hideMark/>
          </w:tcPr>
          <w:p w14:paraId="72042274"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6,6</w:t>
            </w:r>
          </w:p>
        </w:tc>
        <w:tc>
          <w:tcPr>
            <w:tcW w:w="656" w:type="pct"/>
            <w:shd w:val="clear" w:color="auto" w:fill="auto"/>
            <w:noWrap/>
            <w:vAlign w:val="center"/>
            <w:hideMark/>
          </w:tcPr>
          <w:p w14:paraId="23AAA172"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6,6</w:t>
            </w:r>
          </w:p>
        </w:tc>
        <w:tc>
          <w:tcPr>
            <w:tcW w:w="656" w:type="pct"/>
            <w:shd w:val="clear" w:color="auto" w:fill="auto"/>
            <w:noWrap/>
            <w:vAlign w:val="center"/>
            <w:hideMark/>
          </w:tcPr>
          <w:p w14:paraId="64005C11"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6,6</w:t>
            </w:r>
          </w:p>
        </w:tc>
      </w:tr>
      <w:tr w:rsidR="00907B95" w:rsidRPr="0007074F" w14:paraId="6A480DB7" w14:textId="77777777" w:rsidTr="002D6E55">
        <w:trPr>
          <w:trHeight w:val="227"/>
        </w:trPr>
        <w:tc>
          <w:tcPr>
            <w:tcW w:w="2376" w:type="pct"/>
            <w:shd w:val="clear" w:color="auto" w:fill="auto"/>
            <w:noWrap/>
            <w:vAlign w:val="bottom"/>
            <w:hideMark/>
          </w:tcPr>
          <w:p w14:paraId="282B3087" w14:textId="77777777" w:rsidR="00907B95" w:rsidRPr="0007074F" w:rsidRDefault="00907B95" w:rsidP="002D6E55">
            <w:pPr>
              <w:spacing w:after="0" w:line="240" w:lineRule="auto"/>
              <w:ind w:left="255" w:hanging="360"/>
              <w:rPr>
                <w:rFonts w:cstheme="minorHAnsi"/>
                <w:color w:val="002060"/>
                <w:sz w:val="18"/>
                <w:lang w:val="sr-Cyrl-CS"/>
              </w:rPr>
            </w:pPr>
            <w:r w:rsidRPr="0007074F">
              <w:rPr>
                <w:rFonts w:cstheme="minorHAnsi"/>
                <w:color w:val="002060"/>
                <w:sz w:val="18"/>
                <w:lang w:val="sr-Cyrl-CS"/>
              </w:rPr>
              <w:t>Инфлација, просек периода</w:t>
            </w:r>
          </w:p>
        </w:tc>
        <w:tc>
          <w:tcPr>
            <w:tcW w:w="656" w:type="pct"/>
            <w:shd w:val="clear" w:color="auto" w:fill="auto"/>
            <w:noWrap/>
            <w:vAlign w:val="center"/>
            <w:hideMark/>
          </w:tcPr>
          <w:p w14:paraId="1BF17526"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8,4</w:t>
            </w:r>
          </w:p>
        </w:tc>
        <w:tc>
          <w:tcPr>
            <w:tcW w:w="656" w:type="pct"/>
            <w:shd w:val="clear" w:color="auto" w:fill="auto"/>
            <w:noWrap/>
            <w:vAlign w:val="center"/>
            <w:hideMark/>
          </w:tcPr>
          <w:p w14:paraId="1927FEEF"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5,3</w:t>
            </w:r>
          </w:p>
        </w:tc>
        <w:tc>
          <w:tcPr>
            <w:tcW w:w="656" w:type="pct"/>
            <w:shd w:val="clear" w:color="auto" w:fill="auto"/>
            <w:noWrap/>
            <w:vAlign w:val="center"/>
            <w:hideMark/>
          </w:tcPr>
          <w:p w14:paraId="2E6BDF48"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2,9</w:t>
            </w:r>
          </w:p>
        </w:tc>
        <w:tc>
          <w:tcPr>
            <w:tcW w:w="656" w:type="pct"/>
            <w:shd w:val="clear" w:color="auto" w:fill="auto"/>
            <w:noWrap/>
            <w:vAlign w:val="center"/>
            <w:hideMark/>
          </w:tcPr>
          <w:p w14:paraId="7B61996E"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2,1</w:t>
            </w:r>
          </w:p>
        </w:tc>
      </w:tr>
      <w:tr w:rsidR="00907B95" w:rsidRPr="0007074F" w14:paraId="284C9126" w14:textId="77777777" w:rsidTr="002D6E55">
        <w:trPr>
          <w:trHeight w:val="227"/>
        </w:trPr>
        <w:tc>
          <w:tcPr>
            <w:tcW w:w="2376" w:type="pct"/>
            <w:shd w:val="clear" w:color="auto" w:fill="auto"/>
            <w:noWrap/>
            <w:vAlign w:val="bottom"/>
            <w:hideMark/>
          </w:tcPr>
          <w:p w14:paraId="69430FF4" w14:textId="77777777" w:rsidR="00907B95" w:rsidRPr="0007074F" w:rsidRDefault="00907B95" w:rsidP="002D6E55">
            <w:pPr>
              <w:spacing w:after="0" w:line="240" w:lineRule="auto"/>
              <w:ind w:left="255" w:hanging="360"/>
              <w:rPr>
                <w:rFonts w:cstheme="minorHAnsi"/>
                <w:color w:val="002060"/>
                <w:sz w:val="18"/>
                <w:lang w:val="sr-Cyrl-CS"/>
              </w:rPr>
            </w:pPr>
            <w:r w:rsidRPr="0007074F">
              <w:rPr>
                <w:rFonts w:cstheme="minorHAnsi"/>
                <w:color w:val="002060"/>
                <w:sz w:val="18"/>
                <w:lang w:val="sr-Cyrl-CS"/>
              </w:rPr>
              <w:t>Јединични трошкови рада</w:t>
            </w:r>
          </w:p>
        </w:tc>
        <w:tc>
          <w:tcPr>
            <w:tcW w:w="656" w:type="pct"/>
            <w:shd w:val="clear" w:color="auto" w:fill="auto"/>
            <w:noWrap/>
            <w:vAlign w:val="center"/>
            <w:hideMark/>
          </w:tcPr>
          <w:p w14:paraId="4CC7E1C0"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3,2</w:t>
            </w:r>
          </w:p>
        </w:tc>
        <w:tc>
          <w:tcPr>
            <w:tcW w:w="656" w:type="pct"/>
            <w:shd w:val="clear" w:color="auto" w:fill="auto"/>
            <w:noWrap/>
            <w:vAlign w:val="center"/>
            <w:hideMark/>
          </w:tcPr>
          <w:p w14:paraId="2B2C61FC"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5,1</w:t>
            </w:r>
          </w:p>
        </w:tc>
        <w:tc>
          <w:tcPr>
            <w:tcW w:w="656" w:type="pct"/>
            <w:shd w:val="clear" w:color="auto" w:fill="auto"/>
            <w:noWrap/>
            <w:vAlign w:val="center"/>
            <w:hideMark/>
          </w:tcPr>
          <w:p w14:paraId="60B7D537"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3,2</w:t>
            </w:r>
          </w:p>
        </w:tc>
        <w:tc>
          <w:tcPr>
            <w:tcW w:w="656" w:type="pct"/>
            <w:shd w:val="clear" w:color="auto" w:fill="auto"/>
            <w:noWrap/>
            <w:vAlign w:val="center"/>
            <w:hideMark/>
          </w:tcPr>
          <w:p w14:paraId="077B8290"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2,3</w:t>
            </w:r>
          </w:p>
        </w:tc>
      </w:tr>
      <w:tr w:rsidR="00907B95" w:rsidRPr="0007074F" w14:paraId="3A4FB4A3" w14:textId="77777777" w:rsidTr="002D6E55">
        <w:trPr>
          <w:trHeight w:val="227"/>
        </w:trPr>
        <w:tc>
          <w:tcPr>
            <w:tcW w:w="2376" w:type="pct"/>
            <w:shd w:val="clear" w:color="auto" w:fill="auto"/>
            <w:noWrap/>
            <w:vAlign w:val="bottom"/>
            <w:hideMark/>
          </w:tcPr>
          <w:p w14:paraId="1C69398C" w14:textId="2FAA3DC6" w:rsidR="00907B95" w:rsidRPr="0007074F" w:rsidRDefault="00907B95">
            <w:pPr>
              <w:spacing w:after="0" w:line="240" w:lineRule="auto"/>
              <w:ind w:left="255" w:hanging="360"/>
              <w:rPr>
                <w:rFonts w:cstheme="minorHAnsi"/>
                <w:color w:val="002060"/>
                <w:sz w:val="18"/>
                <w:lang w:val="sr-Cyrl-CS"/>
              </w:rPr>
            </w:pPr>
            <w:r w:rsidRPr="0007074F">
              <w:rPr>
                <w:rFonts w:cstheme="minorHAnsi"/>
                <w:color w:val="002060"/>
                <w:sz w:val="18"/>
                <w:lang w:val="sr-Cyrl-CS"/>
              </w:rPr>
              <w:t xml:space="preserve">Фискални резултат </w:t>
            </w:r>
            <w:r w:rsidR="00332897" w:rsidRPr="0007074F">
              <w:rPr>
                <w:rFonts w:cstheme="minorHAnsi"/>
                <w:color w:val="002060"/>
                <w:sz w:val="18"/>
                <w:lang w:val="sr-Cyrl-CS"/>
              </w:rPr>
              <w:t xml:space="preserve">сектора </w:t>
            </w:r>
            <w:r w:rsidRPr="0007074F">
              <w:rPr>
                <w:rFonts w:cstheme="minorHAnsi"/>
                <w:color w:val="002060"/>
                <w:sz w:val="18"/>
                <w:lang w:val="sr-Cyrl-CS"/>
              </w:rPr>
              <w:t>државе, % БДП</w:t>
            </w:r>
          </w:p>
        </w:tc>
        <w:tc>
          <w:tcPr>
            <w:tcW w:w="656" w:type="pct"/>
            <w:shd w:val="clear" w:color="auto" w:fill="auto"/>
            <w:noWrap/>
            <w:vAlign w:val="center"/>
            <w:hideMark/>
          </w:tcPr>
          <w:p w14:paraId="0BD16211"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-3,7</w:t>
            </w:r>
          </w:p>
        </w:tc>
        <w:tc>
          <w:tcPr>
            <w:tcW w:w="656" w:type="pct"/>
            <w:shd w:val="clear" w:color="auto" w:fill="auto"/>
            <w:noWrap/>
            <w:vAlign w:val="center"/>
            <w:hideMark/>
          </w:tcPr>
          <w:p w14:paraId="7AABCE1C"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-3,4</w:t>
            </w:r>
          </w:p>
        </w:tc>
        <w:tc>
          <w:tcPr>
            <w:tcW w:w="656" w:type="pct"/>
            <w:shd w:val="clear" w:color="auto" w:fill="auto"/>
            <w:noWrap/>
            <w:vAlign w:val="center"/>
            <w:hideMark/>
          </w:tcPr>
          <w:p w14:paraId="2C0F0142"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-2,4</w:t>
            </w:r>
          </w:p>
        </w:tc>
        <w:tc>
          <w:tcPr>
            <w:tcW w:w="656" w:type="pct"/>
            <w:shd w:val="clear" w:color="auto" w:fill="auto"/>
            <w:noWrap/>
            <w:vAlign w:val="center"/>
            <w:hideMark/>
          </w:tcPr>
          <w:p w14:paraId="56B008D5"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-2,4</w:t>
            </w:r>
          </w:p>
        </w:tc>
      </w:tr>
      <w:tr w:rsidR="00907B95" w:rsidRPr="0007074F" w14:paraId="3FBD2BE6" w14:textId="77777777" w:rsidTr="002D6E55">
        <w:trPr>
          <w:trHeight w:val="227"/>
        </w:trPr>
        <w:tc>
          <w:tcPr>
            <w:tcW w:w="2376" w:type="pct"/>
            <w:shd w:val="clear" w:color="auto" w:fill="auto"/>
            <w:noWrap/>
            <w:vAlign w:val="bottom"/>
            <w:hideMark/>
          </w:tcPr>
          <w:p w14:paraId="1ED1A237" w14:textId="63C2F2B0" w:rsidR="00907B95" w:rsidRPr="0007074F" w:rsidRDefault="00907B95">
            <w:pPr>
              <w:spacing w:after="0" w:line="240" w:lineRule="auto"/>
              <w:ind w:left="255" w:hanging="360"/>
              <w:rPr>
                <w:rFonts w:cstheme="minorHAnsi"/>
                <w:color w:val="002060"/>
                <w:sz w:val="18"/>
                <w:lang w:val="sr-Cyrl-CS"/>
              </w:rPr>
            </w:pPr>
            <w:r w:rsidRPr="0007074F">
              <w:rPr>
                <w:rFonts w:cstheme="minorHAnsi"/>
                <w:color w:val="002060"/>
                <w:sz w:val="18"/>
                <w:lang w:val="sr-Cyrl-CS"/>
              </w:rPr>
              <w:t xml:space="preserve">Бруто дуг </w:t>
            </w:r>
            <w:r w:rsidR="00332897" w:rsidRPr="0007074F">
              <w:rPr>
                <w:rFonts w:cstheme="minorHAnsi"/>
                <w:color w:val="002060"/>
                <w:sz w:val="18"/>
                <w:lang w:val="sr-Cyrl-CS"/>
              </w:rPr>
              <w:t xml:space="preserve">сектора </w:t>
            </w:r>
            <w:r w:rsidRPr="0007074F">
              <w:rPr>
                <w:rFonts w:cstheme="minorHAnsi"/>
                <w:color w:val="002060"/>
                <w:sz w:val="18"/>
                <w:lang w:val="sr-Cyrl-CS"/>
              </w:rPr>
              <w:t>државе, % БДП</w:t>
            </w:r>
          </w:p>
        </w:tc>
        <w:tc>
          <w:tcPr>
            <w:tcW w:w="656" w:type="pct"/>
            <w:shd w:val="clear" w:color="auto" w:fill="auto"/>
            <w:noWrap/>
            <w:vAlign w:val="center"/>
            <w:hideMark/>
          </w:tcPr>
          <w:p w14:paraId="6B48D904"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91,0</w:t>
            </w:r>
          </w:p>
        </w:tc>
        <w:tc>
          <w:tcPr>
            <w:tcW w:w="656" w:type="pct"/>
            <w:shd w:val="clear" w:color="auto" w:fill="auto"/>
            <w:noWrap/>
            <w:vAlign w:val="center"/>
            <w:hideMark/>
          </w:tcPr>
          <w:p w14:paraId="64BA61C4"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89,4</w:t>
            </w:r>
          </w:p>
        </w:tc>
        <w:tc>
          <w:tcPr>
            <w:tcW w:w="656" w:type="pct"/>
            <w:shd w:val="clear" w:color="auto" w:fill="auto"/>
            <w:noWrap/>
            <w:vAlign w:val="center"/>
            <w:hideMark/>
          </w:tcPr>
          <w:p w14:paraId="5D458B05"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87,7</w:t>
            </w:r>
          </w:p>
        </w:tc>
        <w:tc>
          <w:tcPr>
            <w:tcW w:w="656" w:type="pct"/>
            <w:shd w:val="clear" w:color="auto" w:fill="auto"/>
            <w:noWrap/>
            <w:vAlign w:val="center"/>
            <w:hideMark/>
          </w:tcPr>
          <w:p w14:paraId="4FF33175"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86,8</w:t>
            </w:r>
          </w:p>
        </w:tc>
      </w:tr>
      <w:tr w:rsidR="00907B95" w:rsidRPr="0007074F" w14:paraId="36C480AE" w14:textId="77777777" w:rsidTr="002D6E55">
        <w:trPr>
          <w:trHeight w:val="227"/>
        </w:trPr>
        <w:tc>
          <w:tcPr>
            <w:tcW w:w="2376" w:type="pct"/>
            <w:tcBorders>
              <w:bottom w:val="single" w:sz="4" w:space="0" w:color="002060"/>
            </w:tcBorders>
            <w:shd w:val="clear" w:color="auto" w:fill="auto"/>
            <w:noWrap/>
            <w:vAlign w:val="bottom"/>
            <w:hideMark/>
          </w:tcPr>
          <w:p w14:paraId="5749DA97" w14:textId="77777777" w:rsidR="00907B95" w:rsidRPr="0007074F" w:rsidRDefault="00907B95" w:rsidP="002D6E55">
            <w:pPr>
              <w:spacing w:after="0" w:line="240" w:lineRule="auto"/>
              <w:ind w:left="255" w:hanging="360"/>
              <w:rPr>
                <w:rFonts w:cstheme="minorHAnsi"/>
                <w:color w:val="002060"/>
                <w:sz w:val="18"/>
                <w:lang w:val="sr-Cyrl-CS"/>
              </w:rPr>
            </w:pPr>
            <w:r w:rsidRPr="0007074F">
              <w:rPr>
                <w:rFonts w:cstheme="minorHAnsi"/>
                <w:color w:val="002060"/>
                <w:sz w:val="18"/>
                <w:lang w:val="sr-Cyrl-CS"/>
              </w:rPr>
              <w:t>Салдо текућег рачуна, % БДП</w:t>
            </w:r>
          </w:p>
        </w:tc>
        <w:tc>
          <w:tcPr>
            <w:tcW w:w="656" w:type="pct"/>
            <w:tcBorders>
              <w:bottom w:val="single" w:sz="4" w:space="0" w:color="002060"/>
            </w:tcBorders>
            <w:shd w:val="clear" w:color="auto" w:fill="auto"/>
            <w:noWrap/>
            <w:vAlign w:val="center"/>
            <w:hideMark/>
          </w:tcPr>
          <w:p w14:paraId="4753A9FF"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-0,8</w:t>
            </w:r>
          </w:p>
        </w:tc>
        <w:tc>
          <w:tcPr>
            <w:tcW w:w="656" w:type="pct"/>
            <w:tcBorders>
              <w:bottom w:val="single" w:sz="4" w:space="0" w:color="002060"/>
            </w:tcBorders>
            <w:shd w:val="clear" w:color="auto" w:fill="auto"/>
            <w:noWrap/>
            <w:vAlign w:val="center"/>
            <w:hideMark/>
          </w:tcPr>
          <w:p w14:paraId="6FAD7EFD"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1,3</w:t>
            </w:r>
          </w:p>
        </w:tc>
        <w:tc>
          <w:tcPr>
            <w:tcW w:w="656" w:type="pct"/>
            <w:tcBorders>
              <w:bottom w:val="single" w:sz="4" w:space="0" w:color="002060"/>
            </w:tcBorders>
            <w:shd w:val="clear" w:color="auto" w:fill="auto"/>
            <w:noWrap/>
            <w:vAlign w:val="center"/>
            <w:hideMark/>
          </w:tcPr>
          <w:p w14:paraId="6DEDAA91"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2,0</w:t>
            </w:r>
          </w:p>
        </w:tc>
        <w:tc>
          <w:tcPr>
            <w:tcW w:w="656" w:type="pct"/>
            <w:shd w:val="clear" w:color="auto" w:fill="auto"/>
            <w:noWrap/>
            <w:vAlign w:val="center"/>
            <w:hideMark/>
          </w:tcPr>
          <w:p w14:paraId="51B563DA" w14:textId="77777777" w:rsidR="00907B95" w:rsidRPr="0007074F" w:rsidRDefault="00907B95" w:rsidP="002D6E55">
            <w:pPr>
              <w:spacing w:after="0" w:line="240" w:lineRule="auto"/>
              <w:jc w:val="center"/>
              <w:rPr>
                <w:rFonts w:cstheme="minorHAnsi"/>
                <w:color w:val="002060"/>
                <w:sz w:val="18"/>
                <w:lang w:val="sr-Cyrl-CS"/>
              </w:rPr>
            </w:pPr>
            <w:r w:rsidRPr="0007074F">
              <w:rPr>
                <w:rFonts w:cstheme="minorHAnsi"/>
                <w:color w:val="002060"/>
                <w:sz w:val="18"/>
                <w:lang w:val="sr-Cyrl-CS"/>
              </w:rPr>
              <w:t>2,5</w:t>
            </w:r>
          </w:p>
        </w:tc>
      </w:tr>
      <w:tr w:rsidR="00907B95" w:rsidRPr="0007074F" w14:paraId="52713A29" w14:textId="77777777" w:rsidTr="002D6E55">
        <w:trPr>
          <w:trHeight w:val="227"/>
        </w:trPr>
        <w:tc>
          <w:tcPr>
            <w:tcW w:w="5000" w:type="pct"/>
            <w:gridSpan w:val="5"/>
            <w:tcBorders>
              <w:top w:val="single" w:sz="4" w:space="0" w:color="002060"/>
            </w:tcBorders>
            <w:shd w:val="clear" w:color="auto" w:fill="auto"/>
            <w:noWrap/>
            <w:vAlign w:val="bottom"/>
          </w:tcPr>
          <w:p w14:paraId="2B896EED" w14:textId="77777777" w:rsidR="00907B95" w:rsidRPr="0007074F" w:rsidRDefault="00907B95" w:rsidP="002D6E55">
            <w:pPr>
              <w:spacing w:after="0" w:line="240" w:lineRule="auto"/>
              <w:jc w:val="left"/>
              <w:rPr>
                <w:rFonts w:cstheme="minorHAnsi"/>
                <w:color w:val="002060"/>
                <w:sz w:val="18"/>
                <w:lang w:val="sr-Cyrl-CS"/>
              </w:rPr>
            </w:pPr>
            <w:r w:rsidRPr="0007074F">
              <w:rPr>
                <w:rFonts w:cstheme="minorHAnsi"/>
                <w:color w:val="44546A"/>
                <w:sz w:val="16"/>
                <w:lang w:val="sr-Cyrl-CS"/>
              </w:rPr>
              <w:t>Извор: Макроекономске пројекције стручњака ЕЦБ за подручје еврозоне, март 2023.</w:t>
            </w:r>
          </w:p>
        </w:tc>
      </w:tr>
    </w:tbl>
    <w:p w14:paraId="5CD11C59" w14:textId="77777777" w:rsidR="00907B95" w:rsidRPr="0007074F" w:rsidRDefault="00907B95" w:rsidP="002D6E55">
      <w:pPr>
        <w:spacing w:after="120"/>
        <w:rPr>
          <w:rFonts w:cstheme="minorHAnsi"/>
          <w:bCs/>
          <w:color w:val="44546A"/>
          <w:szCs w:val="72"/>
          <w:lang w:val="sr-Cyrl-CS"/>
        </w:rPr>
        <w:sectPr w:rsidR="00907B95" w:rsidRPr="0007074F" w:rsidSect="002D6E55">
          <w:type w:val="continuous"/>
          <w:pgSz w:w="12240" w:h="15840"/>
          <w:pgMar w:top="1440" w:right="1440" w:bottom="1440" w:left="1440" w:header="708" w:footer="708" w:gutter="0"/>
          <w:cols w:space="708"/>
          <w:docGrid w:linePitch="360"/>
        </w:sectPr>
      </w:pPr>
    </w:p>
    <w:p w14:paraId="5D3959EC" w14:textId="5B5326E9" w:rsidR="00907B95" w:rsidRPr="0007074F" w:rsidRDefault="00907B95" w:rsidP="002D6E55">
      <w:pPr>
        <w:spacing w:before="120" w:after="120"/>
        <w:rPr>
          <w:rFonts w:cstheme="minorHAnsi"/>
          <w:bCs/>
          <w:color w:val="44546A"/>
          <w:szCs w:val="72"/>
          <w:lang w:val="sr-Cyrl-CS"/>
        </w:rPr>
      </w:pPr>
      <w:r w:rsidRPr="0007074F">
        <w:rPr>
          <w:rFonts w:cstheme="minorHAnsi"/>
          <w:bCs/>
          <w:color w:val="44546A"/>
          <w:szCs w:val="72"/>
          <w:lang w:val="sr-Cyrl-CS"/>
        </w:rPr>
        <w:t>Прилагођавање и стабилизација енергетског сектора утицало је на смањивање ценовних притисака, па се очекује да ће и инфлација опадати бржим темпом. Цене енергената, које су достигле врхунац прошле јесени са растом од преко 40%, забележиће смањење у другом делу године услед снажног пада цена добара као и апрецијације евра према долару</w:t>
      </w:r>
      <w:r w:rsidRPr="0007074F">
        <w:rPr>
          <w:rFonts w:cstheme="minorHAnsi"/>
          <w:bCs/>
          <w:szCs w:val="72"/>
          <w:lang w:val="sr-Cyrl-CS"/>
        </w:rPr>
        <w:t xml:space="preserve">. Очекује се да ће просечна инфлација током 2023. године износити 5,3%, а затим се </w:t>
      </w:r>
      <w:r w:rsidR="006848C1" w:rsidRPr="0007074F">
        <w:rPr>
          <w:rFonts w:cstheme="minorHAnsi"/>
          <w:bCs/>
          <w:szCs w:val="72"/>
          <w:lang w:val="sr-Cyrl-CS"/>
        </w:rPr>
        <w:t>пројектује</w:t>
      </w:r>
      <w:r w:rsidRPr="0007074F">
        <w:rPr>
          <w:rFonts w:cstheme="minorHAnsi"/>
          <w:bCs/>
          <w:szCs w:val="72"/>
          <w:lang w:val="sr-Cyrl-CS"/>
        </w:rPr>
        <w:t xml:space="preserve"> успоравање током 2024. године на 2,9%, уз достизање циљане инфлације од 2,0% у трећем тромесечју 2025. године. </w:t>
      </w:r>
      <w:r w:rsidRPr="0007074F">
        <w:rPr>
          <w:rFonts w:cstheme="minorHAnsi"/>
          <w:bCs/>
          <w:color w:val="44546A"/>
          <w:szCs w:val="72"/>
          <w:lang w:val="sr-Cyrl-CS"/>
        </w:rPr>
        <w:t>За разлику од укупне инфлације, базна инфлација (искључујући енергију и храну) у просеку ће бити виша у 2023. години него у претходној години, одражавајући углавном закаснеле индиректне ефекте који се односе на високе цене енергената и депрецијацију евра из друге половине претходне године.</w:t>
      </w:r>
    </w:p>
    <w:p w14:paraId="7C3B9988" w14:textId="77777777" w:rsidR="00907B95" w:rsidRPr="0007074F" w:rsidRDefault="00907B95" w:rsidP="002D6E55">
      <w:pPr>
        <w:spacing w:after="120"/>
        <w:rPr>
          <w:rStyle w:val="rynqvb"/>
          <w:color w:val="44546A"/>
          <w:lang w:val="sr-Cyrl-CS"/>
        </w:rPr>
      </w:pPr>
      <w:r w:rsidRPr="0007074F">
        <w:rPr>
          <w:rFonts w:cstheme="minorHAnsi"/>
          <w:bCs/>
          <w:color w:val="44546A"/>
          <w:szCs w:val="72"/>
          <w:lang w:val="sr-Cyrl-CS"/>
        </w:rPr>
        <w:t>Н</w:t>
      </w:r>
      <w:r w:rsidRPr="0007074F">
        <w:rPr>
          <w:rStyle w:val="rynqvb"/>
          <w:color w:val="44546A"/>
          <w:lang w:val="sr-Cyrl-CS"/>
        </w:rPr>
        <w:t>еизвесност</w:t>
      </w:r>
      <w:r w:rsidRPr="0007074F">
        <w:rPr>
          <w:color w:val="44546A"/>
          <w:lang w:val="sr-Cyrl-CS"/>
        </w:rPr>
        <w:t xml:space="preserve"> у погледу остваривања пројекција је </w:t>
      </w:r>
      <w:r w:rsidRPr="0007074F">
        <w:rPr>
          <w:rStyle w:val="rynqvb"/>
          <w:color w:val="44546A"/>
          <w:lang w:val="sr-Cyrl-CS"/>
        </w:rPr>
        <w:t>врло изражена, будући да пројекција ЕЦБ није узела у обзир скорашње нестабилности финансијског тржишта и ризике везане за даље пооштравање услова финансирања. Поред тога, ризици по изгледе еврозоне могу се односити и на даљи пад поверења, наставак раста инфлације и цена енергената услед опоравка и отварања кинеске економије и потенцијалну несташицу гаса у Европи следеће зиме.</w:t>
      </w:r>
    </w:p>
    <w:p w14:paraId="157DFEB4" w14:textId="77777777" w:rsidR="00907B95" w:rsidRPr="0007074F" w:rsidRDefault="00907B95" w:rsidP="002D6E55">
      <w:pPr>
        <w:spacing w:before="120" w:after="120"/>
        <w:rPr>
          <w:rStyle w:val="jlqj4b"/>
          <w:rFonts w:cstheme="minorHAnsi"/>
          <w:bCs/>
          <w:color w:val="44546A"/>
          <w:szCs w:val="72"/>
          <w:lang w:val="sr-Cyrl-CS"/>
        </w:rPr>
      </w:pPr>
      <w:r w:rsidRPr="0007074F">
        <w:rPr>
          <w:rFonts w:cstheme="minorHAnsi"/>
          <w:bCs/>
          <w:color w:val="44546A"/>
          <w:szCs w:val="72"/>
          <w:lang w:val="sr-Cyrl-CS"/>
        </w:rPr>
        <w:t>Предвиђа се да ће тржиште рада остати отпорно и снажно, уз историјски ниску незапосленост од 6,6% у периоду пројекције</w:t>
      </w:r>
      <w:r w:rsidRPr="0007074F">
        <w:rPr>
          <w:rStyle w:val="jlqj4b"/>
          <w:rFonts w:cstheme="minorHAnsi"/>
          <w:bCs/>
          <w:color w:val="44546A"/>
          <w:szCs w:val="72"/>
          <w:lang w:val="sr-Cyrl-CS"/>
        </w:rPr>
        <w:t>.</w:t>
      </w:r>
      <w:r w:rsidRPr="0007074F">
        <w:rPr>
          <w:lang w:val="sr-Cyrl-CS"/>
        </w:rPr>
        <w:t xml:space="preserve"> Поред тога, </w:t>
      </w:r>
      <w:r w:rsidRPr="0007074F">
        <w:rPr>
          <w:rStyle w:val="jlqj4b"/>
          <w:rFonts w:cstheme="minorHAnsi"/>
          <w:bCs/>
          <w:color w:val="44546A"/>
          <w:szCs w:val="72"/>
          <w:lang w:val="sr-Cyrl-CS"/>
        </w:rPr>
        <w:t xml:space="preserve">запосленост ће наставити да расте, али споријим темпом него у 2022. години. Повећање запослености од 0,8% се очекује у 2023. години, при чему истовремено успоравање реалне активности неће резултирати повећањем незапослености. Раст запослености ће се </w:t>
      </w:r>
      <w:r w:rsidRPr="0007074F">
        <w:rPr>
          <w:rStyle w:val="jlqj4b"/>
          <w:rFonts w:cstheme="minorHAnsi"/>
          <w:bCs/>
          <w:color w:val="44546A"/>
          <w:szCs w:val="72"/>
          <w:lang w:val="sr-Cyrl-CS"/>
        </w:rPr>
        <w:lastRenderedPageBreak/>
        <w:t>наставити и током 2023. и 2024. године и то за 0,4% и 0,3%, респективно.</w:t>
      </w:r>
    </w:p>
    <w:p w14:paraId="1DA10274" w14:textId="77777777" w:rsidR="00907B95" w:rsidRPr="0007074F" w:rsidRDefault="00907B95" w:rsidP="002D6E55">
      <w:pPr>
        <w:spacing w:before="120" w:after="120"/>
        <w:rPr>
          <w:color w:val="44546A"/>
          <w:lang w:val="sr-Cyrl-CS"/>
        </w:rPr>
      </w:pPr>
      <w:r w:rsidRPr="0007074F">
        <w:rPr>
          <w:rStyle w:val="jlqj4b"/>
          <w:lang w:val="sr-Cyrl-CS"/>
        </w:rPr>
        <w:t xml:space="preserve">Процењује се да ће мере фискалне политике имати углавном неутралан утицај на раст у 2023. години, уз значајно повећање рестриктивности у 2024. години услед смањења пакета подршке у борби против високих цена енергената и инфлације за око 70%. </w:t>
      </w:r>
      <w:r w:rsidRPr="0007074F">
        <w:rPr>
          <w:rStyle w:val="jlqj4b"/>
          <w:color w:val="44546A"/>
          <w:lang w:val="sr-Cyrl-CS"/>
        </w:rPr>
        <w:t>Фискални дефицит еврозоне се налази на силазној путањи након значајног повећања током две пандемијске године, при чему се у 2023. години очекује 3,4% БДП, уз додатно смањење на 2,4% БДП током 2024. и непромењен ниво у 2025. години. Удео јавног дуга у БДП у еврозони</w:t>
      </w:r>
      <w:r w:rsidRPr="0007074F">
        <w:rPr>
          <w:color w:val="44546A"/>
          <w:lang w:val="sr-Cyrl-CS"/>
        </w:rPr>
        <w:t xml:space="preserve"> </w:t>
      </w:r>
      <w:r w:rsidRPr="0007074F">
        <w:rPr>
          <w:rStyle w:val="jlqj4b"/>
          <w:color w:val="44546A"/>
          <w:lang w:val="sr-Cyrl-CS"/>
        </w:rPr>
        <w:t xml:space="preserve">ревидиран је наниже у односу на претходну пројекцију, одражавајући </w:t>
      </w:r>
      <w:r w:rsidRPr="0007074F">
        <w:rPr>
          <w:rStyle w:val="jlqj4b"/>
          <w:color w:val="44546A"/>
          <w:lang w:val="sr-Cyrl-CS"/>
        </w:rPr>
        <w:t>углавном побољшање примарног фискалног биланса. Очекује се да ће удео јавног дуга у БДП бити смањен са 89,4% у 2023. на 86,8% у 2025. години. Ипак, на крају периода посматрања удео фискалног дефицита и јавног дуга у БДП остаће изнад предпандемијског нивоа.</w:t>
      </w:r>
    </w:p>
    <w:p w14:paraId="44E7E56C" w14:textId="77777777" w:rsidR="00907B95" w:rsidRPr="0007074F" w:rsidRDefault="00907B95" w:rsidP="002D6E55">
      <w:pPr>
        <w:spacing w:before="120" w:after="120"/>
        <w:rPr>
          <w:rStyle w:val="jlqj4b"/>
          <w:color w:val="44546A"/>
          <w:lang w:val="sr-Cyrl-CS"/>
        </w:rPr>
      </w:pPr>
      <w:r w:rsidRPr="0007074F">
        <w:rPr>
          <w:rStyle w:val="jlqj4b"/>
          <w:color w:val="44546A"/>
          <w:lang w:val="sr-Cyrl-CS"/>
        </w:rPr>
        <w:t>ЕЦБ је на састанку у мају 2023. године подигла референтну каматну стопу на ниво од 3,75%, док је каматну стопу на кредитне и депозитне олакшице подигла на 4,00% и 3,25%, респективно. Ово је треће узастопно повећање ове године, а очекује се да ће савет гувернера ЕЦБ и у наредним месецима подизати референтне каматне стопе, како би се инфлација нормализовала на циљаних 2,0% у средњорочном периоду.</w:t>
      </w:r>
    </w:p>
    <w:p w14:paraId="0F592C71" w14:textId="77777777" w:rsidR="00907B95" w:rsidRPr="0007074F" w:rsidRDefault="00907B95" w:rsidP="002D6E55">
      <w:pPr>
        <w:rPr>
          <w:lang w:val="sr-Cyrl-CS"/>
        </w:rPr>
        <w:sectPr w:rsidR="00907B95" w:rsidRPr="0007074F" w:rsidSect="002D6E55">
          <w:type w:val="continuous"/>
          <w:pgSz w:w="12240" w:h="15840"/>
          <w:pgMar w:top="1440" w:right="1440" w:bottom="1440" w:left="1440" w:header="708" w:footer="708" w:gutter="0"/>
          <w:cols w:num="2" w:space="708"/>
          <w:docGrid w:linePitch="360"/>
        </w:sectPr>
      </w:pPr>
    </w:p>
    <w:p w14:paraId="6B0A941C" w14:textId="77777777" w:rsidR="00907B95" w:rsidRPr="0007074F" w:rsidRDefault="00907B95">
      <w:pPr>
        <w:jc w:val="left"/>
        <w:rPr>
          <w:lang w:val="sr-Cyrl-CS"/>
        </w:rPr>
      </w:pPr>
      <w:r w:rsidRPr="0007074F">
        <w:rPr>
          <w:lang w:val="sr-Cyrl-CS"/>
        </w:rPr>
        <w:br w:type="page"/>
      </w:r>
    </w:p>
    <w:p w14:paraId="0FE0E4B2" w14:textId="77777777" w:rsidR="00907B95" w:rsidRPr="0007074F" w:rsidRDefault="00907B95" w:rsidP="001476C8">
      <w:pPr>
        <w:pStyle w:val="Heading2"/>
        <w:jc w:val="center"/>
        <w:rPr>
          <w:rFonts w:asciiTheme="minorHAnsi" w:hAnsiTheme="minorHAnsi" w:cstheme="minorHAnsi"/>
          <w:b/>
          <w:sz w:val="24"/>
          <w:lang w:val="sr-Cyrl-CS"/>
        </w:rPr>
      </w:pPr>
      <w:bookmarkStart w:id="7" w:name="_Toc530041994"/>
      <w:bookmarkStart w:id="8" w:name="_Toc23342462"/>
      <w:bookmarkStart w:id="9" w:name="_Toc119654142"/>
      <w:bookmarkStart w:id="10" w:name="_Toc135994498"/>
      <w:r w:rsidRPr="0007074F">
        <w:rPr>
          <w:rFonts w:asciiTheme="minorHAnsi" w:hAnsiTheme="minorHAnsi" w:cstheme="minorHAnsi"/>
          <w:b/>
          <w:sz w:val="24"/>
          <w:lang w:val="sr-Cyrl-CS"/>
        </w:rPr>
        <w:lastRenderedPageBreak/>
        <w:t>3. Текућа макроекономска кретања у Републици Србији и изгледи</w:t>
      </w:r>
      <w:r w:rsidRPr="0007074F">
        <w:rPr>
          <w:rFonts w:asciiTheme="minorHAnsi" w:hAnsiTheme="minorHAnsi" w:cstheme="minorHAnsi"/>
          <w:b/>
          <w:sz w:val="24"/>
          <w:lang w:val="sr-Cyrl-CS"/>
        </w:rPr>
        <w:br w:type="textWrapping" w:clear="all"/>
        <w:t>за период 2024–2026. године</w:t>
      </w:r>
      <w:bookmarkEnd w:id="7"/>
      <w:bookmarkEnd w:id="8"/>
      <w:bookmarkEnd w:id="9"/>
      <w:bookmarkEnd w:id="10"/>
    </w:p>
    <w:p w14:paraId="41B23125" w14:textId="77777777" w:rsidR="00907B95" w:rsidRPr="0007074F" w:rsidRDefault="00907B95" w:rsidP="002D6E55">
      <w:pPr>
        <w:rPr>
          <w:lang w:val="sr-Cyrl-CS"/>
        </w:rPr>
      </w:pPr>
      <w:r w:rsidRPr="0007074F">
        <w:rPr>
          <w:rFonts w:cstheme="minorHAnsi"/>
          <w:noProof/>
          <w:color w:val="FF0000"/>
        </w:rPr>
        <mc:AlternateContent>
          <mc:Choice Requires="wps">
            <w:drawing>
              <wp:anchor distT="0" distB="0" distL="114300" distR="114300" simplePos="0" relativeHeight="251673088" behindDoc="1" locked="0" layoutInCell="1" allowOverlap="1" wp14:anchorId="4E1ECF30" wp14:editId="0EFF4699">
                <wp:simplePos x="0" y="0"/>
                <wp:positionH relativeFrom="margin">
                  <wp:posOffset>-200025</wp:posOffset>
                </wp:positionH>
                <wp:positionV relativeFrom="paragraph">
                  <wp:posOffset>170180</wp:posOffset>
                </wp:positionV>
                <wp:extent cx="6334760" cy="7585862"/>
                <wp:effectExtent l="0" t="0" r="8890" b="0"/>
                <wp:wrapNone/>
                <wp:docPr id="65" name="Rectangle 65"/>
                <wp:cNvGraphicFramePr/>
                <a:graphic xmlns:a="http://schemas.openxmlformats.org/drawingml/2006/main">
                  <a:graphicData uri="http://schemas.microsoft.com/office/word/2010/wordprocessingShape">
                    <wps:wsp>
                      <wps:cNvSpPr/>
                      <wps:spPr>
                        <a:xfrm>
                          <a:off x="0" y="0"/>
                          <a:ext cx="6334760" cy="7585862"/>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3034953B" id="Rectangle 65" o:spid="_x0000_s1026" style="position:absolute;margin-left:-15.75pt;margin-top:13.4pt;width:498.8pt;height:597.3pt;z-index:-251643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" fillcolor="#d8d8d8 [2732]" stroked="f" strokeweight="1pt">
                <v:fill r:id="rId34" o:title="" color2="white [3212]" type="pattern"/>
                <w10:wrap anchorx="margin"/>
              </v:rect>
            </w:pict>
          </mc:Fallback>
        </mc:AlternateContent>
      </w:r>
    </w:p>
    <w:p w14:paraId="6C141FEC" w14:textId="77777777" w:rsidR="00907B95" w:rsidRPr="0007074F" w:rsidRDefault="00907B95" w:rsidP="002D6E55">
      <w:pPr>
        <w:rPr>
          <w:lang w:val="sr-Cyrl-CS"/>
        </w:rPr>
        <w:sectPr w:rsidR="00907B95" w:rsidRPr="0007074F" w:rsidSect="002D6E55">
          <w:headerReference w:type="default" r:id="rId35"/>
          <w:footerReference w:type="default" r:id="rId36"/>
          <w:type w:val="continuous"/>
          <w:pgSz w:w="12240" w:h="15840" w:code="1"/>
          <w:pgMar w:top="1440" w:right="1440" w:bottom="1440" w:left="1440" w:header="720" w:footer="720" w:gutter="0"/>
          <w:cols w:space="720"/>
          <w:docGrid w:linePitch="360"/>
        </w:sectPr>
      </w:pPr>
    </w:p>
    <w:p w14:paraId="5B198583" w14:textId="77777777" w:rsidR="00907B95" w:rsidRPr="0007074F" w:rsidRDefault="00907B95" w:rsidP="002D6E55">
      <w:pPr>
        <w:rPr>
          <w:rFonts w:cstheme="minorHAnsi"/>
          <w:bCs/>
          <w:color w:val="0070C0"/>
          <w:szCs w:val="72"/>
          <w:lang w:val="sr-Cyrl-CS"/>
        </w:rPr>
      </w:pPr>
      <w:r w:rsidRPr="0007074F">
        <w:rPr>
          <w:rFonts w:cstheme="minorHAnsi"/>
          <w:bCs/>
          <w:color w:val="0070C0"/>
          <w:szCs w:val="72"/>
          <w:lang w:val="sr-Cyrl-CS"/>
        </w:rPr>
        <w:t xml:space="preserve">Макроекономска кретања у протеклом периоду под снажним су утицајем изласка из кризе изазване пандемијом и уласка у нову кризу услед конфликата у Украјини. Ипак, и у таквим околностима остварен је раст БДП од 2,3% у 2022. години, али уз приметно успоравање у другој половини године. Знатно бољи епидемиолошки услови праћени растом економске активности допринели су повећаној стопи партиципације радне снаге и јачању тржишта рада, уз истовремено повећање реалних зарада и запослености. С друге стране, најзначајнији негативан утицај </w:t>
      </w:r>
      <w:r w:rsidRPr="0007074F">
        <w:rPr>
          <w:rFonts w:cstheme="minorHAnsi"/>
          <w:bCs/>
          <w:color w:val="4472C4" w:themeColor="accent1"/>
          <w:szCs w:val="72"/>
          <w:lang w:val="sr-Cyrl-CS"/>
        </w:rPr>
        <w:t xml:space="preserve">конфликта у Украјини </w:t>
      </w:r>
      <w:r w:rsidRPr="0007074F">
        <w:rPr>
          <w:rFonts w:cstheme="minorHAnsi"/>
          <w:bCs/>
          <w:color w:val="0070C0"/>
          <w:szCs w:val="72"/>
          <w:lang w:val="sr-Cyrl-CS"/>
        </w:rPr>
        <w:t>на домаћа макроекономска кретања током претходне године огледа се у расту инфлације и повећању дефицита текућег рачуна платног биланса. Раст инфлације за који се првобитно очекивало да ће бити привременог карактера као последица постепеног ишчезавања ефеката пандемије, додатно је убрзан пре свега услед повећања глобалних цена хране и енергената, тако да је у 2022. години раст потрошачких цена у просеку износио 11,9%. Рекордне цена енергената уз раст увезених количина у циљу очувања сигурности снабдевања домаће привреде и становништва имале су за последицу повећање дефицита текућег рачуна платног биланса на 6,9% БДП у 2022. са 4,2% у 2021. години. Фискална интервенција, односно буџетска подршка пре свега енергетском сектору у 2022. години уз подршку појединим категоријама становништва допринела је очувању животног стандарда без угрожавања одрживости јавних финансија. Боља наплата прихода, пре свега пореских, одразила се на очување фискалне стабилности а задржана је и опадајућа путања учешћа јавног дуга у БДП.</w:t>
      </w:r>
    </w:p>
    <w:p w14:paraId="7D23D844" w14:textId="4A5458A7" w:rsidR="00907B95" w:rsidRPr="0007074F" w:rsidRDefault="00907B95" w:rsidP="002D6E55">
      <w:pPr>
        <w:rPr>
          <w:rFonts w:cstheme="minorHAnsi"/>
          <w:bCs/>
          <w:color w:val="0070C0"/>
          <w:szCs w:val="72"/>
          <w:lang w:val="sr-Cyrl-CS"/>
        </w:rPr>
      </w:pPr>
      <w:r w:rsidRPr="0007074F">
        <w:rPr>
          <w:rFonts w:cstheme="minorHAnsi"/>
          <w:bCs/>
          <w:color w:val="0070C0"/>
          <w:szCs w:val="72"/>
          <w:lang w:val="sr-Cyrl-CS"/>
        </w:rPr>
        <w:t xml:space="preserve">Макроекономска кретања почетком 2023. године генерално су на нивоу пројектованих. Узимајући у обзир актуелне економске трендове и изгледе за међународно окружење Министарство финансија процењује да ће раст БДП у 2023. години износити 2,5%, док ће у 2024. години убрзати на 3,5%, што је непромењено у односу на претходна очекивања. </w:t>
      </w:r>
      <w:r w:rsidRPr="0007074F">
        <w:rPr>
          <w:rFonts w:cstheme="minorHAnsi"/>
          <w:bCs/>
          <w:color w:val="0070C0"/>
          <w:szCs w:val="72"/>
          <w:lang w:val="sr-Cyrl-CS"/>
        </w:rPr>
        <w:t>Тренд пада цена енергената уз смањење увезених количина, као и стабилизација у производњи електричне енергије у великој мери опредељује боље изгледе у погледу смањења дефицита текућег рачуна платног биланса током 2023. и 2024. године. Инфлација је у марту међугодишње посматрано достигла врхунац и износила је 16,2% тако да ће се од другог тромесечја наћи на опадајућој путањи, уз знатнији пад у другој половини текуће године. У смеру смиривања инфлаторних притисака деловаће досадашње заоштравање монетарних услова, слабљење ефеката глобалних фактора који су водили раст</w:t>
      </w:r>
      <w:r w:rsidR="00D237D8" w:rsidRPr="0007074F">
        <w:rPr>
          <w:rFonts w:cstheme="minorHAnsi"/>
          <w:bCs/>
          <w:color w:val="0070C0"/>
          <w:szCs w:val="72"/>
          <w:lang w:val="sr-Cyrl-CS"/>
        </w:rPr>
        <w:t>у</w:t>
      </w:r>
      <w:r w:rsidRPr="0007074F">
        <w:rPr>
          <w:rFonts w:cstheme="minorHAnsi"/>
          <w:bCs/>
          <w:color w:val="0070C0"/>
          <w:szCs w:val="72"/>
          <w:lang w:val="sr-Cyrl-CS"/>
        </w:rPr>
        <w:t xml:space="preserve"> цена енергената и хране у претходном периоду, као и успоравање увозне инфлације. Ипак, нешто бржи раст цена од претходно очекиваног условио је благу ревизију навише просечне инфлације у 2023. години, док су очекивања за 2024. скоро непромењена.</w:t>
      </w:r>
    </w:p>
    <w:p w14:paraId="632C9533" w14:textId="77777777" w:rsidR="00907B95" w:rsidRPr="0007074F" w:rsidRDefault="00907B95" w:rsidP="002D6E55">
      <w:pPr>
        <w:rPr>
          <w:rFonts w:cstheme="minorHAnsi"/>
          <w:bCs/>
          <w:color w:val="0070C0"/>
          <w:szCs w:val="72"/>
          <w:lang w:val="sr-Cyrl-CS"/>
        </w:rPr>
      </w:pPr>
      <w:r w:rsidRPr="0007074F">
        <w:rPr>
          <w:rFonts w:cstheme="minorHAnsi"/>
          <w:bCs/>
          <w:color w:val="0070C0"/>
          <w:szCs w:val="72"/>
          <w:lang w:val="sr-Cyrl-CS"/>
        </w:rPr>
        <w:t>Неизвесност присутна код пројекција датих у овом документу остаје далеко већа од уобичајене због природе и обима шокова на глобалном нивоу.</w:t>
      </w:r>
      <w:r w:rsidRPr="0007074F">
        <w:rPr>
          <w:color w:val="0070C0"/>
          <w:lang w:val="sr-Cyrl-CS"/>
        </w:rPr>
        <w:t xml:space="preserve"> </w:t>
      </w:r>
      <w:r w:rsidRPr="0007074F">
        <w:rPr>
          <w:rFonts w:cstheme="minorHAnsi"/>
          <w:bCs/>
          <w:color w:val="0070C0"/>
          <w:szCs w:val="72"/>
          <w:lang w:val="sr-Cyrl-CS"/>
        </w:rPr>
        <w:t xml:space="preserve">Ризици макроекономског оквира у највећој мери потичу од неизвесности у погледу развоја ситуације у Украјини и утицаја нових међународних економских и политичких односа, као и од </w:t>
      </w:r>
      <w:r w:rsidRPr="0007074F">
        <w:rPr>
          <w:rFonts w:cstheme="minorHAnsi"/>
          <w:bCs/>
          <w:color w:val="4472C4" w:themeColor="accent1"/>
          <w:szCs w:val="72"/>
          <w:lang w:val="sr-Cyrl-CS"/>
        </w:rPr>
        <w:t>стабилности глобалног финансијског система.</w:t>
      </w:r>
      <w:r w:rsidRPr="0007074F">
        <w:rPr>
          <w:color w:val="4472C4" w:themeColor="accent1"/>
          <w:lang w:val="sr-Cyrl-CS"/>
        </w:rPr>
        <w:t xml:space="preserve"> </w:t>
      </w:r>
      <w:r w:rsidRPr="0007074F">
        <w:rPr>
          <w:rFonts w:cstheme="minorHAnsi"/>
          <w:bCs/>
          <w:color w:val="4472C4" w:themeColor="accent1"/>
          <w:szCs w:val="72"/>
          <w:lang w:val="sr-Cyrl-CS"/>
        </w:rPr>
        <w:t>В</w:t>
      </w:r>
      <w:r w:rsidRPr="0007074F">
        <w:rPr>
          <w:rFonts w:cstheme="minorHAnsi"/>
          <w:bCs/>
          <w:color w:val="0070C0"/>
          <w:szCs w:val="72"/>
          <w:lang w:val="sr-Cyrl-CS"/>
        </w:rPr>
        <w:t>лада континуирано доноси мере које имају за циљ ублажавање последица изузетно неповољног утицаја међународног окружења на привреду и становништво и очување енергетске стабилности. Оваква оријентација остаће у фокусу креатора економске политике и у наредном периоду, а задржавање јавног дуга испод 60% биће и даље основно сидро за вођење фискалне политике. Планирана значајна улагања у енергетску инфраструктуру у великој мери ће допринети стабилности, а препозната је неопходност проналажења нових извора раста, па су иновације, истраживање и развој и креативне индустрије у сталном фокусу приликом дефинисања будућих политика.</w:t>
      </w:r>
    </w:p>
    <w:p w14:paraId="40649FF7" w14:textId="77777777" w:rsidR="00907B95" w:rsidRPr="0007074F" w:rsidRDefault="00907B95" w:rsidP="008527D6">
      <w:pPr>
        <w:rPr>
          <w:rFonts w:cstheme="minorHAnsi"/>
          <w:bCs/>
          <w:color w:val="0070C0"/>
          <w:szCs w:val="72"/>
          <w:lang w:val="sr-Cyrl-CS"/>
        </w:rPr>
        <w:sectPr w:rsidR="00907B95" w:rsidRPr="0007074F" w:rsidSect="002D6E55">
          <w:type w:val="continuous"/>
          <w:pgSz w:w="12240" w:h="15840" w:code="1"/>
          <w:pgMar w:top="1440" w:right="1440" w:bottom="1440" w:left="1440" w:header="720" w:footer="720" w:gutter="0"/>
          <w:cols w:num="2" w:space="720"/>
          <w:docGrid w:linePitch="360"/>
        </w:sectPr>
      </w:pPr>
    </w:p>
    <w:p w14:paraId="6F59A9C8" w14:textId="77777777" w:rsidR="00907B95" w:rsidRPr="0007074F" w:rsidRDefault="00907B95">
      <w:pPr>
        <w:jc w:val="left"/>
        <w:rPr>
          <w:rFonts w:cstheme="minorHAnsi"/>
          <w:b/>
          <w:color w:val="002060"/>
          <w:spacing w:val="-6"/>
          <w:lang w:val="sr-Cyrl-CS"/>
        </w:rPr>
      </w:pPr>
      <w:r w:rsidRPr="0007074F">
        <w:rPr>
          <w:rFonts w:cstheme="minorHAnsi"/>
          <w:color w:val="002060"/>
          <w:spacing w:val="-6"/>
          <w:lang w:val="sr-Cyrl-CS"/>
        </w:rPr>
        <w:br w:type="page"/>
      </w:r>
    </w:p>
    <w:p w14:paraId="5DD362CD" w14:textId="77777777" w:rsidR="00907B95" w:rsidRPr="0007074F" w:rsidRDefault="00907B95" w:rsidP="00B435B3">
      <w:pPr>
        <w:pStyle w:val="NoSpacing"/>
        <w:jc w:val="center"/>
        <w:rPr>
          <w:rFonts w:cstheme="minorHAnsi"/>
          <w:color w:val="002060"/>
          <w:spacing w:val="-6"/>
          <w:lang w:val="sr-Cyrl-CS"/>
        </w:rPr>
      </w:pPr>
      <w:r w:rsidRPr="0007074F">
        <w:rPr>
          <w:rFonts w:cstheme="minorHAnsi"/>
          <w:color w:val="002060"/>
          <w:spacing w:val="-6"/>
          <w:lang w:val="sr-Cyrl-CS"/>
        </w:rPr>
        <w:lastRenderedPageBreak/>
        <w:t>Ревизија кретања основних макроекономских агрегата у односу на претходну Фискалну стратегију</w:t>
      </w:r>
    </w:p>
    <w:p w14:paraId="11824A23" w14:textId="77777777" w:rsidR="00907B95" w:rsidRPr="0007074F" w:rsidRDefault="00907B95" w:rsidP="00B435B3">
      <w:pPr>
        <w:spacing w:after="0"/>
        <w:rPr>
          <w:color w:val="002060"/>
          <w:sz w:val="10"/>
          <w:lang w:val="sr-Cyrl-CS"/>
        </w:rPr>
      </w:pPr>
    </w:p>
    <w:p w14:paraId="4E62D743" w14:textId="77777777" w:rsidR="00907B95" w:rsidRPr="0007074F" w:rsidRDefault="00907B95" w:rsidP="00B435B3">
      <w:pPr>
        <w:jc w:val="center"/>
        <w:rPr>
          <w:b/>
          <w:color w:val="002060"/>
          <w:szCs w:val="21"/>
          <w:lang w:val="sr-Cyrl-CS"/>
        </w:rPr>
      </w:pPr>
      <w:r w:rsidRPr="0007074F">
        <w:rPr>
          <w:b/>
          <w:color w:val="002060"/>
          <w:szCs w:val="21"/>
          <w:lang w:val="sr-Cyrl-CS"/>
        </w:rPr>
        <w:t>Реални раст БДП, %</w:t>
      </w:r>
    </w:p>
    <w:p w14:paraId="40E9082C" w14:textId="77777777" w:rsidR="00907B95" w:rsidRPr="0007074F" w:rsidRDefault="00907B95" w:rsidP="00B435B3">
      <w:pPr>
        <w:spacing w:after="0"/>
        <w:rPr>
          <w:lang w:val="sr-Cyrl-CS"/>
        </w:rPr>
      </w:pPr>
      <w:r w:rsidRPr="0007074F">
        <w:rPr>
          <w:noProof/>
        </w:rPr>
        <w:drawing>
          <wp:inline distT="0" distB="0" distL="0" distR="0" wp14:anchorId="72440D1B" wp14:editId="37B7C77C">
            <wp:extent cx="1332000" cy="1224000"/>
            <wp:effectExtent l="0" t="0" r="0" b="0"/>
            <wp:docPr id="27" name="Chart 27">
              <a:extLst xmlns:a="http://schemas.openxmlformats.org/drawingml/2006/main">
                <a:ext uri="{FF2B5EF4-FFF2-40B4-BE49-F238E27FC236}">
                  <a16:creationId xmlns:a16="http://schemas.microsoft.com/office/drawing/2014/main" id="{00000000-0008-0000-09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Pr="0007074F">
        <w:rPr>
          <w:lang w:val="sr-Cyrl-CS"/>
        </w:rPr>
        <w:t xml:space="preserve">  </w:t>
      </w:r>
      <w:r w:rsidRPr="0007074F">
        <w:rPr>
          <w:noProof/>
        </w:rPr>
        <w:drawing>
          <wp:inline distT="0" distB="0" distL="0" distR="0" wp14:anchorId="206CB17F" wp14:editId="04E219A0">
            <wp:extent cx="1332000" cy="1224000"/>
            <wp:effectExtent l="0" t="0" r="0" b="0"/>
            <wp:docPr id="6" name="Chart 6">
              <a:extLst xmlns:a="http://schemas.openxmlformats.org/drawingml/2006/main">
                <a:ext uri="{FF2B5EF4-FFF2-40B4-BE49-F238E27FC236}">
                  <a16:creationId xmlns:a16="http://schemas.microsoft.com/office/drawing/2014/main" id="{00000000-0008-0000-0900-00002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46EB49DD" w14:textId="77777777" w:rsidR="00907B95" w:rsidRPr="0007074F" w:rsidRDefault="00907B95" w:rsidP="00B435B3">
      <w:pPr>
        <w:spacing w:after="0"/>
        <w:rPr>
          <w:lang w:val="sr-Cyrl-CS"/>
        </w:rPr>
      </w:pPr>
    </w:p>
    <w:p w14:paraId="4B7D80DF" w14:textId="77777777" w:rsidR="00907B95" w:rsidRPr="0007074F" w:rsidRDefault="00907B95" w:rsidP="008527D6">
      <w:pPr>
        <w:jc w:val="center"/>
        <w:rPr>
          <w:b/>
          <w:color w:val="002060"/>
          <w:szCs w:val="21"/>
          <w:lang w:val="sr-Cyrl-CS"/>
        </w:rPr>
      </w:pPr>
      <w:r w:rsidRPr="0007074F">
        <w:rPr>
          <w:b/>
          <w:color w:val="002060"/>
          <w:szCs w:val="21"/>
          <w:lang w:val="sr-Cyrl-CS"/>
        </w:rPr>
        <w:t>Салдо текућег рачуна, % БДП</w:t>
      </w:r>
    </w:p>
    <w:p w14:paraId="28C5BFD5" w14:textId="77777777" w:rsidR="00907B95" w:rsidRPr="0007074F" w:rsidRDefault="00907B95" w:rsidP="00B435B3">
      <w:pPr>
        <w:spacing w:after="0"/>
        <w:jc w:val="left"/>
        <w:rPr>
          <w:lang w:val="sr-Cyrl-CS"/>
        </w:rPr>
      </w:pPr>
      <w:r w:rsidRPr="0007074F">
        <w:rPr>
          <w:noProof/>
        </w:rPr>
        <w:drawing>
          <wp:inline distT="0" distB="0" distL="0" distR="0" wp14:anchorId="70FDC359" wp14:editId="523C1E53">
            <wp:extent cx="1332000" cy="1224000"/>
            <wp:effectExtent l="0" t="0" r="1905" b="0"/>
            <wp:docPr id="28" name="Chart 28">
              <a:extLst xmlns:a="http://schemas.openxmlformats.org/drawingml/2006/main">
                <a:ext uri="{FF2B5EF4-FFF2-40B4-BE49-F238E27FC236}">
                  <a16:creationId xmlns:a16="http://schemas.microsoft.com/office/drawing/2014/main" id="{00000000-0008-0000-0900-00002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07074F">
        <w:rPr>
          <w:lang w:val="sr-Cyrl-CS"/>
        </w:rPr>
        <w:t xml:space="preserve">  </w:t>
      </w:r>
      <w:r w:rsidRPr="0007074F">
        <w:rPr>
          <w:noProof/>
        </w:rPr>
        <w:drawing>
          <wp:inline distT="0" distB="0" distL="0" distR="0" wp14:anchorId="67642CB1" wp14:editId="09137AA4">
            <wp:extent cx="1332000" cy="1224000"/>
            <wp:effectExtent l="0" t="0" r="1905" b="0"/>
            <wp:docPr id="8" name="Chart 8">
              <a:extLst xmlns:a="http://schemas.openxmlformats.org/drawingml/2006/main">
                <a:ext uri="{FF2B5EF4-FFF2-40B4-BE49-F238E27FC236}">
                  <a16:creationId xmlns:a16="http://schemas.microsoft.com/office/drawing/2014/main" id="{00000000-0008-0000-09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455D1988" w14:textId="77777777" w:rsidR="00907B95" w:rsidRPr="0007074F" w:rsidRDefault="00907B95" w:rsidP="00B435B3">
      <w:pPr>
        <w:spacing w:after="0"/>
        <w:rPr>
          <w:lang w:val="sr-Cyrl-CS"/>
        </w:rPr>
      </w:pPr>
    </w:p>
    <w:p w14:paraId="1FA9575E" w14:textId="77777777" w:rsidR="00907B95" w:rsidRPr="0007074F" w:rsidRDefault="00907B95" w:rsidP="00B435B3">
      <w:pPr>
        <w:spacing w:after="0"/>
        <w:jc w:val="center"/>
        <w:rPr>
          <w:b/>
          <w:color w:val="002060"/>
          <w:szCs w:val="21"/>
          <w:lang w:val="sr-Cyrl-CS"/>
        </w:rPr>
      </w:pPr>
      <w:r w:rsidRPr="0007074F">
        <w:rPr>
          <w:b/>
          <w:color w:val="002060"/>
          <w:szCs w:val="21"/>
          <w:lang w:val="sr-Cyrl-CS"/>
        </w:rPr>
        <w:t>Инфлација, просек периода, %</w:t>
      </w:r>
    </w:p>
    <w:p w14:paraId="3E896646" w14:textId="77777777" w:rsidR="00907B95" w:rsidRPr="0007074F" w:rsidRDefault="00907B95" w:rsidP="00B435B3">
      <w:pPr>
        <w:spacing w:after="0"/>
        <w:rPr>
          <w:lang w:val="sr-Cyrl-CS"/>
        </w:rPr>
      </w:pPr>
      <w:r w:rsidRPr="0007074F">
        <w:rPr>
          <w:noProof/>
        </w:rPr>
        <w:drawing>
          <wp:inline distT="0" distB="0" distL="0" distR="0" wp14:anchorId="4B548E1D" wp14:editId="05DCD2A5">
            <wp:extent cx="1332000" cy="1008000"/>
            <wp:effectExtent l="0" t="0" r="0" b="0"/>
            <wp:docPr id="29" name="Chart 29">
              <a:extLst xmlns:a="http://schemas.openxmlformats.org/drawingml/2006/main">
                <a:ext uri="{FF2B5EF4-FFF2-40B4-BE49-F238E27FC236}">
                  <a16:creationId xmlns:a16="http://schemas.microsoft.com/office/drawing/2014/main" id="{00000000-0008-0000-09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Pr="0007074F">
        <w:rPr>
          <w:lang w:val="sr-Cyrl-CS"/>
        </w:rPr>
        <w:t xml:space="preserve">  </w:t>
      </w:r>
      <w:r w:rsidRPr="0007074F">
        <w:rPr>
          <w:noProof/>
        </w:rPr>
        <w:drawing>
          <wp:inline distT="0" distB="0" distL="0" distR="0" wp14:anchorId="0389AAD5" wp14:editId="536B6B45">
            <wp:extent cx="1332000" cy="1008000"/>
            <wp:effectExtent l="0" t="0" r="0" b="0"/>
            <wp:docPr id="32" name="Chart 32">
              <a:extLst xmlns:a="http://schemas.openxmlformats.org/drawingml/2006/main">
                <a:ext uri="{FF2B5EF4-FFF2-40B4-BE49-F238E27FC236}">
                  <a16:creationId xmlns:a16="http://schemas.microsoft.com/office/drawing/2014/main" id="{00000000-0008-0000-0900-00003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38255CF4" w14:textId="77777777" w:rsidR="00907B95" w:rsidRPr="0007074F" w:rsidRDefault="00907B95" w:rsidP="008527D6">
      <w:pPr>
        <w:spacing w:after="120"/>
        <w:rPr>
          <w:rFonts w:cstheme="minorHAnsi"/>
          <w:szCs w:val="72"/>
          <w:lang w:val="sr-Cyrl-CS"/>
        </w:rPr>
      </w:pPr>
    </w:p>
    <w:p w14:paraId="0C6BC819" w14:textId="77777777" w:rsidR="00907B95" w:rsidRPr="0007074F" w:rsidRDefault="00907B95" w:rsidP="008527D6">
      <w:pPr>
        <w:spacing w:after="0"/>
        <w:jc w:val="center"/>
        <w:rPr>
          <w:b/>
          <w:color w:val="002060"/>
          <w:szCs w:val="21"/>
          <w:lang w:val="sr-Cyrl-CS"/>
        </w:rPr>
      </w:pPr>
      <w:r w:rsidRPr="0007074F">
        <w:rPr>
          <w:b/>
          <w:color w:val="002060"/>
          <w:szCs w:val="21"/>
          <w:lang w:val="sr-Cyrl-CS"/>
        </w:rPr>
        <w:t>Фискални резултат, % БДП</w:t>
      </w:r>
    </w:p>
    <w:p w14:paraId="1DE81730" w14:textId="77777777" w:rsidR="00907B95" w:rsidRPr="0007074F" w:rsidRDefault="00907B95" w:rsidP="00B435B3">
      <w:pPr>
        <w:spacing w:after="0"/>
        <w:rPr>
          <w:lang w:val="sr-Cyrl-CS"/>
        </w:rPr>
      </w:pPr>
      <w:r w:rsidRPr="0007074F">
        <w:rPr>
          <w:noProof/>
        </w:rPr>
        <w:drawing>
          <wp:inline distT="0" distB="0" distL="0" distR="0" wp14:anchorId="5AFF1141" wp14:editId="0645C6A1">
            <wp:extent cx="1332000" cy="1224000"/>
            <wp:effectExtent l="0" t="0" r="1905" b="0"/>
            <wp:docPr id="18" name="Chart 18">
              <a:extLst xmlns:a="http://schemas.openxmlformats.org/drawingml/2006/main">
                <a:ext uri="{FF2B5EF4-FFF2-40B4-BE49-F238E27FC236}">
                  <a16:creationId xmlns:a16="http://schemas.microsoft.com/office/drawing/2014/main" id="{00000000-0008-0000-0900-00003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07074F">
        <w:rPr>
          <w:lang w:val="sr-Cyrl-CS" w:eastAsia="en-GB"/>
        </w:rPr>
        <w:t xml:space="preserve">  </w:t>
      </w:r>
      <w:r w:rsidRPr="0007074F">
        <w:rPr>
          <w:noProof/>
        </w:rPr>
        <w:drawing>
          <wp:inline distT="0" distB="0" distL="0" distR="0" wp14:anchorId="3DE1C410" wp14:editId="192B6EC9">
            <wp:extent cx="1332000" cy="1224000"/>
            <wp:effectExtent l="0" t="0" r="1905" b="0"/>
            <wp:docPr id="22" name="Chart 22">
              <a:extLst xmlns:a="http://schemas.openxmlformats.org/drawingml/2006/main">
                <a:ext uri="{FF2B5EF4-FFF2-40B4-BE49-F238E27FC236}">
                  <a16:creationId xmlns:a16="http://schemas.microsoft.com/office/drawing/2014/main" id="{00000000-0008-0000-0900-00004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6BCE5770" w14:textId="1110412D" w:rsidR="00907B95" w:rsidRPr="0007074F" w:rsidRDefault="00907B95" w:rsidP="008527D6">
      <w:pPr>
        <w:spacing w:after="0"/>
        <w:jc w:val="center"/>
        <w:rPr>
          <w:b/>
          <w:color w:val="002060"/>
          <w:szCs w:val="21"/>
          <w:lang w:val="sr-Cyrl-CS"/>
        </w:rPr>
      </w:pPr>
      <w:r w:rsidRPr="0007074F">
        <w:rPr>
          <w:b/>
          <w:color w:val="002060"/>
          <w:szCs w:val="21"/>
          <w:lang w:val="sr-Cyrl-CS"/>
        </w:rPr>
        <w:t xml:space="preserve">Јавни дуг </w:t>
      </w:r>
      <w:r w:rsidR="00332897" w:rsidRPr="0007074F">
        <w:rPr>
          <w:b/>
          <w:color w:val="002060"/>
          <w:szCs w:val="21"/>
          <w:lang w:val="sr-Cyrl-CS"/>
        </w:rPr>
        <w:t xml:space="preserve">сектора </w:t>
      </w:r>
      <w:r w:rsidRPr="0007074F">
        <w:rPr>
          <w:b/>
          <w:color w:val="002060"/>
          <w:szCs w:val="21"/>
          <w:lang w:val="sr-Cyrl-CS"/>
        </w:rPr>
        <w:t>државе, % БДП</w:t>
      </w:r>
    </w:p>
    <w:p w14:paraId="65FD5D12" w14:textId="77777777" w:rsidR="00907B95" w:rsidRPr="0007074F" w:rsidRDefault="00907B95" w:rsidP="008527D6">
      <w:pPr>
        <w:spacing w:after="0"/>
        <w:jc w:val="center"/>
        <w:rPr>
          <w:lang w:val="sr-Cyrl-CS"/>
        </w:rPr>
      </w:pPr>
      <w:r w:rsidRPr="0007074F">
        <w:rPr>
          <w:noProof/>
        </w:rPr>
        <w:drawing>
          <wp:inline distT="0" distB="0" distL="0" distR="0" wp14:anchorId="3245C7BF" wp14:editId="3A0CC31A">
            <wp:extent cx="1332000" cy="1224000"/>
            <wp:effectExtent l="0" t="0" r="0" b="0"/>
            <wp:docPr id="30" name="Chart 30">
              <a:extLst xmlns:a="http://schemas.openxmlformats.org/drawingml/2006/main">
                <a:ext uri="{FF2B5EF4-FFF2-40B4-BE49-F238E27FC236}">
                  <a16:creationId xmlns:a16="http://schemas.microsoft.com/office/drawing/2014/main" id="{00000000-0008-0000-09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sidRPr="0007074F">
        <w:rPr>
          <w:lang w:val="sr-Cyrl-CS"/>
        </w:rPr>
        <w:t xml:space="preserve">  </w:t>
      </w:r>
      <w:r w:rsidRPr="0007074F">
        <w:rPr>
          <w:noProof/>
        </w:rPr>
        <w:drawing>
          <wp:inline distT="0" distB="0" distL="0" distR="0" wp14:anchorId="16A598AF" wp14:editId="69DF3C0D">
            <wp:extent cx="1332000" cy="1224000"/>
            <wp:effectExtent l="0" t="0" r="1905" b="0"/>
            <wp:docPr id="31" name="Chart 31">
              <a:extLst xmlns:a="http://schemas.openxmlformats.org/drawingml/2006/main">
                <a:ext uri="{FF2B5EF4-FFF2-40B4-BE49-F238E27FC236}">
                  <a16:creationId xmlns:a16="http://schemas.microsoft.com/office/drawing/2014/main" id="{00000000-0008-0000-0900-00004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43E85F45" w14:textId="77777777" w:rsidR="00907B95" w:rsidRPr="0007074F" w:rsidRDefault="00907B95" w:rsidP="008527D6">
      <w:pPr>
        <w:spacing w:before="240"/>
        <w:jc w:val="left"/>
        <w:rPr>
          <w:rFonts w:cstheme="minorHAnsi"/>
          <w:b/>
          <w:color w:val="2F5496" w:themeColor="accent1" w:themeShade="BF"/>
          <w:sz w:val="22"/>
          <w:lang w:val="sr-Cyrl-CS"/>
        </w:rPr>
      </w:pPr>
      <w:r w:rsidRPr="0007074F">
        <w:rPr>
          <w:rFonts w:cstheme="minorHAnsi"/>
          <w:b/>
          <w:color w:val="2F5496" w:themeColor="accent1" w:themeShade="BF"/>
          <w:sz w:val="22"/>
          <w:lang w:val="sr-Cyrl-CS"/>
        </w:rPr>
        <w:t>Текућа кретања реалног сектора</w:t>
      </w:r>
    </w:p>
    <w:p w14:paraId="449BAAD7" w14:textId="77777777" w:rsidR="00907B95" w:rsidRPr="0007074F" w:rsidRDefault="00907B95" w:rsidP="002D6E55">
      <w:pPr>
        <w:rPr>
          <w:rFonts w:cstheme="minorHAnsi"/>
          <w:bCs/>
          <w:szCs w:val="72"/>
          <w:lang w:val="sr-Cyrl-CS"/>
        </w:rPr>
      </w:pPr>
      <w:r w:rsidRPr="0007074F">
        <w:rPr>
          <w:rFonts w:cstheme="minorHAnsi"/>
          <w:bCs/>
          <w:szCs w:val="72"/>
          <w:lang w:val="sr-Cyrl-CS"/>
        </w:rPr>
        <w:t>Према прелиминарним подацима РЗС добијених на бази кварталних обрачуна, економија Србије је у 2022. години остварила умерен раст од 2,3%, што је готово на нивоу претходне процене из ревидиране Фискалне стратегије. Иако је у првој половини 2022. године остварен солидан раст од 4,0%, у овом периоду изостали су значајнији негативни ефекти геополитичких дешавања на динамику домаће привредне активности. Међутим, у складу са очекивањима, ескалација сукоба у Украјини и заоштравање међународних економских и политичких односа, праћени рекордним ценама енергената и последично смањеној глобалној трговини и спољној тражњи, почела су временом да се одражавају и на домаћу економску активност. Већ током трећег квартала, међугодишње посматрано, раст привреде успорио је на 1,0%, да би у четвртом тромесечју економски раст износио свега 0,4% мг. Успорена динамика инвестиција и растућа инфлација, уз повећану неизвесност и смањену спољну тражњу, као и нешто слабија пољопривредна сезона, главни су фактори који су утицали на успоравање економске активности током друге половине 2022. године.</w:t>
      </w:r>
    </w:p>
    <w:p w14:paraId="22F5CC9B" w14:textId="77777777" w:rsidR="00907B95" w:rsidRPr="0007074F" w:rsidRDefault="00907B95" w:rsidP="002D6E55">
      <w:pPr>
        <w:rPr>
          <w:rFonts w:cstheme="minorHAnsi"/>
          <w:bCs/>
          <w:szCs w:val="72"/>
          <w:lang w:val="sr-Cyrl-CS"/>
        </w:rPr>
      </w:pPr>
      <w:r w:rsidRPr="0007074F">
        <w:rPr>
          <w:rFonts w:cstheme="minorHAnsi"/>
          <w:bCs/>
          <w:szCs w:val="72"/>
          <w:lang w:val="sr-Cyrl-CS"/>
        </w:rPr>
        <w:t>Према флеш процени РЗС, раст БДП у првом кварталу 2023. године износио је 0,7% мг. што је незнатно испод пројекције за овај период, а која подразумева годишњу путању економског раста од 2,5%.</w:t>
      </w:r>
    </w:p>
    <w:p w14:paraId="4AB70942" w14:textId="1E4B4AFA" w:rsidR="00907B95" w:rsidRPr="0007074F" w:rsidRDefault="00907B95" w:rsidP="002D6E55">
      <w:pPr>
        <w:rPr>
          <w:lang w:val="sr-Cyrl-CS"/>
        </w:rPr>
      </w:pPr>
      <w:r w:rsidRPr="0007074F">
        <w:rPr>
          <w:rFonts w:cstheme="minorHAnsi"/>
          <w:bCs/>
          <w:szCs w:val="72"/>
          <w:lang w:val="sr-Cyrl-CS"/>
        </w:rPr>
        <w:t>Посматрано са производне стране, према процени Министарства финансија, економски раст у првом кварталу 2023. године био је вођен услужним делатностима и додатно подржан растом индустријске производње. У оквиру сектора услуга забележена су дивергентна кретања. Позитиван допринос расту наставио је да даје сектор информационо-комуникационих технологија (ИКТ), туризма, као и административних и стручних услуга, док је негативан допринос дошао од трговине, као и од делатности са доминантно државним учешћем (Образовање; Здравство; Јавна управа). Укупна индустријска производња је остварила раст бруто додате вредности (у даљем тексту: БДВ) од 2,3% мг</w:t>
      </w:r>
      <w:r w:rsidR="00EF5691" w:rsidRPr="0007074F">
        <w:rPr>
          <w:rFonts w:cstheme="minorHAnsi"/>
          <w:bCs/>
          <w:szCs w:val="72"/>
          <w:lang w:val="sr-Cyrl-CS"/>
        </w:rPr>
        <w:t>.</w:t>
      </w:r>
      <w:r w:rsidRPr="0007074F">
        <w:rPr>
          <w:rFonts w:cstheme="minorHAnsi"/>
          <w:bCs/>
          <w:szCs w:val="72"/>
          <w:lang w:val="sr-Cyrl-CS"/>
        </w:rPr>
        <w:t xml:space="preserve">, пре свега као резултат стабилизације у производњи електричне енергије, </w:t>
      </w:r>
      <w:r w:rsidRPr="0007074F">
        <w:rPr>
          <w:rFonts w:cstheme="minorHAnsi"/>
          <w:bCs/>
          <w:szCs w:val="72"/>
          <w:lang w:val="sr-Cyrl-CS"/>
        </w:rPr>
        <w:lastRenderedPageBreak/>
        <w:t>док је прерађивачка индустрија услед смањене спољне тражње забележила пад од 1,5% мг. Неутралан допринос расту БДП потекао је од грађевинарства, док је пољопривреда под претпоставком просечне пољопривредне сезоне забележила раст од око 5%. Негативан допринос имали су нето порези као последица мање реалне потрошње домаћинства.</w:t>
      </w:r>
    </w:p>
    <w:p w14:paraId="6AEB1698" w14:textId="77777777" w:rsidR="00907B95" w:rsidRPr="0007074F" w:rsidRDefault="00907B95" w:rsidP="008527D6">
      <w:pPr>
        <w:jc w:val="center"/>
        <w:rPr>
          <w:rFonts w:cstheme="minorHAnsi"/>
          <w:b/>
          <w:bCs/>
          <w:color w:val="002060"/>
          <w:szCs w:val="72"/>
          <w:lang w:val="sr-Cyrl-CS"/>
        </w:rPr>
      </w:pPr>
      <w:r w:rsidRPr="0007074F">
        <w:rPr>
          <w:rFonts w:cstheme="minorHAnsi"/>
          <w:b/>
          <w:bCs/>
          <w:color w:val="002060"/>
          <w:szCs w:val="72"/>
          <w:lang w:val="sr-Cyrl-CS"/>
        </w:rPr>
        <w:t>Доприноси стопи реалног раста БДП, производни приступ, п.п.</w:t>
      </w:r>
    </w:p>
    <w:p w14:paraId="57CEBB74" w14:textId="77777777" w:rsidR="00907B95" w:rsidRPr="0007074F" w:rsidRDefault="00907B95" w:rsidP="00AB5B72">
      <w:pPr>
        <w:spacing w:after="120"/>
        <w:rPr>
          <w:rFonts w:cstheme="minorHAnsi"/>
          <w:bCs/>
          <w:szCs w:val="72"/>
          <w:lang w:val="sr-Cyrl-CS"/>
        </w:rPr>
      </w:pPr>
      <w:r w:rsidRPr="0007074F">
        <w:rPr>
          <w:noProof/>
        </w:rPr>
        <w:drawing>
          <wp:inline distT="0" distB="0" distL="0" distR="0" wp14:anchorId="340FADB1" wp14:editId="58873983">
            <wp:extent cx="2743200" cy="2141220"/>
            <wp:effectExtent l="0" t="0" r="0" b="0"/>
            <wp:docPr id="33" name="Chart 33">
              <a:extLst xmlns:a="http://schemas.openxmlformats.org/drawingml/2006/main">
                <a:ext uri="{FF2B5EF4-FFF2-40B4-BE49-F238E27FC236}">
                  <a16:creationId xmlns:a16="http://schemas.microsoft.com/office/drawing/2014/main" id="{00000000-0008-0000-0B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0BF306F5" w14:textId="77777777" w:rsidR="00907B95" w:rsidRPr="0007074F" w:rsidRDefault="00907B95" w:rsidP="002D6E55">
      <w:pPr>
        <w:jc w:val="center"/>
        <w:rPr>
          <w:rFonts w:cstheme="minorHAnsi"/>
          <w:b/>
          <w:bCs/>
          <w:color w:val="002060"/>
          <w:szCs w:val="72"/>
          <w:lang w:val="sr-Cyrl-CS"/>
        </w:rPr>
      </w:pPr>
      <w:r w:rsidRPr="0007074F">
        <w:rPr>
          <w:rFonts w:cstheme="minorHAnsi"/>
          <w:b/>
          <w:bCs/>
          <w:color w:val="002060"/>
          <w:szCs w:val="72"/>
          <w:lang w:val="sr-Cyrl-CS"/>
        </w:rPr>
        <w:t xml:space="preserve">Доприноси стопи реалног раста БДП, </w:t>
      </w:r>
      <w:r w:rsidRPr="0007074F">
        <w:rPr>
          <w:rFonts w:cstheme="minorHAnsi"/>
          <w:b/>
          <w:bCs/>
          <w:color w:val="002060"/>
          <w:szCs w:val="72"/>
          <w:lang w:val="sr-Cyrl-CS"/>
        </w:rPr>
        <w:br w:type="textWrapping" w:clear="all"/>
        <w:t>расходни приступ, п.п.</w:t>
      </w:r>
    </w:p>
    <w:p w14:paraId="055E9F87" w14:textId="77777777" w:rsidR="00907B95" w:rsidRPr="0007074F" w:rsidRDefault="00907B95" w:rsidP="00223A45">
      <w:pPr>
        <w:spacing w:after="80"/>
        <w:jc w:val="center"/>
        <w:rPr>
          <w:lang w:val="sr-Cyrl-CS"/>
        </w:rPr>
      </w:pPr>
      <w:r w:rsidRPr="0007074F">
        <w:rPr>
          <w:noProof/>
        </w:rPr>
        <w:drawing>
          <wp:inline distT="0" distB="0" distL="0" distR="0" wp14:anchorId="56B64B1A" wp14:editId="4A279068">
            <wp:extent cx="2743200" cy="2142490"/>
            <wp:effectExtent l="0" t="0" r="0" b="0"/>
            <wp:docPr id="36" name="Chart 36">
              <a:extLst xmlns:a="http://schemas.openxmlformats.org/drawingml/2006/main">
                <a:ext uri="{FF2B5EF4-FFF2-40B4-BE49-F238E27FC236}">
                  <a16:creationId xmlns:a16="http://schemas.microsoft.com/office/drawing/2014/main" id="{00000000-0008-0000-0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1A1AAC34" w14:textId="77777777" w:rsidR="00907B95" w:rsidRPr="0007074F" w:rsidRDefault="00907B95" w:rsidP="002D6E55">
      <w:pPr>
        <w:rPr>
          <w:rFonts w:cstheme="minorHAnsi"/>
          <w:bCs/>
          <w:sz w:val="16"/>
          <w:szCs w:val="16"/>
          <w:lang w:val="sr-Cyrl-CS"/>
        </w:rPr>
      </w:pPr>
      <w:r w:rsidRPr="0007074F">
        <w:rPr>
          <w:rFonts w:cstheme="minorHAnsi"/>
          <w:bCs/>
          <w:sz w:val="16"/>
          <w:szCs w:val="16"/>
          <w:lang w:val="sr-Cyrl-CS"/>
        </w:rPr>
        <w:t>* Флеш процена РЗС, прерачун Министарство финансија</w:t>
      </w:r>
    </w:p>
    <w:p w14:paraId="0C4CF62D" w14:textId="155D982E" w:rsidR="00907B95" w:rsidRPr="0007074F" w:rsidRDefault="00907B95" w:rsidP="008527D6">
      <w:pPr>
        <w:rPr>
          <w:rFonts w:cstheme="minorHAnsi"/>
          <w:bCs/>
          <w:szCs w:val="72"/>
          <w:lang w:val="sr-Cyrl-CS"/>
        </w:rPr>
      </w:pPr>
      <w:r w:rsidRPr="0007074F">
        <w:rPr>
          <w:rFonts w:cstheme="minorHAnsi"/>
          <w:bCs/>
          <w:szCs w:val="72"/>
          <w:lang w:val="sr-Cyrl-CS"/>
        </w:rPr>
        <w:t xml:space="preserve">Посматрано по агрегатима употребе, раст БДП у првом кварталу 2023. године према процени Министарства финансија био је у потпуности </w:t>
      </w:r>
      <w:r w:rsidRPr="0007074F">
        <w:rPr>
          <w:rFonts w:cstheme="minorHAnsi"/>
          <w:bCs/>
          <w:szCs w:val="72"/>
          <w:lang w:val="sr-Cyrl-CS"/>
        </w:rPr>
        <w:t>вођен нето извозом, док је допринос домаће тражње био негативан. Ефекат на страни понуде у</w:t>
      </w:r>
      <w:r w:rsidR="007F0C01" w:rsidRPr="0007074F">
        <w:rPr>
          <w:rFonts w:cstheme="minorHAnsi"/>
          <w:bCs/>
          <w:szCs w:val="72"/>
          <w:lang w:val="sr-Cyrl-CS"/>
        </w:rPr>
        <w:t>з умерени опоравак спољне тражњe</w:t>
      </w:r>
      <w:r w:rsidRPr="0007074F">
        <w:rPr>
          <w:rFonts w:cstheme="minorHAnsi"/>
          <w:bCs/>
          <w:szCs w:val="72"/>
          <w:lang w:val="sr-Cyrl-CS"/>
        </w:rPr>
        <w:t xml:space="preserve"> у овом периоду, резултирао је растом реалног извоза од око 9% мг. С друге стране увозна активност забележила је пад од </w:t>
      </w:r>
      <w:r w:rsidR="00E53134" w:rsidRPr="0007074F">
        <w:rPr>
          <w:rFonts w:cstheme="minorHAnsi"/>
          <w:bCs/>
          <w:szCs w:val="72"/>
          <w:lang w:val="sr-Cyrl-CS"/>
        </w:rPr>
        <w:t>2</w:t>
      </w:r>
      <w:r w:rsidRPr="0007074F">
        <w:rPr>
          <w:rFonts w:cstheme="minorHAnsi"/>
          <w:bCs/>
          <w:szCs w:val="72"/>
          <w:lang w:val="sr-Cyrl-CS"/>
        </w:rPr>
        <w:t xml:space="preserve">,1% мг. пре свега као последица мањег реалног увоза енергената. Оваква динамика спољнотрговинских токова имала је за резултат позитиван допринос нето извоза расту БДП од </w:t>
      </w:r>
      <w:r w:rsidR="00E53134" w:rsidRPr="0007074F">
        <w:rPr>
          <w:rFonts w:cstheme="minorHAnsi"/>
          <w:bCs/>
          <w:szCs w:val="72"/>
          <w:lang w:val="sr-Cyrl-CS"/>
        </w:rPr>
        <w:t>око 8,0</w:t>
      </w:r>
      <w:r w:rsidRPr="0007074F">
        <w:rPr>
          <w:rFonts w:cstheme="minorHAnsi"/>
          <w:bCs/>
          <w:szCs w:val="72"/>
          <w:lang w:val="sr-Cyrl-CS"/>
        </w:rPr>
        <w:t xml:space="preserve"> п.п. Приватна потрошња, под утицајем инфлације и високе прошлогодишње базе, забележила </w:t>
      </w:r>
      <w:r w:rsidR="003A4D4B" w:rsidRPr="0007074F">
        <w:rPr>
          <w:rFonts w:cstheme="minorHAnsi"/>
          <w:bCs/>
          <w:szCs w:val="72"/>
          <w:lang w:val="sr-Cyrl-CS"/>
        </w:rPr>
        <w:t xml:space="preserve">је </w:t>
      </w:r>
      <w:r w:rsidRPr="0007074F">
        <w:rPr>
          <w:rFonts w:cstheme="minorHAnsi"/>
          <w:bCs/>
          <w:szCs w:val="72"/>
          <w:lang w:val="sr-Cyrl-CS"/>
        </w:rPr>
        <w:t>реални пад од 0,9%. На висок прошлогодишњи базни ефекат утицала је импулсивн</w:t>
      </w:r>
      <w:r w:rsidR="006F069A" w:rsidRPr="0007074F">
        <w:rPr>
          <w:rFonts w:cstheme="minorHAnsi"/>
          <w:bCs/>
          <w:szCs w:val="72"/>
          <w:lang w:val="sr-Cyrl-CS"/>
        </w:rPr>
        <w:t>a</w:t>
      </w:r>
      <w:r w:rsidRPr="0007074F">
        <w:rPr>
          <w:rFonts w:cstheme="minorHAnsi"/>
          <w:bCs/>
          <w:szCs w:val="72"/>
          <w:lang w:val="sr-Cyrl-CS"/>
        </w:rPr>
        <w:t xml:space="preserve"> куповин</w:t>
      </w:r>
      <w:r w:rsidR="006F069A" w:rsidRPr="0007074F">
        <w:rPr>
          <w:rFonts w:cstheme="minorHAnsi"/>
          <w:bCs/>
          <w:szCs w:val="72"/>
          <w:lang w:val="sr-Cyrl-CS"/>
        </w:rPr>
        <w:t>a</w:t>
      </w:r>
      <w:r w:rsidRPr="0007074F">
        <w:rPr>
          <w:rFonts w:cstheme="minorHAnsi"/>
          <w:bCs/>
          <w:szCs w:val="72"/>
          <w:lang w:val="sr-Cyrl-CS"/>
        </w:rPr>
        <w:t xml:space="preserve"> становништва непосредно по избијању конфликта у Украјини, као и фискални стимулус у виду подршке младима и пензионерима током првог квартала претходне године. И даље присутна неизвесност одражава се на поверење инвеститора, али је према процени Министарства финансија ниво инвестиција у основне фондове </w:t>
      </w:r>
      <w:r w:rsidR="00E53134" w:rsidRPr="0007074F">
        <w:rPr>
          <w:rFonts w:cstheme="minorHAnsi"/>
          <w:bCs/>
          <w:szCs w:val="72"/>
          <w:lang w:val="sr-Cyrl-CS"/>
        </w:rPr>
        <w:t>остварио благи раст у</w:t>
      </w:r>
      <w:r w:rsidRPr="0007074F">
        <w:rPr>
          <w:rFonts w:cstheme="minorHAnsi"/>
          <w:bCs/>
          <w:szCs w:val="72"/>
          <w:lang w:val="sr-Cyrl-CS"/>
        </w:rPr>
        <w:t xml:space="preserve"> односу на први квартал претходне године. Главни негативни допринос расту БДП потекао је од залиха, пре свега као последица базног ефекта односно високог увоза енергената почетком претходне године као и потрошње током зимских месеци.</w:t>
      </w:r>
    </w:p>
    <w:p w14:paraId="7F8CC10F" w14:textId="77777777" w:rsidR="00907B95" w:rsidRPr="0007074F" w:rsidRDefault="00907B95" w:rsidP="002D6E55">
      <w:pPr>
        <w:rPr>
          <w:rFonts w:cstheme="minorHAnsi"/>
          <w:bCs/>
          <w:szCs w:val="72"/>
          <w:lang w:val="sr-Cyrl-CS"/>
        </w:rPr>
      </w:pPr>
      <w:r w:rsidRPr="0007074F">
        <w:rPr>
          <w:rFonts w:cstheme="minorHAnsi"/>
          <w:bCs/>
          <w:szCs w:val="72"/>
          <w:lang w:val="sr-Cyrl-CS"/>
        </w:rPr>
        <w:t>Високофреквентни индикатори углавном указују на благи раст динамике економске активности почетком 2023. године.</w:t>
      </w:r>
    </w:p>
    <w:p w14:paraId="55D75CCD" w14:textId="77777777" w:rsidR="00907B95" w:rsidRPr="0007074F" w:rsidRDefault="00907B95" w:rsidP="002D6E55">
      <w:pPr>
        <w:spacing w:after="120"/>
        <w:rPr>
          <w:rFonts w:cstheme="minorHAnsi"/>
          <w:bCs/>
          <w:iCs/>
          <w:szCs w:val="72"/>
          <w:lang w:val="sr-Cyrl-CS"/>
        </w:rPr>
      </w:pPr>
      <w:r w:rsidRPr="0007074F">
        <w:rPr>
          <w:rFonts w:cstheme="minorHAnsi"/>
          <w:bCs/>
          <w:iCs/>
          <w:szCs w:val="72"/>
          <w:lang w:val="sr-Cyrl-CS"/>
        </w:rPr>
        <w:t>У прва три месеца физички обим индустријске производње је повећан за 2,5% мг. У овом периоду, раст је вођен повећањем производње електро-енергетског сектора, при чему је производња електричне енергије већа за 18,6%, а рударства за 4,5% мг. Стабилизација производње електричне енергије, која је готово на истом нивоу као у марту 2021. године, али и утицај ниске базе из марта претходне године определили су раст овог сектора. Поред тога, повољнија метеоролошка ситуација и добар рад хидро капацитета, омогућили су већи обим производње и извоз вишкова струје.</w:t>
      </w:r>
    </w:p>
    <w:p w14:paraId="42100428" w14:textId="77777777" w:rsidR="00907B95" w:rsidRPr="0007074F" w:rsidRDefault="00907B95" w:rsidP="002D6E55">
      <w:pPr>
        <w:spacing w:after="120"/>
        <w:rPr>
          <w:rFonts w:cstheme="minorHAnsi"/>
          <w:bCs/>
          <w:iCs/>
          <w:szCs w:val="72"/>
          <w:lang w:val="sr-Cyrl-CS"/>
        </w:rPr>
        <w:sectPr w:rsidR="00907B95" w:rsidRPr="0007074F" w:rsidSect="002D6E55">
          <w:type w:val="continuous"/>
          <w:pgSz w:w="12240" w:h="15840" w:code="1"/>
          <w:pgMar w:top="1440" w:right="1440" w:bottom="1440" w:left="1440" w:header="720" w:footer="720" w:gutter="0"/>
          <w:cols w:num="2" w:space="720"/>
          <w:docGrid w:linePitch="360"/>
        </w:sectPr>
      </w:pPr>
    </w:p>
    <w:p w14:paraId="7B7C4AA5" w14:textId="77777777" w:rsidR="00907B95" w:rsidRPr="0007074F" w:rsidRDefault="00907B95" w:rsidP="002D6E55">
      <w:pPr>
        <w:spacing w:after="120"/>
        <w:rPr>
          <w:rFonts w:cstheme="minorHAnsi"/>
          <w:bCs/>
          <w:iCs/>
          <w:szCs w:val="72"/>
          <w:lang w:val="sr-Cyrl-CS"/>
        </w:rPr>
      </w:pPr>
    </w:p>
    <w:p w14:paraId="6A488D28" w14:textId="77777777" w:rsidR="00907B95" w:rsidRPr="0007074F" w:rsidRDefault="00907B95">
      <w:pPr>
        <w:jc w:val="left"/>
        <w:rPr>
          <w:rFonts w:cstheme="minorHAnsi"/>
          <w:b/>
          <w:bCs/>
          <w:iCs/>
          <w:color w:val="002060"/>
          <w:spacing w:val="-2"/>
          <w:szCs w:val="72"/>
          <w:lang w:val="sr-Cyrl-CS"/>
        </w:rPr>
      </w:pPr>
      <w:r w:rsidRPr="0007074F">
        <w:rPr>
          <w:rFonts w:cstheme="minorHAnsi"/>
          <w:b/>
          <w:bCs/>
          <w:iCs/>
          <w:color w:val="002060"/>
          <w:spacing w:val="-2"/>
          <w:szCs w:val="72"/>
          <w:lang w:val="sr-Cyrl-CS"/>
        </w:rPr>
        <w:br w:type="page"/>
      </w:r>
    </w:p>
    <w:p w14:paraId="7C5C230D" w14:textId="77777777" w:rsidR="00907B95" w:rsidRPr="0007074F" w:rsidRDefault="00907B95" w:rsidP="001D79AB">
      <w:pPr>
        <w:spacing w:after="80"/>
        <w:jc w:val="center"/>
        <w:rPr>
          <w:rFonts w:cstheme="minorHAnsi"/>
          <w:b/>
          <w:bCs/>
          <w:iCs/>
          <w:color w:val="002060"/>
          <w:spacing w:val="-2"/>
          <w:szCs w:val="72"/>
          <w:lang w:val="sr-Cyrl-CS"/>
        </w:rPr>
      </w:pPr>
      <w:r w:rsidRPr="0007074F">
        <w:rPr>
          <w:rFonts w:cstheme="minorHAnsi"/>
          <w:b/>
          <w:bCs/>
          <w:iCs/>
          <w:color w:val="002060"/>
          <w:spacing w:val="-2"/>
          <w:szCs w:val="72"/>
          <w:lang w:val="sr-Cyrl-CS"/>
        </w:rPr>
        <w:lastRenderedPageBreak/>
        <w:t>Индекс физичког обима снабдевања електричном енергијом, гасом и паром, 2022=100</w:t>
      </w:r>
    </w:p>
    <w:p w14:paraId="75B99CA9" w14:textId="77777777" w:rsidR="00907B95" w:rsidRPr="0007074F" w:rsidRDefault="00907B95" w:rsidP="002D6E55">
      <w:pPr>
        <w:spacing w:after="120"/>
        <w:rPr>
          <w:rFonts w:cstheme="minorHAnsi"/>
          <w:bCs/>
          <w:iCs/>
          <w:szCs w:val="72"/>
          <w:lang w:val="sr-Cyrl-CS"/>
        </w:rPr>
      </w:pPr>
      <w:r w:rsidRPr="0007074F">
        <w:rPr>
          <w:noProof/>
        </w:rPr>
        <w:drawing>
          <wp:anchor distT="0" distB="0" distL="114300" distR="114300" simplePos="0" relativeHeight="251675136" behindDoc="0" locked="0" layoutInCell="1" allowOverlap="1" wp14:anchorId="0E9F0A52" wp14:editId="065BA5F0">
            <wp:simplePos x="0" y="0"/>
            <wp:positionH relativeFrom="column">
              <wp:posOffset>1232535</wp:posOffset>
            </wp:positionH>
            <wp:positionV relativeFrom="paragraph">
              <wp:posOffset>-4445</wp:posOffset>
            </wp:positionV>
            <wp:extent cx="1197610" cy="323850"/>
            <wp:effectExtent l="0" t="0" r="254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1197610" cy="323850"/>
                    </a:xfrm>
                    <a:prstGeom prst="rect">
                      <a:avLst/>
                    </a:prstGeom>
                  </pic:spPr>
                </pic:pic>
              </a:graphicData>
            </a:graphic>
            <wp14:sizeRelH relativeFrom="margin">
              <wp14:pctWidth>0</wp14:pctWidth>
            </wp14:sizeRelH>
            <wp14:sizeRelV relativeFrom="margin">
              <wp14:pctHeight>0</wp14:pctHeight>
            </wp14:sizeRelV>
          </wp:anchor>
        </w:drawing>
      </w:r>
      <w:r w:rsidRPr="0007074F">
        <w:rPr>
          <w:noProof/>
        </w:rPr>
        <w:drawing>
          <wp:inline distT="0" distB="0" distL="0" distR="0" wp14:anchorId="04F999DE" wp14:editId="76909D88">
            <wp:extent cx="2743200" cy="1268095"/>
            <wp:effectExtent l="0" t="0" r="0" b="8255"/>
            <wp:docPr id="35" name="Chart 35">
              <a:extLst xmlns:a="http://schemas.openxmlformats.org/drawingml/2006/main">
                <a:ext uri="{FF2B5EF4-FFF2-40B4-BE49-F238E27FC236}">
                  <a16:creationId xmlns:a16="http://schemas.microsoft.com/office/drawing/2014/main" id="{00000000-0008-0000-1900-00003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CBBF1CF" w14:textId="77777777" w:rsidR="00907B95" w:rsidRPr="0007074F" w:rsidRDefault="00907B95" w:rsidP="001D79AB">
      <w:pPr>
        <w:spacing w:after="80"/>
        <w:jc w:val="center"/>
        <w:rPr>
          <w:rFonts w:cstheme="minorHAnsi"/>
          <w:b/>
          <w:bCs/>
          <w:iCs/>
          <w:color w:val="002060"/>
          <w:szCs w:val="72"/>
          <w:lang w:val="sr-Cyrl-CS"/>
        </w:rPr>
      </w:pPr>
      <w:r w:rsidRPr="0007074F">
        <w:rPr>
          <w:rFonts w:cstheme="minorHAnsi"/>
          <w:b/>
          <w:bCs/>
          <w:iCs/>
          <w:color w:val="002060"/>
          <w:szCs w:val="72"/>
          <w:lang w:val="sr-Cyrl-CS"/>
        </w:rPr>
        <w:t>Индекс физичког обима рударства, 2022=100</w:t>
      </w:r>
    </w:p>
    <w:p w14:paraId="01387A21" w14:textId="77777777" w:rsidR="00907B95" w:rsidRPr="0007074F" w:rsidRDefault="00907B95" w:rsidP="002D6E55">
      <w:pPr>
        <w:spacing w:after="40"/>
        <w:rPr>
          <w:rFonts w:cstheme="minorHAnsi"/>
          <w:bCs/>
          <w:iCs/>
          <w:szCs w:val="72"/>
          <w:lang w:val="sr-Cyrl-CS"/>
        </w:rPr>
      </w:pPr>
      <w:r w:rsidRPr="0007074F">
        <w:rPr>
          <w:noProof/>
        </w:rPr>
        <w:drawing>
          <wp:anchor distT="0" distB="0" distL="114300" distR="114300" simplePos="0" relativeHeight="251674112" behindDoc="0" locked="0" layoutInCell="1" allowOverlap="1" wp14:anchorId="24F859FA" wp14:editId="66A09120">
            <wp:simplePos x="0" y="0"/>
            <wp:positionH relativeFrom="column">
              <wp:posOffset>281940</wp:posOffset>
            </wp:positionH>
            <wp:positionV relativeFrom="paragraph">
              <wp:posOffset>47625</wp:posOffset>
            </wp:positionV>
            <wp:extent cx="1197610" cy="323850"/>
            <wp:effectExtent l="0" t="0" r="254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1197610" cy="323850"/>
                    </a:xfrm>
                    <a:prstGeom prst="rect">
                      <a:avLst/>
                    </a:prstGeom>
                  </pic:spPr>
                </pic:pic>
              </a:graphicData>
            </a:graphic>
            <wp14:sizeRelH relativeFrom="margin">
              <wp14:pctWidth>0</wp14:pctWidth>
            </wp14:sizeRelH>
            <wp14:sizeRelV relativeFrom="margin">
              <wp14:pctHeight>0</wp14:pctHeight>
            </wp14:sizeRelV>
          </wp:anchor>
        </w:drawing>
      </w:r>
      <w:r w:rsidRPr="0007074F">
        <w:rPr>
          <w:noProof/>
        </w:rPr>
        <w:drawing>
          <wp:inline distT="0" distB="0" distL="0" distR="0" wp14:anchorId="38EC7981" wp14:editId="62FE0D86">
            <wp:extent cx="2743200" cy="1268095"/>
            <wp:effectExtent l="0" t="0" r="0" b="8255"/>
            <wp:docPr id="34" name="Chart 34">
              <a:extLst xmlns:a="http://schemas.openxmlformats.org/drawingml/2006/main">
                <a:ext uri="{FF2B5EF4-FFF2-40B4-BE49-F238E27FC236}">
                  <a16:creationId xmlns:a16="http://schemas.microsoft.com/office/drawing/2014/main" id="{00000000-0008-0000-1900-00003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6EB1F510" w14:textId="77777777" w:rsidR="00907B95" w:rsidRPr="0007074F" w:rsidRDefault="00907B95" w:rsidP="002D6E55">
      <w:pPr>
        <w:rPr>
          <w:rFonts w:cstheme="minorHAnsi"/>
          <w:bCs/>
          <w:iCs/>
          <w:szCs w:val="72"/>
          <w:lang w:val="sr-Cyrl-CS"/>
        </w:rPr>
      </w:pPr>
      <w:r w:rsidRPr="0007074F">
        <w:rPr>
          <w:rFonts w:cstheme="minorHAnsi"/>
          <w:bCs/>
          <w:sz w:val="16"/>
          <w:szCs w:val="72"/>
          <w:lang w:val="sr-Cyrl-CS"/>
        </w:rPr>
        <w:t>Извор: Министарство финансија</w:t>
      </w:r>
    </w:p>
    <w:p w14:paraId="3C13660B" w14:textId="77777777" w:rsidR="00907B95" w:rsidRPr="0007074F" w:rsidRDefault="00907B95" w:rsidP="002D6E55">
      <w:pPr>
        <w:spacing w:after="120"/>
        <w:rPr>
          <w:rFonts w:cstheme="minorHAnsi"/>
          <w:bCs/>
          <w:iCs/>
          <w:szCs w:val="72"/>
          <w:lang w:val="sr-Cyrl-CS"/>
        </w:rPr>
      </w:pPr>
      <w:r w:rsidRPr="0007074F">
        <w:rPr>
          <w:rFonts w:cstheme="minorHAnsi"/>
          <w:bCs/>
          <w:iCs/>
          <w:szCs w:val="72"/>
          <w:lang w:val="sr-Cyrl-CS"/>
        </w:rPr>
        <w:t>И поред тога што је у прва три месеца међугодишње посматрано забележен пад производње прерађивачке индустрије од 1,5%, што је једним делом последица и базног ефекта, приметан је опоравак након успоравања од средине 2022. године. Десезонирани подаци, као бољи показатељ тренутних кретања, указују да је фебруарски ниво активности повећан за 1,7% у односу на претходни месец, а затим у марту додатно убрзао за 2,2%. Имајући у виду актуелна кретања у прерађивачкој индустрији, али и утицај ниже базе у другој половини претходне године, очекује се постепен улазак овог сектора у позитивну зону и међугодишње посматрано.</w:t>
      </w:r>
    </w:p>
    <w:p w14:paraId="4F3E8358" w14:textId="77777777" w:rsidR="00907B95" w:rsidRPr="0007074F" w:rsidRDefault="00907B95" w:rsidP="002D6E55">
      <w:pPr>
        <w:spacing w:after="40"/>
        <w:jc w:val="center"/>
        <w:rPr>
          <w:rFonts w:cstheme="minorHAnsi"/>
          <w:b/>
          <w:bCs/>
          <w:iCs/>
          <w:color w:val="002060"/>
          <w:szCs w:val="72"/>
          <w:lang w:val="sr-Cyrl-CS"/>
        </w:rPr>
      </w:pPr>
      <w:r w:rsidRPr="0007074F">
        <w:rPr>
          <w:rFonts w:cstheme="minorHAnsi"/>
          <w:b/>
          <w:bCs/>
          <w:iCs/>
          <w:color w:val="002060"/>
          <w:szCs w:val="72"/>
          <w:lang w:val="sr-Cyrl-CS"/>
        </w:rPr>
        <w:t>Индекс физичког обима прерађивачке индустрије, 2022=100</w:t>
      </w:r>
    </w:p>
    <w:p w14:paraId="2C41AE85" w14:textId="77777777" w:rsidR="00907B95" w:rsidRPr="0007074F" w:rsidRDefault="00907B95" w:rsidP="002D6E55">
      <w:pPr>
        <w:spacing w:after="120"/>
        <w:rPr>
          <w:rFonts w:cstheme="minorHAnsi"/>
          <w:bCs/>
          <w:iCs/>
          <w:szCs w:val="72"/>
          <w:lang w:val="sr-Cyrl-CS"/>
        </w:rPr>
      </w:pPr>
      <w:r w:rsidRPr="0007074F">
        <w:rPr>
          <w:noProof/>
        </w:rPr>
        <w:drawing>
          <wp:inline distT="0" distB="0" distL="0" distR="0" wp14:anchorId="4759A858" wp14:editId="559C0991">
            <wp:extent cx="2743200" cy="1267200"/>
            <wp:effectExtent l="0" t="0" r="0" b="0"/>
            <wp:docPr id="5" name="Chart 5">
              <a:extLst xmlns:a="http://schemas.openxmlformats.org/drawingml/2006/main">
                <a:ext uri="{FF2B5EF4-FFF2-40B4-BE49-F238E27FC236}">
                  <a16:creationId xmlns:a16="http://schemas.microsoft.com/office/drawing/2014/main" id="{00000000-0008-0000-19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ED0FF34" w14:textId="77777777" w:rsidR="00907B95" w:rsidRPr="0007074F" w:rsidRDefault="00907B95" w:rsidP="002D6E55">
      <w:pPr>
        <w:spacing w:after="40"/>
        <w:jc w:val="center"/>
        <w:rPr>
          <w:rFonts w:cstheme="minorHAnsi"/>
          <w:bCs/>
          <w:iCs/>
          <w:szCs w:val="72"/>
          <w:lang w:val="sr-Cyrl-CS"/>
        </w:rPr>
      </w:pPr>
      <w:r w:rsidRPr="0007074F">
        <w:rPr>
          <w:noProof/>
        </w:rPr>
        <w:drawing>
          <wp:inline distT="0" distB="0" distL="0" distR="0" wp14:anchorId="5E27D218" wp14:editId="38B3DB6E">
            <wp:extent cx="1196308" cy="324000"/>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196308" cy="324000"/>
                    </a:xfrm>
                    <a:prstGeom prst="rect">
                      <a:avLst/>
                    </a:prstGeom>
                  </pic:spPr>
                </pic:pic>
              </a:graphicData>
            </a:graphic>
          </wp:inline>
        </w:drawing>
      </w:r>
    </w:p>
    <w:p w14:paraId="62DB5464" w14:textId="77777777" w:rsidR="00907B95" w:rsidRPr="0007074F" w:rsidRDefault="00907B95" w:rsidP="001D79AB">
      <w:pPr>
        <w:spacing w:after="0"/>
        <w:rPr>
          <w:rFonts w:cstheme="minorHAnsi"/>
          <w:bCs/>
          <w:iCs/>
          <w:szCs w:val="72"/>
          <w:lang w:val="sr-Cyrl-CS"/>
        </w:rPr>
      </w:pPr>
      <w:r w:rsidRPr="0007074F">
        <w:rPr>
          <w:rFonts w:cstheme="minorHAnsi"/>
          <w:bCs/>
          <w:sz w:val="16"/>
          <w:szCs w:val="72"/>
          <w:lang w:val="sr-Cyrl-CS"/>
        </w:rPr>
        <w:t>Извор: Министарство финансија</w:t>
      </w:r>
    </w:p>
    <w:p w14:paraId="13416CC1" w14:textId="77777777" w:rsidR="00907B95" w:rsidRPr="0007074F" w:rsidRDefault="00907B95" w:rsidP="002D6E55">
      <w:pPr>
        <w:spacing w:after="60"/>
        <w:rPr>
          <w:rFonts w:cstheme="minorHAnsi"/>
          <w:bCs/>
          <w:iCs/>
          <w:szCs w:val="72"/>
          <w:lang w:val="sr-Cyrl-CS"/>
        </w:rPr>
      </w:pPr>
      <w:r w:rsidRPr="0007074F">
        <w:rPr>
          <w:rFonts w:cstheme="minorHAnsi"/>
          <w:bCs/>
          <w:iCs/>
          <w:szCs w:val="72"/>
          <w:lang w:val="sr-Cyrl-CS"/>
        </w:rPr>
        <w:t>Посматрано по областима прерађивачке индустрије, у прва три месеци остварен је пад у 11 од 24 делатности. Глобална дешавања условила су проблеме у ланцима снабдевања, раст цена енергената и пад екстерне тражње, а што је у значајној мери погодило енергетски интензивне индустрије попут металске и хемијске индустрије. Отуда потиче и најзначајнији негативан допринос кретању прерађивачке индустрије. Производња металске индустрије је нижа за 40,8% мг., а уколико би се изузео утицај ове делатности, остале области прерађивачке индустрије збирно остварују благ позитиван допринос. У другој половини године може се очекивати значајно мањи негативан допринос металске индустрије, јер у међугодишњим поређењима више неће бити видљиви ефекти гашења Високе пећи број 1 које је у смедеревској железари наступило крајем јула претходне године. Истовремено, у прва три месеца физички обим хемијске индустрије је нижи за 16,8%, док производња металних производа, осим машина бележи пад од 12,4%, мг. Ове три делатности уједно опредељују око три четвртине негативног утицаја међу делатностима које су оствариле пад производње. С друге стране, настављен је раст машинске индустрије која са повећањем производње од 28,5% мг. пружа најзначајнији позитиван допринос кретању прерађивачке индустрије. Ова делатност опредељује трећину позитивног утицаја међу 13 делатности које бележе раст производње. У истом периоду, обим производње фармацеутске индустрије је међугодишњe повећан за 11,4%, док је раст аутомобилске индустрије, рачунарске индустрије и производње пића износио 18,4%, 29,8% и 6,6%, респективно.</w:t>
      </w:r>
    </w:p>
    <w:p w14:paraId="4FF5D538" w14:textId="77777777" w:rsidR="00907B95" w:rsidRPr="0007074F" w:rsidRDefault="00907B95" w:rsidP="002D6E55">
      <w:pPr>
        <w:spacing w:after="0"/>
        <w:rPr>
          <w:rFonts w:cstheme="minorHAnsi"/>
          <w:bCs/>
          <w:iCs/>
          <w:szCs w:val="72"/>
          <w:lang w:val="sr-Cyrl-CS"/>
        </w:rPr>
      </w:pPr>
      <w:r w:rsidRPr="0007074F">
        <w:rPr>
          <w:rFonts w:cstheme="minorHAnsi"/>
          <w:bCs/>
          <w:iCs/>
          <w:szCs w:val="72"/>
          <w:lang w:val="sr-Cyrl-CS"/>
        </w:rPr>
        <w:t>Повећана неизвесност у међународном окружењу услед геополитичких тензија и даље опредељује значајне негативне ризике. Међутим, и поред тога у другом делу године очекује се стабилан раст индустријске активности, што ће бити праћено постепеним опоравком наших најзначајнијих спољнотрговинских партнера, али и утицајем ниже базе из претходне године, поготову у прерађивачкој индустрији. Поред тога, рекордни приливи страних директних инвестиција (у даљем тексту: СДИ) из претходног периода условиће позитивне ефекте на страни понуде.</w:t>
      </w:r>
    </w:p>
    <w:p w14:paraId="2501AC86" w14:textId="77777777" w:rsidR="00907B95" w:rsidRPr="0007074F" w:rsidRDefault="00907B95" w:rsidP="002D6E55">
      <w:pPr>
        <w:spacing w:after="0" w:line="240" w:lineRule="auto"/>
        <w:jc w:val="center"/>
        <w:rPr>
          <w:rFonts w:cstheme="minorHAnsi"/>
          <w:b/>
          <w:lang w:val="sr-Cyrl-CS"/>
        </w:rPr>
        <w:sectPr w:rsidR="00907B95" w:rsidRPr="0007074F" w:rsidSect="002D6E55">
          <w:type w:val="continuous"/>
          <w:pgSz w:w="12240" w:h="15840" w:code="1"/>
          <w:pgMar w:top="1440" w:right="1440" w:bottom="1440" w:left="1440" w:header="720" w:footer="720" w:gutter="0"/>
          <w:cols w:num="2" w:space="720"/>
          <w:docGrid w:linePitch="360"/>
        </w:sectPr>
      </w:pPr>
    </w:p>
    <w:p w14:paraId="4C4448BA" w14:textId="77777777" w:rsidR="00907B95" w:rsidRPr="0007074F" w:rsidRDefault="00907B95" w:rsidP="008527D6">
      <w:pPr>
        <w:spacing w:after="60" w:line="240" w:lineRule="auto"/>
        <w:jc w:val="center"/>
        <w:rPr>
          <w:rFonts w:cstheme="minorHAnsi"/>
          <w:b/>
          <w:color w:val="002060"/>
          <w:lang w:val="sr-Cyrl-CS"/>
        </w:rPr>
      </w:pPr>
      <w:r w:rsidRPr="0007074F">
        <w:rPr>
          <w:rFonts w:cstheme="minorHAnsi"/>
          <w:b/>
          <w:color w:val="002060"/>
          <w:lang w:val="sr-Cyrl-CS"/>
        </w:rPr>
        <w:lastRenderedPageBreak/>
        <w:t>Индекси физичког обима водећих делатности прерађивачке индустрије, 2022=100</w:t>
      </w:r>
    </w:p>
    <w:tbl>
      <w:tblPr>
        <w:tblStyle w:val="TableGrid5"/>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907B95" w:rsidRPr="0007074F" w14:paraId="32B73343" w14:textId="77777777" w:rsidTr="002D6E55">
        <w:tc>
          <w:tcPr>
            <w:tcW w:w="4681" w:type="dxa"/>
          </w:tcPr>
          <w:p w14:paraId="72A6DC50" w14:textId="77777777" w:rsidR="00907B95" w:rsidRPr="0007074F" w:rsidRDefault="00907B95" w:rsidP="002D6E55">
            <w:pPr>
              <w:spacing w:before="40" w:after="20"/>
              <w:jc w:val="center"/>
              <w:rPr>
                <w:lang w:val="sr-Cyrl-CS"/>
              </w:rPr>
            </w:pPr>
            <w:r w:rsidRPr="0007074F">
              <w:rPr>
                <w:lang w:val="sr-Cyrl-CS"/>
              </w:rPr>
              <w:t>Производња машина и опреме на другом месту непоменуте</w:t>
            </w:r>
          </w:p>
          <w:p w14:paraId="065ED39D" w14:textId="77777777" w:rsidR="00907B95" w:rsidRPr="0007074F" w:rsidRDefault="00907B95" w:rsidP="002D6E55">
            <w:pPr>
              <w:spacing w:before="40" w:after="20"/>
              <w:jc w:val="center"/>
              <w:rPr>
                <w:lang w:val="sr-Cyrl-CS"/>
              </w:rPr>
            </w:pPr>
            <w:r w:rsidRPr="0007074F">
              <w:rPr>
                <w:noProof/>
              </w:rPr>
              <w:drawing>
                <wp:inline distT="0" distB="0" distL="0" distR="0" wp14:anchorId="66F5D656" wp14:editId="002C971C">
                  <wp:extent cx="2881465" cy="1332000"/>
                  <wp:effectExtent l="0" t="0" r="0" b="1905"/>
                  <wp:docPr id="38" name="Chart 38">
                    <a:extLst xmlns:a="http://schemas.openxmlformats.org/drawingml/2006/main">
                      <a:ext uri="{FF2B5EF4-FFF2-40B4-BE49-F238E27FC236}">
                        <a16:creationId xmlns:a16="http://schemas.microsoft.com/office/drawing/2014/main" id="{00000000-0008-0000-1900-00003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c>
          <w:tcPr>
            <w:tcW w:w="4679" w:type="dxa"/>
          </w:tcPr>
          <w:p w14:paraId="7EE8ECE5" w14:textId="77777777" w:rsidR="00907B95" w:rsidRPr="0007074F" w:rsidRDefault="00907B95" w:rsidP="002D6E55">
            <w:pPr>
              <w:spacing w:before="40" w:after="20"/>
              <w:jc w:val="center"/>
              <w:rPr>
                <w:lang w:val="sr-Cyrl-CS"/>
              </w:rPr>
            </w:pPr>
            <w:r w:rsidRPr="0007074F">
              <w:rPr>
                <w:lang w:val="sr-Cyrl-CS"/>
              </w:rPr>
              <w:t>Производња основних фармацеутских производа и препарата</w:t>
            </w:r>
          </w:p>
          <w:p w14:paraId="48D51C9B" w14:textId="77777777" w:rsidR="00907B95" w:rsidRPr="0007074F" w:rsidRDefault="00907B95" w:rsidP="002D6E55">
            <w:pPr>
              <w:spacing w:before="40" w:after="20"/>
              <w:jc w:val="center"/>
              <w:rPr>
                <w:lang w:val="sr-Cyrl-CS"/>
              </w:rPr>
            </w:pPr>
            <w:r w:rsidRPr="0007074F">
              <w:rPr>
                <w:noProof/>
              </w:rPr>
              <w:drawing>
                <wp:inline distT="0" distB="0" distL="0" distR="0" wp14:anchorId="49ADB5EF" wp14:editId="28296479">
                  <wp:extent cx="2880000" cy="1332000"/>
                  <wp:effectExtent l="0" t="0" r="0" b="1905"/>
                  <wp:docPr id="40" name="Chart 40">
                    <a:extLst xmlns:a="http://schemas.openxmlformats.org/drawingml/2006/main">
                      <a:ext uri="{FF2B5EF4-FFF2-40B4-BE49-F238E27FC236}">
                        <a16:creationId xmlns:a16="http://schemas.microsoft.com/office/drawing/2014/main" id="{00000000-0008-0000-19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r w:rsidR="00907B95" w:rsidRPr="0007074F" w14:paraId="7F3D4C59" w14:textId="77777777" w:rsidTr="002D6E55">
        <w:tc>
          <w:tcPr>
            <w:tcW w:w="4681" w:type="dxa"/>
          </w:tcPr>
          <w:p w14:paraId="393659B9" w14:textId="77777777" w:rsidR="00907B95" w:rsidRPr="0007074F" w:rsidRDefault="00907B95" w:rsidP="002D6E55">
            <w:pPr>
              <w:spacing w:before="40" w:after="20"/>
              <w:jc w:val="center"/>
              <w:rPr>
                <w:lang w:val="sr-Cyrl-CS"/>
              </w:rPr>
            </w:pPr>
            <w:r w:rsidRPr="0007074F">
              <w:rPr>
                <w:lang w:val="sr-Cyrl-CS"/>
              </w:rPr>
              <w:t>Производња моторних возила и приколица</w:t>
            </w:r>
          </w:p>
          <w:p w14:paraId="751CD383" w14:textId="77777777" w:rsidR="00907B95" w:rsidRPr="0007074F" w:rsidRDefault="00907B95" w:rsidP="002D6E55">
            <w:pPr>
              <w:spacing w:before="40" w:after="20"/>
              <w:jc w:val="center"/>
              <w:rPr>
                <w:lang w:val="sr-Cyrl-CS"/>
              </w:rPr>
            </w:pPr>
            <w:r w:rsidRPr="0007074F">
              <w:rPr>
                <w:noProof/>
              </w:rPr>
              <w:drawing>
                <wp:inline distT="0" distB="0" distL="0" distR="0" wp14:anchorId="5700453B" wp14:editId="406CC904">
                  <wp:extent cx="2880000" cy="1332000"/>
                  <wp:effectExtent l="0" t="0" r="0" b="1905"/>
                  <wp:docPr id="47" name="Chart 47">
                    <a:extLst xmlns:a="http://schemas.openxmlformats.org/drawingml/2006/main">
                      <a:ext uri="{FF2B5EF4-FFF2-40B4-BE49-F238E27FC236}">
                        <a16:creationId xmlns:a16="http://schemas.microsoft.com/office/drawing/2014/main" id="{00000000-0008-0000-1900-00002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c>
          <w:tcPr>
            <w:tcW w:w="4679" w:type="dxa"/>
          </w:tcPr>
          <w:p w14:paraId="6DEB4977" w14:textId="77777777" w:rsidR="00907B95" w:rsidRPr="0007074F" w:rsidRDefault="00907B95" w:rsidP="002D6E55">
            <w:pPr>
              <w:spacing w:before="40" w:after="20"/>
              <w:jc w:val="center"/>
              <w:rPr>
                <w:lang w:val="sr-Cyrl-CS"/>
              </w:rPr>
            </w:pPr>
            <w:r w:rsidRPr="0007074F">
              <w:rPr>
                <w:lang w:val="sr-Cyrl-CS"/>
              </w:rPr>
              <w:t>Производња кокса и деривата нафте</w:t>
            </w:r>
          </w:p>
          <w:p w14:paraId="766E4440" w14:textId="77777777" w:rsidR="00907B95" w:rsidRPr="0007074F" w:rsidRDefault="00907B95" w:rsidP="002D6E55">
            <w:pPr>
              <w:spacing w:before="40" w:after="20"/>
              <w:jc w:val="center"/>
              <w:rPr>
                <w:lang w:val="sr-Cyrl-CS"/>
              </w:rPr>
            </w:pPr>
            <w:r w:rsidRPr="0007074F">
              <w:rPr>
                <w:noProof/>
              </w:rPr>
              <w:drawing>
                <wp:inline distT="0" distB="0" distL="0" distR="0" wp14:anchorId="28687D77" wp14:editId="4BA1FDFE">
                  <wp:extent cx="2880000" cy="1332000"/>
                  <wp:effectExtent l="0" t="0" r="0" b="1905"/>
                  <wp:docPr id="17" name="Chart 17">
                    <a:extLst xmlns:a="http://schemas.openxmlformats.org/drawingml/2006/main">
                      <a:ext uri="{FF2B5EF4-FFF2-40B4-BE49-F238E27FC236}">
                        <a16:creationId xmlns:a16="http://schemas.microsoft.com/office/drawing/2014/main" id="{00000000-0008-0000-1A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907B95" w:rsidRPr="0007074F" w14:paraId="465AB3E3" w14:textId="77777777" w:rsidTr="002D6E55">
        <w:tc>
          <w:tcPr>
            <w:tcW w:w="4681" w:type="dxa"/>
          </w:tcPr>
          <w:p w14:paraId="6DA6F155" w14:textId="77777777" w:rsidR="00907B95" w:rsidRPr="0007074F" w:rsidRDefault="00907B95" w:rsidP="002D6E55">
            <w:pPr>
              <w:spacing w:before="40" w:after="20"/>
              <w:jc w:val="center"/>
              <w:rPr>
                <w:lang w:val="sr-Cyrl-CS"/>
              </w:rPr>
            </w:pPr>
            <w:r w:rsidRPr="0007074F">
              <w:rPr>
                <w:lang w:val="sr-Cyrl-CS"/>
              </w:rPr>
              <w:t>Производња електричне опреме</w:t>
            </w:r>
          </w:p>
          <w:p w14:paraId="38854596" w14:textId="77777777" w:rsidR="00907B95" w:rsidRPr="0007074F" w:rsidRDefault="00907B95" w:rsidP="002D6E55">
            <w:pPr>
              <w:spacing w:before="40" w:after="20"/>
              <w:jc w:val="center"/>
              <w:rPr>
                <w:lang w:val="sr-Cyrl-CS"/>
              </w:rPr>
            </w:pPr>
            <w:r w:rsidRPr="0007074F">
              <w:rPr>
                <w:noProof/>
              </w:rPr>
              <w:drawing>
                <wp:inline distT="0" distB="0" distL="0" distR="0" wp14:anchorId="2099E938" wp14:editId="4B94CB0E">
                  <wp:extent cx="2881465" cy="1332000"/>
                  <wp:effectExtent l="0" t="0" r="0" b="1905"/>
                  <wp:docPr id="48" name="Chart 48">
                    <a:extLst xmlns:a="http://schemas.openxmlformats.org/drawingml/2006/main">
                      <a:ext uri="{FF2B5EF4-FFF2-40B4-BE49-F238E27FC236}">
                        <a16:creationId xmlns:a16="http://schemas.microsoft.com/office/drawing/2014/main" id="{00000000-0008-0000-19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c>
          <w:tcPr>
            <w:tcW w:w="4679" w:type="dxa"/>
          </w:tcPr>
          <w:p w14:paraId="6BCB6122" w14:textId="77777777" w:rsidR="00907B95" w:rsidRPr="0007074F" w:rsidRDefault="00907B95" w:rsidP="002D6E55">
            <w:pPr>
              <w:spacing w:before="40" w:after="20"/>
              <w:jc w:val="center"/>
              <w:rPr>
                <w:lang w:val="sr-Cyrl-CS"/>
              </w:rPr>
            </w:pPr>
            <w:r w:rsidRPr="0007074F">
              <w:rPr>
                <w:lang w:val="sr-Cyrl-CS"/>
              </w:rPr>
              <w:t>Производња производа од гуме и пластике</w:t>
            </w:r>
          </w:p>
          <w:p w14:paraId="745A46CA" w14:textId="77777777" w:rsidR="00907B95" w:rsidRPr="0007074F" w:rsidRDefault="00907B95" w:rsidP="002D6E55">
            <w:pPr>
              <w:spacing w:before="40" w:after="20"/>
              <w:jc w:val="center"/>
              <w:rPr>
                <w:lang w:val="sr-Cyrl-CS"/>
              </w:rPr>
            </w:pPr>
            <w:r w:rsidRPr="0007074F">
              <w:rPr>
                <w:noProof/>
              </w:rPr>
              <w:drawing>
                <wp:inline distT="0" distB="0" distL="0" distR="0" wp14:anchorId="263EBD64" wp14:editId="4FF46EFB">
                  <wp:extent cx="2880000" cy="1332000"/>
                  <wp:effectExtent l="0" t="0" r="0" b="1905"/>
                  <wp:docPr id="42" name="Chart 42">
                    <a:extLst xmlns:a="http://schemas.openxmlformats.org/drawingml/2006/main">
                      <a:ext uri="{FF2B5EF4-FFF2-40B4-BE49-F238E27FC236}">
                        <a16:creationId xmlns:a16="http://schemas.microsoft.com/office/drawing/2014/main" id="{00000000-0008-0000-19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907B95" w:rsidRPr="0007074F" w14:paraId="696441DD" w14:textId="77777777" w:rsidTr="002D6E55">
        <w:tc>
          <w:tcPr>
            <w:tcW w:w="4681" w:type="dxa"/>
          </w:tcPr>
          <w:p w14:paraId="20B3D2B9" w14:textId="77777777" w:rsidR="00907B95" w:rsidRPr="0007074F" w:rsidRDefault="00907B95" w:rsidP="002D6E55">
            <w:pPr>
              <w:spacing w:before="40" w:after="20"/>
              <w:jc w:val="center"/>
              <w:rPr>
                <w:lang w:val="sr-Cyrl-CS"/>
              </w:rPr>
            </w:pPr>
            <w:r w:rsidRPr="0007074F">
              <w:rPr>
                <w:lang w:val="sr-Cyrl-CS"/>
              </w:rPr>
              <w:t>Производња основних метала</w:t>
            </w:r>
          </w:p>
          <w:p w14:paraId="2DA7D315" w14:textId="77777777" w:rsidR="00907B95" w:rsidRPr="0007074F" w:rsidRDefault="00907B95" w:rsidP="002D6E55">
            <w:pPr>
              <w:spacing w:before="40" w:after="20"/>
              <w:jc w:val="center"/>
              <w:rPr>
                <w:lang w:val="sr-Cyrl-CS"/>
              </w:rPr>
            </w:pPr>
            <w:r w:rsidRPr="0007074F">
              <w:rPr>
                <w:noProof/>
              </w:rPr>
              <w:drawing>
                <wp:inline distT="0" distB="0" distL="0" distR="0" wp14:anchorId="6F52823A" wp14:editId="4B5ACC40">
                  <wp:extent cx="2880000" cy="1332000"/>
                  <wp:effectExtent l="0" t="0" r="0" b="1905"/>
                  <wp:docPr id="45" name="Chart 45">
                    <a:extLst xmlns:a="http://schemas.openxmlformats.org/drawingml/2006/main">
                      <a:ext uri="{FF2B5EF4-FFF2-40B4-BE49-F238E27FC236}">
                        <a16:creationId xmlns:a16="http://schemas.microsoft.com/office/drawing/2014/main" id="{00000000-0008-0000-1900-00001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c>
          <w:tcPr>
            <w:tcW w:w="4679" w:type="dxa"/>
          </w:tcPr>
          <w:p w14:paraId="1A59983C" w14:textId="77777777" w:rsidR="00907B95" w:rsidRPr="0007074F" w:rsidRDefault="00907B95" w:rsidP="002D6E55">
            <w:pPr>
              <w:spacing w:before="40" w:after="20"/>
              <w:jc w:val="center"/>
              <w:rPr>
                <w:lang w:val="sr-Cyrl-CS"/>
              </w:rPr>
            </w:pPr>
            <w:r w:rsidRPr="0007074F">
              <w:rPr>
                <w:lang w:val="sr-Cyrl-CS"/>
              </w:rPr>
              <w:t>Производња хемикалија и хемијских производа</w:t>
            </w:r>
          </w:p>
          <w:p w14:paraId="7A31F3D6" w14:textId="77777777" w:rsidR="00907B95" w:rsidRPr="0007074F" w:rsidRDefault="00907B95" w:rsidP="002D6E55">
            <w:pPr>
              <w:spacing w:before="40" w:after="20"/>
              <w:jc w:val="center"/>
              <w:rPr>
                <w:lang w:val="sr-Cyrl-CS"/>
              </w:rPr>
            </w:pPr>
            <w:r w:rsidRPr="0007074F">
              <w:rPr>
                <w:noProof/>
              </w:rPr>
              <w:drawing>
                <wp:inline distT="0" distB="0" distL="0" distR="0" wp14:anchorId="755AA3B7" wp14:editId="314795F9">
                  <wp:extent cx="2880000" cy="1332000"/>
                  <wp:effectExtent l="0" t="0" r="0" b="1905"/>
                  <wp:docPr id="46" name="Chart 46">
                    <a:extLst xmlns:a="http://schemas.openxmlformats.org/drawingml/2006/main">
                      <a:ext uri="{FF2B5EF4-FFF2-40B4-BE49-F238E27FC236}">
                        <a16:creationId xmlns:a16="http://schemas.microsoft.com/office/drawing/2014/main" id="{00000000-0008-0000-1900-00001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14:paraId="463FB57E" w14:textId="77777777" w:rsidR="00907B95" w:rsidRPr="0007074F" w:rsidRDefault="00907B95" w:rsidP="008527D6">
      <w:pPr>
        <w:spacing w:before="20" w:after="0" w:line="240" w:lineRule="auto"/>
        <w:jc w:val="center"/>
        <w:rPr>
          <w:rFonts w:cstheme="minorHAnsi"/>
          <w:b/>
          <w:bCs/>
          <w:sz w:val="18"/>
          <w:szCs w:val="72"/>
          <w:lang w:val="sr-Cyrl-CS"/>
        </w:rPr>
      </w:pPr>
      <w:r w:rsidRPr="0007074F">
        <w:rPr>
          <w:noProof/>
          <w:color w:val="FF0000"/>
        </w:rPr>
        <w:drawing>
          <wp:inline distT="0" distB="0" distL="0" distR="0" wp14:anchorId="225139EA" wp14:editId="21279249">
            <wp:extent cx="4371429" cy="219048"/>
            <wp:effectExtent l="0" t="0" r="0" b="0"/>
            <wp:docPr id="5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1"/>
                    <a:stretch>
                      <a:fillRect/>
                    </a:stretch>
                  </pic:blipFill>
                  <pic:spPr>
                    <a:xfrm>
                      <a:off x="0" y="0"/>
                      <a:ext cx="4371429" cy="219048"/>
                    </a:xfrm>
                    <a:prstGeom prst="rect">
                      <a:avLst/>
                    </a:prstGeom>
                  </pic:spPr>
                </pic:pic>
              </a:graphicData>
            </a:graphic>
          </wp:inline>
        </w:drawing>
      </w:r>
    </w:p>
    <w:p w14:paraId="1522866E" w14:textId="77777777" w:rsidR="00907B95" w:rsidRPr="0007074F" w:rsidRDefault="00907B95" w:rsidP="002D6E55">
      <w:pPr>
        <w:spacing w:line="240" w:lineRule="auto"/>
        <w:jc w:val="left"/>
        <w:rPr>
          <w:rFonts w:cstheme="minorHAnsi"/>
          <w:b/>
          <w:bCs/>
          <w:sz w:val="14"/>
          <w:szCs w:val="72"/>
          <w:lang w:val="sr-Cyrl-CS"/>
        </w:rPr>
      </w:pPr>
      <w:r w:rsidRPr="0007074F">
        <w:rPr>
          <w:rFonts w:cstheme="minorHAnsi"/>
          <w:bCs/>
          <w:sz w:val="16"/>
          <w:szCs w:val="72"/>
          <w:lang w:val="sr-Cyrl-CS"/>
        </w:rPr>
        <w:t>Извор: Министарство финансија</w:t>
      </w:r>
    </w:p>
    <w:p w14:paraId="688BF3C3" w14:textId="77777777" w:rsidR="00907B95" w:rsidRPr="0007074F" w:rsidRDefault="00907B95" w:rsidP="002D6E55">
      <w:pPr>
        <w:rPr>
          <w:rFonts w:cstheme="minorHAnsi"/>
          <w:bCs/>
          <w:szCs w:val="72"/>
          <w:lang w:val="sr-Cyrl-CS"/>
        </w:rPr>
        <w:sectPr w:rsidR="00907B95" w:rsidRPr="0007074F" w:rsidSect="002D6E55">
          <w:type w:val="continuous"/>
          <w:pgSz w:w="12240" w:h="15840" w:code="1"/>
          <w:pgMar w:top="1440" w:right="1440" w:bottom="1440" w:left="1440" w:header="720" w:footer="720" w:gutter="0"/>
          <w:cols w:space="720"/>
          <w:docGrid w:linePitch="360"/>
        </w:sectPr>
      </w:pPr>
    </w:p>
    <w:p w14:paraId="5C137CD2" w14:textId="77777777" w:rsidR="00907B95" w:rsidRPr="0007074F" w:rsidRDefault="00907B95">
      <w:pPr>
        <w:jc w:val="left"/>
        <w:rPr>
          <w:rFonts w:cstheme="minorHAnsi"/>
          <w:bCs/>
          <w:szCs w:val="72"/>
          <w:lang w:val="sr-Cyrl-CS"/>
        </w:rPr>
      </w:pPr>
      <w:r w:rsidRPr="0007074F">
        <w:rPr>
          <w:rFonts w:cstheme="minorHAnsi"/>
          <w:bCs/>
          <w:szCs w:val="72"/>
          <w:lang w:val="sr-Cyrl-CS"/>
        </w:rPr>
        <w:br w:type="page"/>
      </w:r>
    </w:p>
    <w:p w14:paraId="72A85D3A" w14:textId="77777777" w:rsidR="00907B95" w:rsidRPr="0007074F" w:rsidRDefault="00907B95" w:rsidP="002D6E55">
      <w:pPr>
        <w:rPr>
          <w:rFonts w:cstheme="minorHAnsi"/>
          <w:bCs/>
          <w:szCs w:val="72"/>
          <w:lang w:val="sr-Cyrl-CS"/>
        </w:rPr>
      </w:pPr>
      <w:r w:rsidRPr="0007074F">
        <w:rPr>
          <w:rFonts w:cstheme="minorHAnsi"/>
          <w:bCs/>
          <w:szCs w:val="72"/>
          <w:lang w:val="sr-Cyrl-CS"/>
        </w:rPr>
        <w:lastRenderedPageBreak/>
        <w:t>Услужни сектор наставља да расте уз забележена дивергентна кретања појединих делатности. Спорији раст реалног расположивог дохотка одразио се на успоравање овог сектора, али са постепеним попуштањем инфлаторних притисака очекује се и постепено убрзање активности.</w:t>
      </w:r>
    </w:p>
    <w:p w14:paraId="400D6B36" w14:textId="77777777" w:rsidR="00907B95" w:rsidRPr="0007074F" w:rsidRDefault="00907B95" w:rsidP="002D6E55">
      <w:pPr>
        <w:rPr>
          <w:rFonts w:cstheme="minorHAnsi"/>
          <w:bCs/>
          <w:szCs w:val="72"/>
          <w:lang w:val="sr-Cyrl-CS"/>
        </w:rPr>
      </w:pPr>
      <w:r w:rsidRPr="0007074F">
        <w:rPr>
          <w:rFonts w:cstheme="minorHAnsi"/>
          <w:bCs/>
          <w:szCs w:val="72"/>
          <w:lang w:val="sr-Cyrl-CS"/>
        </w:rPr>
        <w:t>У прва три месеца настављена су добра кретања туристичког промета, при чему је број долазака и ноћења туриста међугодишње увећан за 18,8% и 16,0%, респективно, праћен растом активности домаћих и страних туриста. У претходном периоду значајно је повећан и девизни прилив од туризма, који је у прва два месеца 2023. године био међугодишње већи за 58,9%. Поред тога, снажан раст промета у угоститељству забележен је у протекле две године уз наставак сличних кретања почетком 2023. године, при чему је у прва два месеца реално већи за 32,5% мг.</w:t>
      </w:r>
    </w:p>
    <w:p w14:paraId="5DD6DB3F" w14:textId="77777777" w:rsidR="00907B95" w:rsidRPr="0007074F" w:rsidRDefault="00907B95" w:rsidP="002D6E55">
      <w:pPr>
        <w:rPr>
          <w:rFonts w:cstheme="minorHAnsi"/>
          <w:bCs/>
          <w:szCs w:val="72"/>
          <w:lang w:val="sr-Cyrl-CS"/>
        </w:rPr>
      </w:pPr>
      <w:r w:rsidRPr="0007074F">
        <w:rPr>
          <w:rFonts w:cstheme="minorHAnsi"/>
          <w:bCs/>
          <w:szCs w:val="72"/>
          <w:lang w:val="sr-Cyrl-CS"/>
        </w:rPr>
        <w:t xml:space="preserve">Сектор информационо комуникационих технологија континуирано расте уз све значајнију улогу овог сектора. Учешће у БДП се након рекордних 5,4% током пандемијске 2020. године стабилизовало на 5,1% током 2021. и 2022. Уједно је у последње три године остварен реални кумулативни раст БДВ овог сектора од скоро 22%. Ово је праћено и повећањем извозне активности, поготову у претходне две године, при чему је извоз ИКТ сектора у 2022. готово дуплиран у </w:t>
      </w:r>
      <w:r w:rsidRPr="0007074F">
        <w:rPr>
          <w:rFonts w:cstheme="minorHAnsi"/>
          <w:bCs/>
          <w:szCs w:val="72"/>
          <w:lang w:val="sr-Cyrl-CS"/>
        </w:rPr>
        <w:t>односу на 2020. годину достигавши ниво од 2,7 млрд евра. Слична динамика забележена је у прва два месеца 2023. године, уз раст извозне активности од 44,0% мг.</w:t>
      </w:r>
    </w:p>
    <w:p w14:paraId="16A5D78E" w14:textId="77777777" w:rsidR="00907B95" w:rsidRPr="0007074F" w:rsidRDefault="00907B95" w:rsidP="002D6E55">
      <w:pPr>
        <w:rPr>
          <w:rFonts w:cstheme="minorHAnsi"/>
          <w:bCs/>
          <w:szCs w:val="72"/>
          <w:lang w:val="sr-Cyrl-CS"/>
        </w:rPr>
      </w:pPr>
      <w:r w:rsidRPr="0007074F">
        <w:rPr>
          <w:rFonts w:cstheme="minorHAnsi"/>
          <w:bCs/>
          <w:szCs w:val="72"/>
          <w:lang w:val="sr-Cyrl-CS"/>
        </w:rPr>
        <w:t>Извоз транспортних услуга је достигао ниво од 2 млрд евра у 2022. години, уз наставак раста почетком 2023. године. У прва два месеца извоз је износио 347,7 милиона евра и увећан је за 59,2% у односу на исти период претходне године. Раст извоза транспортних услуга резултат је већих прилива по основу услуга транспорта робе и путника, а у мањем износу и осталих транспортних услуга.</w:t>
      </w:r>
    </w:p>
    <w:p w14:paraId="734B29FD" w14:textId="77777777" w:rsidR="00907B95" w:rsidRPr="0007074F" w:rsidRDefault="00907B95" w:rsidP="002D6E55">
      <w:pPr>
        <w:rPr>
          <w:lang w:val="sr-Cyrl-CS"/>
        </w:rPr>
      </w:pPr>
      <w:r w:rsidRPr="0007074F">
        <w:rPr>
          <w:rFonts w:cstheme="minorHAnsi"/>
          <w:bCs/>
          <w:szCs w:val="72"/>
          <w:lang w:val="sr-Cyrl-CS"/>
        </w:rPr>
        <w:t>У прва три месеца 2023. године малопродајни промет је забележио раст од 11,3% мг. у текућим ценама, док је у сталним ценама остварен пад од 4,1% мг. Све три категорије производа у реалном износу бележе међугодишњи пад промета, и то прехрамбених и непрехрамбених производа за по 4,8%, а моторних горива за 1,9%. Ово је последица вишег нивоа цена, али и високе базе из истог периода претходне године услед импулсивне куповине становништва по самом избијању сукоба у Украјини. Међутим, у наредном периоду, са попуштањем инфлације и растом реалног расположивог дохотка, очекује се нешто повољнија ситуација и постепено убрзање активности у реалним износима.</w:t>
      </w:r>
    </w:p>
    <w:p w14:paraId="2596D316" w14:textId="77777777" w:rsidR="00907B95" w:rsidRPr="0007074F" w:rsidRDefault="00907B95" w:rsidP="008527D6">
      <w:pPr>
        <w:spacing w:before="240"/>
        <w:jc w:val="center"/>
        <w:rPr>
          <w:rFonts w:cstheme="minorHAnsi"/>
          <w:b/>
          <w:color w:val="FF0000"/>
          <w:lang w:val="sr-Cyrl-CS"/>
        </w:rPr>
        <w:sectPr w:rsidR="00907B95" w:rsidRPr="0007074F" w:rsidSect="002D6E55">
          <w:type w:val="continuous"/>
          <w:pgSz w:w="12240" w:h="15840" w:code="1"/>
          <w:pgMar w:top="1440" w:right="1440" w:bottom="1440" w:left="1440" w:header="720" w:footer="720" w:gutter="0"/>
          <w:cols w:num="2" w:space="720"/>
          <w:docGrid w:linePitch="360"/>
        </w:sectPr>
      </w:pPr>
    </w:p>
    <w:p w14:paraId="262CB65B" w14:textId="77777777" w:rsidR="00907B95" w:rsidRPr="0007074F" w:rsidRDefault="00907B95">
      <w:pPr>
        <w:jc w:val="left"/>
        <w:rPr>
          <w:rFonts w:cstheme="minorHAnsi"/>
          <w:b/>
          <w:color w:val="002060"/>
          <w:lang w:val="sr-Cyrl-CS"/>
        </w:rPr>
      </w:pPr>
      <w:r w:rsidRPr="0007074F">
        <w:rPr>
          <w:rFonts w:cstheme="minorHAnsi"/>
          <w:b/>
          <w:color w:val="002060"/>
          <w:lang w:val="sr-Cyrl-CS"/>
        </w:rPr>
        <w:br w:type="page"/>
      </w:r>
    </w:p>
    <w:p w14:paraId="1C5C7FDA" w14:textId="77777777" w:rsidR="00907B95" w:rsidRPr="0007074F" w:rsidRDefault="00907B95" w:rsidP="008527D6">
      <w:pPr>
        <w:spacing w:before="240"/>
        <w:jc w:val="center"/>
        <w:rPr>
          <w:rFonts w:cstheme="minorHAnsi"/>
          <w:b/>
          <w:color w:val="002060"/>
          <w:lang w:val="sr-Cyrl-CS"/>
        </w:rPr>
      </w:pPr>
      <w:r w:rsidRPr="0007074F">
        <w:rPr>
          <w:rFonts w:cstheme="minorHAnsi"/>
          <w:b/>
          <w:color w:val="002060"/>
          <w:lang w:val="sr-Cyrl-CS"/>
        </w:rPr>
        <w:lastRenderedPageBreak/>
        <w:t>Високофреквентни индикатори најзначајнијих услужних делатности, 2022=100</w:t>
      </w:r>
    </w:p>
    <w:tbl>
      <w:tblPr>
        <w:tblStyle w:val="TableGrid6"/>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907B95" w:rsidRPr="0007074F" w14:paraId="5FF410F2" w14:textId="77777777" w:rsidTr="002D6E55">
        <w:tc>
          <w:tcPr>
            <w:tcW w:w="4680" w:type="dxa"/>
          </w:tcPr>
          <w:p w14:paraId="23A189EA" w14:textId="77777777" w:rsidR="00907B95" w:rsidRPr="0007074F" w:rsidRDefault="00907B95" w:rsidP="002D6E55">
            <w:pPr>
              <w:jc w:val="center"/>
              <w:rPr>
                <w:lang w:val="sr-Cyrl-CS"/>
              </w:rPr>
            </w:pPr>
            <w:r w:rsidRPr="0007074F">
              <w:rPr>
                <w:lang w:val="sr-Cyrl-CS"/>
              </w:rPr>
              <w:t>Извоз услужних делатности</w:t>
            </w:r>
          </w:p>
          <w:p w14:paraId="0734A6EF" w14:textId="77777777" w:rsidR="00907B95" w:rsidRPr="0007074F" w:rsidRDefault="00907B95" w:rsidP="002D6E55">
            <w:pPr>
              <w:jc w:val="center"/>
              <w:rPr>
                <w:lang w:val="sr-Cyrl-CS"/>
              </w:rPr>
            </w:pPr>
          </w:p>
          <w:p w14:paraId="09F4D8E6" w14:textId="77777777" w:rsidR="00907B95" w:rsidRPr="0007074F" w:rsidRDefault="00907B95" w:rsidP="002D6E55">
            <w:pPr>
              <w:jc w:val="center"/>
              <w:rPr>
                <w:lang w:val="sr-Cyrl-CS"/>
              </w:rPr>
            </w:pPr>
            <w:r w:rsidRPr="0007074F">
              <w:rPr>
                <w:noProof/>
              </w:rPr>
              <w:drawing>
                <wp:inline distT="0" distB="0" distL="0" distR="0" wp14:anchorId="0623D0EA" wp14:editId="2712650B">
                  <wp:extent cx="2886569" cy="1332000"/>
                  <wp:effectExtent l="0" t="0" r="0" b="1905"/>
                  <wp:docPr id="56" name="Chart 56">
                    <a:extLst xmlns:a="http://schemas.openxmlformats.org/drawingml/2006/main">
                      <a:ext uri="{FF2B5EF4-FFF2-40B4-BE49-F238E27FC236}">
                        <a16:creationId xmlns:a16="http://schemas.microsoft.com/office/drawing/2014/main" id="{00000000-0008-0000-1B00-00001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c>
          <w:tcPr>
            <w:tcW w:w="4680" w:type="dxa"/>
          </w:tcPr>
          <w:p w14:paraId="11319A44" w14:textId="77777777" w:rsidR="00907B95" w:rsidRPr="0007074F" w:rsidRDefault="00907B95" w:rsidP="002D6E55">
            <w:pPr>
              <w:jc w:val="center"/>
              <w:rPr>
                <w:lang w:val="sr-Cyrl-CS"/>
              </w:rPr>
            </w:pPr>
            <w:r w:rsidRPr="0007074F">
              <w:rPr>
                <w:lang w:val="sr-Cyrl-CS"/>
              </w:rPr>
              <w:t>Извоз услуга телекомуникација, компјутерских и информацијских услуга</w:t>
            </w:r>
          </w:p>
          <w:p w14:paraId="36F7EAB6" w14:textId="77777777" w:rsidR="00907B95" w:rsidRPr="0007074F" w:rsidRDefault="00907B95" w:rsidP="002D6E55">
            <w:pPr>
              <w:jc w:val="center"/>
              <w:rPr>
                <w:lang w:val="sr-Cyrl-CS"/>
              </w:rPr>
            </w:pPr>
            <w:r w:rsidRPr="0007074F">
              <w:rPr>
                <w:noProof/>
              </w:rPr>
              <w:drawing>
                <wp:inline distT="0" distB="0" distL="0" distR="0" wp14:anchorId="07BB2E24" wp14:editId="32E5D812">
                  <wp:extent cx="2885255" cy="1332000"/>
                  <wp:effectExtent l="0" t="0" r="0" b="1905"/>
                  <wp:docPr id="55" name="Chart 55">
                    <a:extLst xmlns:a="http://schemas.openxmlformats.org/drawingml/2006/main">
                      <a:ext uri="{FF2B5EF4-FFF2-40B4-BE49-F238E27FC236}">
                        <a16:creationId xmlns:a16="http://schemas.microsoft.com/office/drawing/2014/main" id="{00000000-0008-0000-1B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r w:rsidR="00907B95" w:rsidRPr="0007074F" w14:paraId="1227FD10" w14:textId="77777777" w:rsidTr="002D6E55">
        <w:tc>
          <w:tcPr>
            <w:tcW w:w="4680" w:type="dxa"/>
          </w:tcPr>
          <w:p w14:paraId="313B0309" w14:textId="77777777" w:rsidR="00907B95" w:rsidRPr="0007074F" w:rsidRDefault="00907B95" w:rsidP="002D6E55">
            <w:pPr>
              <w:spacing w:before="60"/>
              <w:jc w:val="center"/>
              <w:rPr>
                <w:lang w:val="sr-Cyrl-CS"/>
              </w:rPr>
            </w:pPr>
            <w:r w:rsidRPr="0007074F">
              <w:rPr>
                <w:lang w:val="sr-Cyrl-CS"/>
              </w:rPr>
              <w:t>Извоз транспортних услуга</w:t>
            </w:r>
          </w:p>
          <w:p w14:paraId="3FF0320F" w14:textId="77777777" w:rsidR="00907B95" w:rsidRPr="0007074F" w:rsidRDefault="00907B95" w:rsidP="002D6E55">
            <w:pPr>
              <w:spacing w:before="60"/>
              <w:jc w:val="center"/>
              <w:rPr>
                <w:lang w:val="sr-Cyrl-CS"/>
              </w:rPr>
            </w:pPr>
            <w:r w:rsidRPr="0007074F">
              <w:rPr>
                <w:noProof/>
              </w:rPr>
              <w:drawing>
                <wp:inline distT="0" distB="0" distL="0" distR="0" wp14:anchorId="369EFED6" wp14:editId="0CA3187C">
                  <wp:extent cx="2885255" cy="1332000"/>
                  <wp:effectExtent l="0" t="0" r="0" b="1905"/>
                  <wp:docPr id="53" name="Chart 53">
                    <a:extLst xmlns:a="http://schemas.openxmlformats.org/drawingml/2006/main">
                      <a:ext uri="{FF2B5EF4-FFF2-40B4-BE49-F238E27FC236}">
                        <a16:creationId xmlns:a16="http://schemas.microsoft.com/office/drawing/2014/main" id="{00000000-0008-0000-1B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c>
          <w:tcPr>
            <w:tcW w:w="4680" w:type="dxa"/>
          </w:tcPr>
          <w:p w14:paraId="7CBD2F5B" w14:textId="77777777" w:rsidR="00907B95" w:rsidRPr="0007074F" w:rsidRDefault="00907B95" w:rsidP="002D6E55">
            <w:pPr>
              <w:spacing w:before="60"/>
              <w:jc w:val="center"/>
              <w:rPr>
                <w:lang w:val="sr-Cyrl-CS"/>
              </w:rPr>
            </w:pPr>
            <w:r w:rsidRPr="0007074F">
              <w:rPr>
                <w:lang w:val="sr-Cyrl-CS"/>
              </w:rPr>
              <w:t>Извоз туристичких услуга</w:t>
            </w:r>
          </w:p>
          <w:p w14:paraId="00CEA1F6" w14:textId="77777777" w:rsidR="00907B95" w:rsidRPr="0007074F" w:rsidRDefault="00907B95" w:rsidP="002D6E55">
            <w:pPr>
              <w:spacing w:before="60"/>
              <w:jc w:val="center"/>
              <w:rPr>
                <w:lang w:val="sr-Cyrl-CS"/>
              </w:rPr>
            </w:pPr>
            <w:r w:rsidRPr="0007074F">
              <w:rPr>
                <w:noProof/>
              </w:rPr>
              <w:drawing>
                <wp:inline distT="0" distB="0" distL="0" distR="0" wp14:anchorId="67EEFE1F" wp14:editId="5697EA7D">
                  <wp:extent cx="2885255" cy="1332000"/>
                  <wp:effectExtent l="0" t="0" r="0" b="1905"/>
                  <wp:docPr id="54" name="Chart 54">
                    <a:extLst xmlns:a="http://schemas.openxmlformats.org/drawingml/2006/main">
                      <a:ext uri="{FF2B5EF4-FFF2-40B4-BE49-F238E27FC236}">
                        <a16:creationId xmlns:a16="http://schemas.microsoft.com/office/drawing/2014/main" id="{00000000-0008-0000-1B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907B95" w:rsidRPr="0007074F" w14:paraId="3831821F" w14:textId="77777777" w:rsidTr="002D6E55">
        <w:tc>
          <w:tcPr>
            <w:tcW w:w="4680" w:type="dxa"/>
          </w:tcPr>
          <w:p w14:paraId="2324061D" w14:textId="77777777" w:rsidR="00907B95" w:rsidRPr="0007074F" w:rsidRDefault="00907B95" w:rsidP="002D6E55">
            <w:pPr>
              <w:spacing w:before="60"/>
              <w:jc w:val="center"/>
              <w:rPr>
                <w:lang w:val="sr-Cyrl-CS"/>
              </w:rPr>
            </w:pPr>
            <w:r w:rsidRPr="0007074F">
              <w:rPr>
                <w:lang w:val="sr-Cyrl-CS"/>
              </w:rPr>
              <w:t>Ноћења туриста</w:t>
            </w:r>
          </w:p>
          <w:p w14:paraId="380B4776" w14:textId="77777777" w:rsidR="00907B95" w:rsidRPr="0007074F" w:rsidRDefault="00907B95" w:rsidP="002D6E55">
            <w:pPr>
              <w:spacing w:before="60"/>
              <w:jc w:val="center"/>
              <w:rPr>
                <w:lang w:val="sr-Cyrl-CS"/>
              </w:rPr>
            </w:pPr>
            <w:r w:rsidRPr="0007074F">
              <w:rPr>
                <w:noProof/>
              </w:rPr>
              <w:drawing>
                <wp:inline distT="0" distB="0" distL="0" distR="0" wp14:anchorId="1D0BA796" wp14:editId="6328E7BA">
                  <wp:extent cx="2880000" cy="1332000"/>
                  <wp:effectExtent l="0" t="0" r="0" b="1905"/>
                  <wp:docPr id="50" name="Chart 50">
                    <a:extLst xmlns:a="http://schemas.openxmlformats.org/drawingml/2006/main">
                      <a:ext uri="{FF2B5EF4-FFF2-40B4-BE49-F238E27FC236}">
                        <a16:creationId xmlns:a16="http://schemas.microsoft.com/office/drawing/2014/main" id="{00000000-0008-0000-1A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c>
          <w:tcPr>
            <w:tcW w:w="4680" w:type="dxa"/>
          </w:tcPr>
          <w:p w14:paraId="23C14F8D" w14:textId="77777777" w:rsidR="00907B95" w:rsidRPr="0007074F" w:rsidRDefault="00907B95" w:rsidP="002D6E55">
            <w:pPr>
              <w:jc w:val="center"/>
              <w:rPr>
                <w:lang w:val="sr-Cyrl-CS"/>
              </w:rPr>
            </w:pPr>
            <w:r w:rsidRPr="0007074F">
              <w:rPr>
                <w:lang w:val="sr-Cyrl-CS"/>
              </w:rPr>
              <w:t>Промет у трговини на мало у сталним ценама</w:t>
            </w:r>
          </w:p>
          <w:p w14:paraId="4A158F91" w14:textId="77777777" w:rsidR="00907B95" w:rsidRPr="0007074F" w:rsidRDefault="00907B95" w:rsidP="002D6E55">
            <w:pPr>
              <w:jc w:val="center"/>
              <w:rPr>
                <w:lang w:val="sr-Cyrl-CS"/>
              </w:rPr>
            </w:pPr>
            <w:r w:rsidRPr="0007074F">
              <w:rPr>
                <w:noProof/>
              </w:rPr>
              <w:drawing>
                <wp:inline distT="0" distB="0" distL="0" distR="0" wp14:anchorId="334EBA4A" wp14:editId="6E4D7C0D">
                  <wp:extent cx="2881504" cy="1332000"/>
                  <wp:effectExtent l="0" t="0" r="0" b="1905"/>
                  <wp:docPr id="49" name="Chart 49">
                    <a:extLst xmlns:a="http://schemas.openxmlformats.org/drawingml/2006/main">
                      <a:ext uri="{FF2B5EF4-FFF2-40B4-BE49-F238E27FC236}">
                        <a16:creationId xmlns:a16="http://schemas.microsoft.com/office/drawing/2014/main" id="{00000000-0008-0000-1A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bl>
    <w:p w14:paraId="5E59ADEF" w14:textId="77777777" w:rsidR="00907B95" w:rsidRPr="0007074F" w:rsidRDefault="00907B95" w:rsidP="008527D6">
      <w:pPr>
        <w:spacing w:before="120" w:after="0"/>
        <w:jc w:val="center"/>
        <w:rPr>
          <w:rFonts w:cstheme="minorHAnsi"/>
          <w:b/>
          <w:lang w:val="sr-Cyrl-CS"/>
        </w:rPr>
      </w:pPr>
      <w:r w:rsidRPr="0007074F">
        <w:rPr>
          <w:noProof/>
          <w:color w:val="FF0000"/>
        </w:rPr>
        <w:drawing>
          <wp:inline distT="0" distB="0" distL="0" distR="0" wp14:anchorId="2D9CF064" wp14:editId="78BEF4EE">
            <wp:extent cx="4371429" cy="219048"/>
            <wp:effectExtent l="0" t="0" r="0" b="0"/>
            <wp:docPr id="2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61"/>
                    <a:stretch>
                      <a:fillRect/>
                    </a:stretch>
                  </pic:blipFill>
                  <pic:spPr>
                    <a:xfrm>
                      <a:off x="0" y="0"/>
                      <a:ext cx="4371429" cy="219048"/>
                    </a:xfrm>
                    <a:prstGeom prst="rect">
                      <a:avLst/>
                    </a:prstGeom>
                  </pic:spPr>
                </pic:pic>
              </a:graphicData>
            </a:graphic>
          </wp:inline>
        </w:drawing>
      </w:r>
    </w:p>
    <w:p w14:paraId="31729F63" w14:textId="77777777" w:rsidR="00907B95" w:rsidRPr="0007074F" w:rsidRDefault="00907B95" w:rsidP="002D6E55">
      <w:pPr>
        <w:spacing w:after="0"/>
        <w:jc w:val="left"/>
        <w:rPr>
          <w:rFonts w:cstheme="minorHAnsi"/>
          <w:bCs/>
          <w:sz w:val="16"/>
          <w:szCs w:val="72"/>
          <w:lang w:val="sr-Cyrl-CS"/>
        </w:rPr>
      </w:pPr>
      <w:r w:rsidRPr="0007074F">
        <w:rPr>
          <w:rFonts w:cstheme="minorHAnsi"/>
          <w:bCs/>
          <w:sz w:val="16"/>
          <w:szCs w:val="72"/>
          <w:lang w:val="sr-Cyrl-CS"/>
        </w:rPr>
        <w:t>Извор: Министарство финансија</w:t>
      </w:r>
    </w:p>
    <w:p w14:paraId="15597295" w14:textId="77777777" w:rsidR="00907B95" w:rsidRPr="0007074F" w:rsidRDefault="00907B95" w:rsidP="002D6E55">
      <w:pPr>
        <w:tabs>
          <w:tab w:val="left" w:pos="720"/>
          <w:tab w:val="left" w:pos="1440"/>
        </w:tabs>
        <w:spacing w:after="0"/>
        <w:rPr>
          <w:rFonts w:cstheme="minorHAnsi"/>
          <w:bCs/>
          <w:sz w:val="12"/>
          <w:szCs w:val="12"/>
          <w:lang w:val="sr-Cyrl-CS"/>
        </w:rPr>
      </w:pPr>
    </w:p>
    <w:p w14:paraId="238D7AE6" w14:textId="77777777" w:rsidR="00907B95" w:rsidRPr="0007074F" w:rsidRDefault="00907B95" w:rsidP="002D6E55">
      <w:pPr>
        <w:tabs>
          <w:tab w:val="left" w:pos="720"/>
          <w:tab w:val="left" w:pos="1440"/>
        </w:tabs>
        <w:spacing w:after="0"/>
        <w:rPr>
          <w:rFonts w:cstheme="minorHAnsi"/>
          <w:bCs/>
          <w:sz w:val="12"/>
          <w:szCs w:val="12"/>
          <w:lang w:val="sr-Cyrl-CS"/>
        </w:rPr>
        <w:sectPr w:rsidR="00907B95" w:rsidRPr="0007074F" w:rsidSect="002D6E55">
          <w:type w:val="continuous"/>
          <w:pgSz w:w="12240" w:h="15840" w:code="1"/>
          <w:pgMar w:top="1440" w:right="1440" w:bottom="1440" w:left="1440" w:header="720" w:footer="720" w:gutter="0"/>
          <w:cols w:space="720"/>
          <w:docGrid w:linePitch="360"/>
        </w:sectPr>
      </w:pPr>
    </w:p>
    <w:p w14:paraId="05B088F3" w14:textId="77777777" w:rsidR="00907B95" w:rsidRPr="0007074F" w:rsidRDefault="00907B95" w:rsidP="002D6E55">
      <w:pPr>
        <w:tabs>
          <w:tab w:val="left" w:pos="720"/>
          <w:tab w:val="left" w:pos="1440"/>
        </w:tabs>
        <w:rPr>
          <w:rFonts w:cstheme="minorHAnsi"/>
          <w:bCs/>
          <w:szCs w:val="72"/>
          <w:lang w:val="sr-Cyrl-CS"/>
        </w:rPr>
      </w:pPr>
      <w:r w:rsidRPr="0007074F">
        <w:rPr>
          <w:rFonts w:cstheme="minorHAnsi"/>
          <w:bCs/>
          <w:szCs w:val="72"/>
          <w:lang w:val="sr-Cyrl-CS"/>
        </w:rPr>
        <w:t>Упркос нешто мањем расту у првом кварталу 2023. године у односу на очекивања, Министарство финансија за сада остаје при процени годишњег раста БДП у 2023. години од 2,5%, будући је индустрија забележила солидну динамику, а очекује се и да попуштање инфлације доведе до убрзања реалног раста, нарочито у другој половини године. Даља ескалација сукоба у Украјини и додатно заоштравање глобалних политичких и економских односа, уз евентуалну неопходност још веће рестриктивности монетарне политике, могли би да се одразе да очекивани привредни раст у 2023. години буде и мањи од тренутне процене, те матрицу ризика оцењујемо као благо асиметричну наниже.</w:t>
      </w:r>
    </w:p>
    <w:p w14:paraId="60827903" w14:textId="77777777" w:rsidR="00907B95" w:rsidRPr="0007074F" w:rsidRDefault="00907B95" w:rsidP="002D6E55">
      <w:pPr>
        <w:tabs>
          <w:tab w:val="left" w:pos="720"/>
          <w:tab w:val="left" w:pos="1440"/>
        </w:tabs>
        <w:spacing w:after="0"/>
        <w:jc w:val="center"/>
        <w:rPr>
          <w:rFonts w:cstheme="minorHAnsi"/>
          <w:b/>
          <w:color w:val="002060"/>
          <w:spacing w:val="-4"/>
          <w:lang w:val="sr-Cyrl-CS"/>
        </w:rPr>
      </w:pPr>
      <w:r w:rsidRPr="0007074F">
        <w:rPr>
          <w:rFonts w:cstheme="minorHAnsi"/>
          <w:b/>
          <w:color w:val="002060"/>
          <w:spacing w:val="-4"/>
          <w:lang w:val="sr-Cyrl-CS"/>
        </w:rPr>
        <w:t>Квартална динамика раста потребна за достизање годишње пројекције раста БДП од 2,5%</w:t>
      </w:r>
    </w:p>
    <w:p w14:paraId="086964C6" w14:textId="77777777" w:rsidR="00907B95" w:rsidRPr="0007074F" w:rsidRDefault="00907B95" w:rsidP="002D6E55">
      <w:pPr>
        <w:tabs>
          <w:tab w:val="left" w:pos="720"/>
          <w:tab w:val="left" w:pos="1440"/>
        </w:tabs>
        <w:spacing w:after="0"/>
        <w:rPr>
          <w:rFonts w:cstheme="minorHAnsi"/>
          <w:bCs/>
          <w:szCs w:val="72"/>
          <w:lang w:val="sr-Cyrl-CS"/>
        </w:rPr>
      </w:pPr>
      <w:r w:rsidRPr="0007074F">
        <w:rPr>
          <w:noProof/>
        </w:rPr>
        <w:drawing>
          <wp:inline distT="0" distB="0" distL="0" distR="0" wp14:anchorId="50C74F0A" wp14:editId="01F6456B">
            <wp:extent cx="2743200" cy="2018995"/>
            <wp:effectExtent l="0" t="0" r="0" b="635"/>
            <wp:docPr id="4" name="Chart 4">
              <a:extLst xmlns:a="http://schemas.openxmlformats.org/drawingml/2006/main">
                <a:ext uri="{FF2B5EF4-FFF2-40B4-BE49-F238E27FC236}">
                  <a16:creationId xmlns:a16="http://schemas.microsoft.com/office/drawing/2014/main" id="{00000000-0008-0000-0B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4E4BBCFF" w14:textId="77777777" w:rsidR="00907B95" w:rsidRPr="0007074F" w:rsidRDefault="00907B95" w:rsidP="002D6E55">
      <w:pPr>
        <w:tabs>
          <w:tab w:val="left" w:pos="720"/>
          <w:tab w:val="left" w:pos="1440"/>
        </w:tabs>
        <w:spacing w:after="0"/>
        <w:rPr>
          <w:rFonts w:cstheme="minorHAnsi"/>
          <w:bCs/>
          <w:sz w:val="16"/>
          <w:szCs w:val="16"/>
          <w:lang w:val="sr-Cyrl-CS"/>
        </w:rPr>
      </w:pPr>
      <w:r w:rsidRPr="0007074F">
        <w:rPr>
          <w:rFonts w:cstheme="minorHAnsi"/>
          <w:bCs/>
          <w:sz w:val="16"/>
          <w:szCs w:val="16"/>
          <w:lang w:val="sr-Cyrl-CS"/>
        </w:rPr>
        <w:t>Извор: РЗС</w:t>
      </w:r>
    </w:p>
    <w:p w14:paraId="4A9E5DE6" w14:textId="77777777" w:rsidR="00907B95" w:rsidRPr="0007074F" w:rsidRDefault="00907B95" w:rsidP="002D6E55">
      <w:pPr>
        <w:tabs>
          <w:tab w:val="left" w:pos="720"/>
          <w:tab w:val="left" w:pos="1440"/>
        </w:tabs>
        <w:spacing w:after="0"/>
        <w:rPr>
          <w:rFonts w:cstheme="minorHAnsi"/>
          <w:bCs/>
          <w:sz w:val="16"/>
          <w:szCs w:val="16"/>
          <w:lang w:val="sr-Cyrl-CS"/>
        </w:rPr>
      </w:pPr>
      <w:r w:rsidRPr="0007074F">
        <w:rPr>
          <w:rFonts w:cstheme="minorHAnsi"/>
          <w:bCs/>
          <w:sz w:val="16"/>
          <w:szCs w:val="16"/>
          <w:lang w:val="sr-Cyrl-CS"/>
        </w:rPr>
        <w:t>*Процене Министарства финансија</w:t>
      </w:r>
    </w:p>
    <w:p w14:paraId="38852389" w14:textId="77777777" w:rsidR="00907B95" w:rsidRPr="0007074F" w:rsidRDefault="00907B95" w:rsidP="008527D6">
      <w:pPr>
        <w:tabs>
          <w:tab w:val="left" w:pos="720"/>
          <w:tab w:val="left" w:pos="1440"/>
        </w:tabs>
        <w:rPr>
          <w:rFonts w:cstheme="minorHAnsi"/>
          <w:bCs/>
          <w:szCs w:val="72"/>
          <w:lang w:val="sr-Cyrl-CS"/>
        </w:rPr>
      </w:pPr>
      <w:r w:rsidRPr="0007074F">
        <w:rPr>
          <w:rFonts w:cstheme="minorHAnsi"/>
          <w:bCs/>
          <w:szCs w:val="72"/>
          <w:lang w:val="sr-Cyrl-CS"/>
        </w:rPr>
        <w:lastRenderedPageBreak/>
        <w:t>Посматрано по агрегатима употребе, економски раст ће у 2023. години бити вођен домаћом тражњом, уз благи позитиван допринос нето извоза. Повољна кретања на тржишту рада праћена растом запослености и реалних плата уз стабилан раст пензија, одразиће се на раст приватне потрошње од 2,2%, док ће допринос државне потрошње бити благо негативан. Геополитичке тензије и аверзија инвеститора према ризику, уз заоштравање монетарне политике водећих централних банака и даље се одражавају на инвестициону активност. Динамика инвестиционе активности биће опредељена приватним инвестицијама и даљим повећањем производних капацитета привреде, пре свега у секторима који производе разменљива добра и подржана наставком раста јавних инвестиција. Активирање нових извозно оријентисаних капацитета, уз постепени опоравак спољне тражње, резултираће стабилним растом извоза од 5,1%, док се код увоза очекује спорији раст од 3,8% делом и због високе базе, услед високог увоза енергената током претходне године.</w:t>
      </w:r>
    </w:p>
    <w:p w14:paraId="66B11695" w14:textId="77777777" w:rsidR="00907B95" w:rsidRPr="0007074F" w:rsidRDefault="00907B95" w:rsidP="002D6E55">
      <w:pPr>
        <w:rPr>
          <w:rFonts w:cstheme="minorHAnsi"/>
          <w:bCs/>
          <w:szCs w:val="72"/>
          <w:lang w:val="sr-Cyrl-CS"/>
        </w:rPr>
      </w:pPr>
      <w:r w:rsidRPr="0007074F">
        <w:rPr>
          <w:rFonts w:cstheme="minorHAnsi"/>
          <w:bCs/>
          <w:szCs w:val="72"/>
          <w:lang w:val="sr-Cyrl-CS"/>
        </w:rPr>
        <w:t>Посматрано са производне стране, повећање креиране БДВ очекује се код свих привредних сектора. Услужни сектор ће у 2023. години имати улогу доминантног носиоца раста економске активности. Раст би требало да буде диверсификован и остварен у већини услужних делатности, а посебно снажан у ИКТ сектору, туризму и угоститељству и саобраћају. Укупна индустрија ће наставити са растом и током 2023. године и забележити повећање од 2,2%, пре свега услед активирања нових производних капацитета, али и стабилизоване производње електричне енергије. Процењује се да ће раст забележити и грађевинарство, делом и због мањег обима активности у 2022. години. За сектор пољопривреде, услед изузетно лоших временских прилика у 2022. години и ниске базе, а под претпоставком просечних агрометеоролошких услова уз задржавање тренда повећања продуктивности, пројектован је раст од 6,9% у 2023. години.</w:t>
      </w:r>
    </w:p>
    <w:p w14:paraId="32BC4DD6" w14:textId="77777777" w:rsidR="00907B95" w:rsidRPr="0007074F" w:rsidRDefault="00907B95" w:rsidP="00254447">
      <w:pPr>
        <w:spacing w:after="40"/>
        <w:jc w:val="center"/>
        <w:rPr>
          <w:rFonts w:ascii="Calibri" w:eastAsia="Calibri" w:hAnsi="Calibri" w:cs="Calibri"/>
          <w:b/>
          <w:color w:val="002060"/>
          <w:lang w:val="sr-Cyrl-CS"/>
        </w:rPr>
        <w:sectPr w:rsidR="00907B95" w:rsidRPr="0007074F" w:rsidSect="002D6E55">
          <w:type w:val="continuous"/>
          <w:pgSz w:w="12240" w:h="15840" w:code="1"/>
          <w:pgMar w:top="1440" w:right="1440" w:bottom="1440" w:left="1440" w:header="720" w:footer="720" w:gutter="0"/>
          <w:cols w:num="2" w:space="720"/>
          <w:docGrid w:linePitch="360"/>
        </w:sectPr>
      </w:pPr>
    </w:p>
    <w:p w14:paraId="7D02E04F" w14:textId="77777777" w:rsidR="00907B95" w:rsidRPr="0007074F" w:rsidRDefault="00907B95" w:rsidP="00254447">
      <w:pPr>
        <w:spacing w:after="40"/>
        <w:jc w:val="center"/>
        <w:rPr>
          <w:rFonts w:ascii="Calibri" w:eastAsia="Calibri" w:hAnsi="Calibri" w:cs="Times New Roman"/>
          <w:color w:val="002060"/>
          <w:lang w:val="sr-Cyrl-CS"/>
        </w:rPr>
      </w:pPr>
      <w:r w:rsidRPr="0007074F">
        <w:rPr>
          <w:rFonts w:ascii="Calibri" w:eastAsia="Calibri" w:hAnsi="Calibri" w:cs="Calibri"/>
          <w:b/>
          <w:color w:val="002060"/>
          <w:lang w:val="sr-Cyrl-CS"/>
        </w:rPr>
        <w:t>Табела 3. БДП, стопе реалног раста, %</w:t>
      </w:r>
    </w:p>
    <w:tbl>
      <w:tblPr>
        <w:tblStyle w:val="TableGrid"/>
        <w:tblW w:w="4617"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0"/>
        <w:gridCol w:w="1397"/>
        <w:gridCol w:w="1397"/>
        <w:gridCol w:w="1397"/>
        <w:gridCol w:w="1396"/>
      </w:tblGrid>
      <w:tr w:rsidR="00907B95" w:rsidRPr="0007074F" w14:paraId="3FC0824A" w14:textId="77777777" w:rsidTr="002D6E55">
        <w:trPr>
          <w:jc w:val="center"/>
        </w:trPr>
        <w:tc>
          <w:tcPr>
            <w:tcW w:w="1765" w:type="pct"/>
            <w:tcBorders>
              <w:top w:val="single" w:sz="4" w:space="0" w:color="002060"/>
              <w:left w:val="single" w:sz="2" w:space="0" w:color="FFFFFF"/>
              <w:bottom w:val="single" w:sz="2" w:space="0" w:color="FFFFFF"/>
              <w:right w:val="single" w:sz="2" w:space="0" w:color="FFFFFF"/>
            </w:tcBorders>
          </w:tcPr>
          <w:p w14:paraId="7264212B" w14:textId="77777777" w:rsidR="00907B95" w:rsidRPr="0007074F" w:rsidRDefault="00907B95" w:rsidP="008527D6">
            <w:pPr>
              <w:rPr>
                <w:rFonts w:ascii="Calibri" w:eastAsia="Calibri" w:hAnsi="Calibri" w:cs="Calibri"/>
                <w:color w:val="002060"/>
                <w:sz w:val="18"/>
                <w:lang w:val="sr-Cyrl-CS"/>
              </w:rPr>
            </w:pPr>
          </w:p>
        </w:tc>
        <w:tc>
          <w:tcPr>
            <w:tcW w:w="809" w:type="pct"/>
            <w:tcBorders>
              <w:top w:val="single" w:sz="4" w:space="0" w:color="002060"/>
              <w:left w:val="single" w:sz="2" w:space="0" w:color="FFFFFF"/>
              <w:bottom w:val="single" w:sz="4" w:space="0" w:color="002060"/>
              <w:right w:val="single" w:sz="2" w:space="0" w:color="FFFFFF"/>
            </w:tcBorders>
            <w:vAlign w:val="center"/>
          </w:tcPr>
          <w:p w14:paraId="0659732C" w14:textId="77777777" w:rsidR="00907B95" w:rsidRPr="0007074F" w:rsidRDefault="00907B95" w:rsidP="008527D6">
            <w:pPr>
              <w:jc w:val="center"/>
              <w:rPr>
                <w:rFonts w:ascii="Calibri" w:eastAsia="Calibri" w:hAnsi="Calibri" w:cs="Calibri"/>
                <w:color w:val="002060"/>
                <w:sz w:val="18"/>
                <w:lang w:val="sr-Cyrl-CS"/>
              </w:rPr>
            </w:pPr>
            <w:r w:rsidRPr="0007074F">
              <w:rPr>
                <w:rFonts w:ascii="Calibri" w:eastAsia="Calibri" w:hAnsi="Calibri" w:cs="Calibri"/>
                <w:color w:val="002060"/>
                <w:sz w:val="18"/>
                <w:lang w:val="sr-Cyrl-CS"/>
              </w:rPr>
              <w:t>2022</w:t>
            </w:r>
          </w:p>
        </w:tc>
        <w:tc>
          <w:tcPr>
            <w:tcW w:w="809" w:type="pct"/>
            <w:tcBorders>
              <w:top w:val="single" w:sz="4" w:space="0" w:color="002060"/>
              <w:left w:val="single" w:sz="2" w:space="0" w:color="FFFFFF"/>
              <w:bottom w:val="single" w:sz="4" w:space="0" w:color="002060"/>
              <w:right w:val="single" w:sz="2" w:space="0" w:color="FFFFFF"/>
            </w:tcBorders>
            <w:vAlign w:val="center"/>
          </w:tcPr>
          <w:p w14:paraId="30A41EE6" w14:textId="77777777" w:rsidR="00907B95" w:rsidRPr="0007074F" w:rsidRDefault="00907B95" w:rsidP="008527D6">
            <w:pPr>
              <w:jc w:val="center"/>
              <w:rPr>
                <w:rFonts w:ascii="Calibri" w:eastAsia="Calibri" w:hAnsi="Calibri" w:cs="Calibri"/>
                <w:color w:val="002060"/>
                <w:sz w:val="18"/>
                <w:lang w:val="sr-Cyrl-CS"/>
              </w:rPr>
            </w:pPr>
            <w:r w:rsidRPr="0007074F">
              <w:rPr>
                <w:rFonts w:ascii="Calibri" w:eastAsia="Calibri" w:hAnsi="Calibri" w:cs="Calibri"/>
                <w:color w:val="002060"/>
                <w:sz w:val="18"/>
                <w:lang w:val="sr-Cyrl-CS"/>
              </w:rPr>
              <w:t>Q1 2023*</w:t>
            </w:r>
          </w:p>
        </w:tc>
        <w:tc>
          <w:tcPr>
            <w:tcW w:w="809" w:type="pct"/>
            <w:tcBorders>
              <w:top w:val="single" w:sz="4" w:space="0" w:color="002060"/>
              <w:left w:val="single" w:sz="2" w:space="0" w:color="FFFFFF"/>
              <w:bottom w:val="single" w:sz="4" w:space="0" w:color="002060"/>
              <w:right w:val="single" w:sz="2" w:space="0" w:color="FFFFFF"/>
            </w:tcBorders>
            <w:vAlign w:val="center"/>
          </w:tcPr>
          <w:p w14:paraId="23423513" w14:textId="77777777" w:rsidR="00907B95" w:rsidRPr="0007074F" w:rsidRDefault="00907B95" w:rsidP="002D6E55">
            <w:pPr>
              <w:jc w:val="center"/>
              <w:rPr>
                <w:rFonts w:ascii="Calibri" w:eastAsia="Calibri" w:hAnsi="Calibri" w:cs="Calibri"/>
                <w:color w:val="002060"/>
                <w:sz w:val="18"/>
                <w:lang w:val="sr-Cyrl-CS"/>
              </w:rPr>
            </w:pPr>
            <w:r w:rsidRPr="0007074F">
              <w:rPr>
                <w:rFonts w:ascii="Calibri" w:eastAsia="Calibri" w:hAnsi="Calibri" w:cs="Calibri"/>
                <w:color w:val="002060"/>
                <w:sz w:val="18"/>
                <w:lang w:val="sr-Cyrl-CS"/>
              </w:rPr>
              <w:t>2023* (оригинална пројекција)</w:t>
            </w:r>
          </w:p>
        </w:tc>
        <w:tc>
          <w:tcPr>
            <w:tcW w:w="809" w:type="pct"/>
            <w:tcBorders>
              <w:top w:val="single" w:sz="4" w:space="0" w:color="002060"/>
              <w:left w:val="single" w:sz="2" w:space="0" w:color="FFFFFF"/>
              <w:bottom w:val="single" w:sz="4" w:space="0" w:color="002060"/>
              <w:right w:val="single" w:sz="2" w:space="0" w:color="FFFFFF"/>
            </w:tcBorders>
            <w:vAlign w:val="center"/>
          </w:tcPr>
          <w:p w14:paraId="3DFAD35F" w14:textId="77777777" w:rsidR="00907B95" w:rsidRPr="0007074F" w:rsidRDefault="00907B95" w:rsidP="008527D6">
            <w:pPr>
              <w:jc w:val="center"/>
              <w:rPr>
                <w:rFonts w:ascii="Calibri" w:eastAsia="Calibri" w:hAnsi="Calibri" w:cs="Calibri"/>
                <w:color w:val="002060"/>
                <w:sz w:val="18"/>
                <w:lang w:val="sr-Cyrl-CS"/>
              </w:rPr>
            </w:pPr>
            <w:r w:rsidRPr="0007074F">
              <w:rPr>
                <w:rFonts w:ascii="Calibri" w:eastAsia="Calibri" w:hAnsi="Calibri" w:cs="Calibri"/>
                <w:color w:val="002060"/>
                <w:sz w:val="18"/>
                <w:lang w:val="sr-Cyrl-CS"/>
              </w:rPr>
              <w:t>2023*</w:t>
            </w:r>
          </w:p>
          <w:p w14:paraId="5A8BC990" w14:textId="77777777" w:rsidR="00907B95" w:rsidRPr="0007074F" w:rsidRDefault="00907B95" w:rsidP="002D6E55">
            <w:pPr>
              <w:jc w:val="center"/>
              <w:rPr>
                <w:rFonts w:ascii="Calibri" w:eastAsia="Calibri" w:hAnsi="Calibri" w:cs="Calibri"/>
                <w:color w:val="002060"/>
                <w:sz w:val="18"/>
                <w:lang w:val="sr-Cyrl-CS"/>
              </w:rPr>
            </w:pPr>
            <w:r w:rsidRPr="0007074F">
              <w:rPr>
                <w:rFonts w:ascii="Calibri" w:eastAsia="Calibri" w:hAnsi="Calibri" w:cs="Calibri"/>
                <w:color w:val="002060"/>
                <w:sz w:val="18"/>
                <w:lang w:val="sr-Cyrl-CS"/>
              </w:rPr>
              <w:t>(текућа процена)</w:t>
            </w:r>
          </w:p>
        </w:tc>
      </w:tr>
      <w:tr w:rsidR="00907B95" w:rsidRPr="0007074F" w14:paraId="48D09641" w14:textId="77777777" w:rsidTr="002D6E55">
        <w:trPr>
          <w:jc w:val="center"/>
        </w:trPr>
        <w:tc>
          <w:tcPr>
            <w:tcW w:w="1765" w:type="pct"/>
            <w:tcBorders>
              <w:top w:val="single" w:sz="2" w:space="0" w:color="FFFFFF"/>
            </w:tcBorders>
          </w:tcPr>
          <w:p w14:paraId="575316B7"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БДП</w:t>
            </w:r>
          </w:p>
        </w:tc>
        <w:tc>
          <w:tcPr>
            <w:tcW w:w="809" w:type="pct"/>
            <w:tcBorders>
              <w:top w:val="single" w:sz="4" w:space="0" w:color="002060"/>
            </w:tcBorders>
          </w:tcPr>
          <w:p w14:paraId="299B4F69"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2,3</w:t>
            </w:r>
          </w:p>
        </w:tc>
        <w:tc>
          <w:tcPr>
            <w:tcW w:w="809" w:type="pct"/>
            <w:tcBorders>
              <w:top w:val="single" w:sz="4" w:space="0" w:color="002060"/>
            </w:tcBorders>
          </w:tcPr>
          <w:p w14:paraId="46423C52"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0,7</w:t>
            </w:r>
          </w:p>
        </w:tc>
        <w:tc>
          <w:tcPr>
            <w:tcW w:w="809" w:type="pct"/>
            <w:tcBorders>
              <w:top w:val="single" w:sz="4" w:space="0" w:color="002060"/>
            </w:tcBorders>
          </w:tcPr>
          <w:p w14:paraId="7610F312"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2,5</w:t>
            </w:r>
          </w:p>
        </w:tc>
        <w:tc>
          <w:tcPr>
            <w:tcW w:w="809" w:type="pct"/>
            <w:tcBorders>
              <w:top w:val="single" w:sz="4" w:space="0" w:color="002060"/>
            </w:tcBorders>
          </w:tcPr>
          <w:p w14:paraId="0349FF37"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2,5</w:t>
            </w:r>
          </w:p>
        </w:tc>
      </w:tr>
      <w:tr w:rsidR="00907B95" w:rsidRPr="0007074F" w14:paraId="1A6DE1AA" w14:textId="77777777" w:rsidTr="002D6E55">
        <w:trPr>
          <w:jc w:val="center"/>
        </w:trPr>
        <w:tc>
          <w:tcPr>
            <w:tcW w:w="1765" w:type="pct"/>
            <w:tcBorders>
              <w:top w:val="single" w:sz="2" w:space="0" w:color="FFFFFF"/>
            </w:tcBorders>
            <w:shd w:val="clear" w:color="auto" w:fill="E7E6E6"/>
          </w:tcPr>
          <w:p w14:paraId="05211B14" w14:textId="77777777" w:rsidR="00907B95" w:rsidRPr="0007074F" w:rsidRDefault="00907B95" w:rsidP="002D6E55">
            <w:pPr>
              <w:jc w:val="right"/>
              <w:rPr>
                <w:rFonts w:ascii="Calibri" w:eastAsia="Calibri" w:hAnsi="Calibri" w:cs="Calibri"/>
                <w:color w:val="002060"/>
                <w:sz w:val="18"/>
                <w:lang w:val="sr-Cyrl-CS"/>
              </w:rPr>
            </w:pPr>
          </w:p>
        </w:tc>
        <w:tc>
          <w:tcPr>
            <w:tcW w:w="809" w:type="pct"/>
            <w:tcBorders>
              <w:top w:val="single" w:sz="2" w:space="0" w:color="FFFFFF"/>
            </w:tcBorders>
            <w:shd w:val="clear" w:color="auto" w:fill="E7E6E6"/>
          </w:tcPr>
          <w:p w14:paraId="6218821D" w14:textId="77777777" w:rsidR="00907B95" w:rsidRPr="0007074F" w:rsidRDefault="00907B95" w:rsidP="002D6E55">
            <w:pPr>
              <w:ind w:right="454"/>
              <w:jc w:val="right"/>
              <w:rPr>
                <w:rFonts w:ascii="Calibri" w:eastAsia="Calibri" w:hAnsi="Calibri" w:cs="Calibri"/>
                <w:color w:val="002060"/>
                <w:sz w:val="18"/>
                <w:lang w:val="sr-Cyrl-CS"/>
              </w:rPr>
            </w:pPr>
          </w:p>
        </w:tc>
        <w:tc>
          <w:tcPr>
            <w:tcW w:w="809" w:type="pct"/>
            <w:tcBorders>
              <w:top w:val="single" w:sz="2" w:space="0" w:color="FFFFFF"/>
            </w:tcBorders>
            <w:shd w:val="clear" w:color="auto" w:fill="E7E6E6"/>
          </w:tcPr>
          <w:p w14:paraId="6144870C" w14:textId="77777777" w:rsidR="00907B95" w:rsidRPr="0007074F" w:rsidRDefault="00907B95" w:rsidP="002D6E55">
            <w:pPr>
              <w:ind w:right="454"/>
              <w:jc w:val="right"/>
              <w:rPr>
                <w:rFonts w:ascii="Calibri" w:eastAsia="Calibri" w:hAnsi="Calibri" w:cs="Calibri"/>
                <w:color w:val="002060"/>
                <w:sz w:val="18"/>
                <w:lang w:val="sr-Cyrl-CS"/>
              </w:rPr>
            </w:pPr>
          </w:p>
        </w:tc>
        <w:tc>
          <w:tcPr>
            <w:tcW w:w="809" w:type="pct"/>
            <w:tcBorders>
              <w:top w:val="single" w:sz="2" w:space="0" w:color="FFFFFF"/>
            </w:tcBorders>
            <w:shd w:val="clear" w:color="auto" w:fill="E7E6E6"/>
          </w:tcPr>
          <w:p w14:paraId="1CFDC282" w14:textId="77777777" w:rsidR="00907B95" w:rsidRPr="0007074F" w:rsidRDefault="00907B95" w:rsidP="002D6E55">
            <w:pPr>
              <w:ind w:right="454"/>
              <w:jc w:val="right"/>
              <w:rPr>
                <w:rFonts w:ascii="Calibri" w:eastAsia="Calibri" w:hAnsi="Calibri" w:cs="Calibri"/>
                <w:color w:val="002060"/>
                <w:sz w:val="18"/>
                <w:lang w:val="sr-Cyrl-CS"/>
              </w:rPr>
            </w:pPr>
          </w:p>
        </w:tc>
        <w:tc>
          <w:tcPr>
            <w:tcW w:w="809" w:type="pct"/>
            <w:tcBorders>
              <w:top w:val="single" w:sz="2" w:space="0" w:color="FFFFFF"/>
            </w:tcBorders>
            <w:shd w:val="clear" w:color="auto" w:fill="E7E6E6"/>
          </w:tcPr>
          <w:p w14:paraId="4E1BC553" w14:textId="77777777" w:rsidR="00907B95" w:rsidRPr="0007074F" w:rsidRDefault="00907B95" w:rsidP="002D6E55">
            <w:pPr>
              <w:ind w:right="454"/>
              <w:jc w:val="right"/>
              <w:rPr>
                <w:rFonts w:ascii="Calibri" w:eastAsia="Calibri" w:hAnsi="Calibri" w:cs="Calibri"/>
                <w:color w:val="002060"/>
                <w:sz w:val="18"/>
                <w:lang w:val="sr-Cyrl-CS"/>
              </w:rPr>
            </w:pPr>
          </w:p>
        </w:tc>
      </w:tr>
      <w:tr w:rsidR="00907B95" w:rsidRPr="0007074F" w14:paraId="7AA898CB" w14:textId="77777777" w:rsidTr="002D6E55">
        <w:trPr>
          <w:jc w:val="center"/>
        </w:trPr>
        <w:tc>
          <w:tcPr>
            <w:tcW w:w="1765" w:type="pct"/>
          </w:tcPr>
          <w:p w14:paraId="0476E870"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Приватна потрошња</w:t>
            </w:r>
          </w:p>
        </w:tc>
        <w:tc>
          <w:tcPr>
            <w:tcW w:w="809" w:type="pct"/>
          </w:tcPr>
          <w:p w14:paraId="60BFD492"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3,7</w:t>
            </w:r>
          </w:p>
        </w:tc>
        <w:tc>
          <w:tcPr>
            <w:tcW w:w="809" w:type="pct"/>
          </w:tcPr>
          <w:p w14:paraId="3A4AD49C"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-0,9</w:t>
            </w:r>
          </w:p>
        </w:tc>
        <w:tc>
          <w:tcPr>
            <w:tcW w:w="809" w:type="pct"/>
          </w:tcPr>
          <w:p w14:paraId="63CB29E7"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2,5</w:t>
            </w:r>
          </w:p>
        </w:tc>
        <w:tc>
          <w:tcPr>
            <w:tcW w:w="809" w:type="pct"/>
          </w:tcPr>
          <w:p w14:paraId="04137CD5"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2,2</w:t>
            </w:r>
          </w:p>
        </w:tc>
      </w:tr>
      <w:tr w:rsidR="00907B95" w:rsidRPr="0007074F" w14:paraId="20FF79A6" w14:textId="77777777" w:rsidTr="002D6E55">
        <w:trPr>
          <w:jc w:val="center"/>
        </w:trPr>
        <w:tc>
          <w:tcPr>
            <w:tcW w:w="1765" w:type="pct"/>
          </w:tcPr>
          <w:p w14:paraId="30FAA466"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Државна потрошња</w:t>
            </w:r>
          </w:p>
        </w:tc>
        <w:tc>
          <w:tcPr>
            <w:tcW w:w="809" w:type="pct"/>
          </w:tcPr>
          <w:p w14:paraId="1A81B240"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0,2</w:t>
            </w:r>
          </w:p>
        </w:tc>
        <w:tc>
          <w:tcPr>
            <w:tcW w:w="809" w:type="pct"/>
          </w:tcPr>
          <w:p w14:paraId="7CA008E1"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-3,8</w:t>
            </w:r>
          </w:p>
        </w:tc>
        <w:tc>
          <w:tcPr>
            <w:tcW w:w="809" w:type="pct"/>
          </w:tcPr>
          <w:p w14:paraId="22819275"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-2,0</w:t>
            </w:r>
          </w:p>
        </w:tc>
        <w:tc>
          <w:tcPr>
            <w:tcW w:w="809" w:type="pct"/>
          </w:tcPr>
          <w:p w14:paraId="5FDC4993"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-1,5</w:t>
            </w:r>
          </w:p>
        </w:tc>
      </w:tr>
      <w:tr w:rsidR="00907B95" w:rsidRPr="0007074F" w14:paraId="740ACC4D" w14:textId="77777777" w:rsidTr="002D6E55">
        <w:trPr>
          <w:jc w:val="center"/>
        </w:trPr>
        <w:tc>
          <w:tcPr>
            <w:tcW w:w="1765" w:type="pct"/>
          </w:tcPr>
          <w:p w14:paraId="03EAA8B4"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Инвестиције у основна средства</w:t>
            </w:r>
          </w:p>
        </w:tc>
        <w:tc>
          <w:tcPr>
            <w:tcW w:w="809" w:type="pct"/>
          </w:tcPr>
          <w:p w14:paraId="5C56BB3C"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-0,6</w:t>
            </w:r>
          </w:p>
        </w:tc>
        <w:tc>
          <w:tcPr>
            <w:tcW w:w="809" w:type="pct"/>
          </w:tcPr>
          <w:p w14:paraId="0659CF55" w14:textId="37A59CAF" w:rsidR="00907B95" w:rsidRPr="0007074F" w:rsidRDefault="00FE2F0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1,2</w:t>
            </w:r>
          </w:p>
        </w:tc>
        <w:tc>
          <w:tcPr>
            <w:tcW w:w="809" w:type="pct"/>
          </w:tcPr>
          <w:p w14:paraId="3E739DE3"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2,4</w:t>
            </w:r>
          </w:p>
        </w:tc>
        <w:tc>
          <w:tcPr>
            <w:tcW w:w="809" w:type="pct"/>
          </w:tcPr>
          <w:p w14:paraId="747CD52B"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2,6</w:t>
            </w:r>
          </w:p>
        </w:tc>
      </w:tr>
      <w:tr w:rsidR="00907B95" w:rsidRPr="0007074F" w14:paraId="2A5F98C9" w14:textId="77777777" w:rsidTr="002D6E55">
        <w:trPr>
          <w:jc w:val="center"/>
        </w:trPr>
        <w:tc>
          <w:tcPr>
            <w:tcW w:w="1765" w:type="pct"/>
          </w:tcPr>
          <w:p w14:paraId="5D4CA593"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Извоз робе и услуга</w:t>
            </w:r>
          </w:p>
        </w:tc>
        <w:tc>
          <w:tcPr>
            <w:tcW w:w="809" w:type="pct"/>
          </w:tcPr>
          <w:p w14:paraId="6078DF21"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17,6</w:t>
            </w:r>
          </w:p>
        </w:tc>
        <w:tc>
          <w:tcPr>
            <w:tcW w:w="809" w:type="pct"/>
          </w:tcPr>
          <w:p w14:paraId="1814CFF4"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9,1</w:t>
            </w:r>
          </w:p>
        </w:tc>
        <w:tc>
          <w:tcPr>
            <w:tcW w:w="809" w:type="pct"/>
          </w:tcPr>
          <w:p w14:paraId="717A8ABF"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4,9</w:t>
            </w:r>
          </w:p>
        </w:tc>
        <w:tc>
          <w:tcPr>
            <w:tcW w:w="809" w:type="pct"/>
          </w:tcPr>
          <w:p w14:paraId="0529A9B1"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5,1</w:t>
            </w:r>
          </w:p>
        </w:tc>
      </w:tr>
      <w:tr w:rsidR="00907B95" w:rsidRPr="0007074F" w14:paraId="1B122D53" w14:textId="77777777" w:rsidTr="002D6E55">
        <w:trPr>
          <w:jc w:val="center"/>
        </w:trPr>
        <w:tc>
          <w:tcPr>
            <w:tcW w:w="1765" w:type="pct"/>
          </w:tcPr>
          <w:p w14:paraId="30751450"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Увоз робе и услуга</w:t>
            </w:r>
          </w:p>
        </w:tc>
        <w:tc>
          <w:tcPr>
            <w:tcW w:w="809" w:type="pct"/>
          </w:tcPr>
          <w:p w14:paraId="16990ADF"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17,8</w:t>
            </w:r>
          </w:p>
        </w:tc>
        <w:tc>
          <w:tcPr>
            <w:tcW w:w="809" w:type="pct"/>
          </w:tcPr>
          <w:p w14:paraId="0842BD45" w14:textId="1E84F4FC"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w:t>
            </w:r>
            <w:r w:rsidR="00FE2F05" w:rsidRPr="0007074F">
              <w:rPr>
                <w:rFonts w:ascii="Calibri" w:eastAsia="Calibri" w:hAnsi="Calibri" w:cs="Calibri"/>
                <w:color w:val="002060"/>
                <w:sz w:val="18"/>
                <w:lang w:val="sr-Cyrl-CS"/>
              </w:rPr>
              <w:t>2</w:t>
            </w:r>
            <w:r w:rsidRPr="0007074F">
              <w:rPr>
                <w:rFonts w:ascii="Calibri" w:eastAsia="Calibri" w:hAnsi="Calibri" w:cs="Calibri"/>
                <w:color w:val="002060"/>
                <w:sz w:val="18"/>
                <w:lang w:val="sr-Cyrl-CS"/>
              </w:rPr>
              <w:t>,1</w:t>
            </w:r>
          </w:p>
        </w:tc>
        <w:tc>
          <w:tcPr>
            <w:tcW w:w="809" w:type="pct"/>
          </w:tcPr>
          <w:p w14:paraId="0363B2A6"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4,0</w:t>
            </w:r>
          </w:p>
        </w:tc>
        <w:tc>
          <w:tcPr>
            <w:tcW w:w="809" w:type="pct"/>
          </w:tcPr>
          <w:p w14:paraId="22C92EB9"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3,8</w:t>
            </w:r>
          </w:p>
        </w:tc>
      </w:tr>
      <w:tr w:rsidR="00907B95" w:rsidRPr="0007074F" w14:paraId="27C1050D" w14:textId="77777777" w:rsidTr="002D6E55">
        <w:trPr>
          <w:trHeight w:val="144"/>
          <w:jc w:val="center"/>
        </w:trPr>
        <w:tc>
          <w:tcPr>
            <w:tcW w:w="1765" w:type="pct"/>
            <w:shd w:val="clear" w:color="auto" w:fill="E7E6E6"/>
          </w:tcPr>
          <w:p w14:paraId="236192E2" w14:textId="77777777" w:rsidR="00907B95" w:rsidRPr="0007074F" w:rsidRDefault="00907B95" w:rsidP="002D6E55">
            <w:pPr>
              <w:ind w:left="-15"/>
              <w:jc w:val="right"/>
              <w:rPr>
                <w:rFonts w:ascii="Calibri" w:eastAsia="Calibri" w:hAnsi="Calibri" w:cs="Calibri"/>
                <w:color w:val="002060"/>
                <w:sz w:val="18"/>
                <w:lang w:val="sr-Cyrl-CS"/>
              </w:rPr>
            </w:pPr>
          </w:p>
        </w:tc>
        <w:tc>
          <w:tcPr>
            <w:tcW w:w="809" w:type="pct"/>
            <w:shd w:val="clear" w:color="auto" w:fill="E7E6E6"/>
          </w:tcPr>
          <w:p w14:paraId="714CB7BF" w14:textId="77777777" w:rsidR="00907B95" w:rsidRPr="0007074F" w:rsidRDefault="00907B95" w:rsidP="002D6E55">
            <w:pPr>
              <w:ind w:left="-15" w:right="454"/>
              <w:jc w:val="right"/>
              <w:rPr>
                <w:rFonts w:ascii="Calibri" w:eastAsia="Calibri" w:hAnsi="Calibri" w:cs="Calibri"/>
                <w:color w:val="002060"/>
                <w:sz w:val="18"/>
                <w:lang w:val="sr-Cyrl-CS"/>
              </w:rPr>
            </w:pPr>
          </w:p>
        </w:tc>
        <w:tc>
          <w:tcPr>
            <w:tcW w:w="809" w:type="pct"/>
            <w:shd w:val="clear" w:color="auto" w:fill="E7E6E6"/>
          </w:tcPr>
          <w:p w14:paraId="27321DD0" w14:textId="77777777" w:rsidR="00907B95" w:rsidRPr="0007074F" w:rsidRDefault="00907B95" w:rsidP="002D6E55">
            <w:pPr>
              <w:ind w:left="-15" w:right="454"/>
              <w:jc w:val="right"/>
              <w:rPr>
                <w:rFonts w:ascii="Calibri" w:eastAsia="Calibri" w:hAnsi="Calibri" w:cs="Calibri"/>
                <w:color w:val="002060"/>
                <w:sz w:val="18"/>
                <w:lang w:val="sr-Cyrl-CS"/>
              </w:rPr>
            </w:pPr>
          </w:p>
        </w:tc>
        <w:tc>
          <w:tcPr>
            <w:tcW w:w="809" w:type="pct"/>
            <w:shd w:val="clear" w:color="auto" w:fill="E7E6E6"/>
          </w:tcPr>
          <w:p w14:paraId="48AE7F1E" w14:textId="77777777" w:rsidR="00907B95" w:rsidRPr="0007074F" w:rsidRDefault="00907B95" w:rsidP="002D6E55">
            <w:pPr>
              <w:ind w:left="-15" w:right="454"/>
              <w:jc w:val="right"/>
              <w:rPr>
                <w:rFonts w:ascii="Calibri" w:eastAsia="Calibri" w:hAnsi="Calibri" w:cs="Calibri"/>
                <w:color w:val="002060"/>
                <w:sz w:val="18"/>
                <w:lang w:val="sr-Cyrl-CS"/>
              </w:rPr>
            </w:pPr>
          </w:p>
        </w:tc>
        <w:tc>
          <w:tcPr>
            <w:tcW w:w="809" w:type="pct"/>
            <w:shd w:val="clear" w:color="auto" w:fill="E7E6E6"/>
          </w:tcPr>
          <w:p w14:paraId="694F7178" w14:textId="77777777" w:rsidR="00907B95" w:rsidRPr="0007074F" w:rsidRDefault="00907B95" w:rsidP="002D6E55">
            <w:pPr>
              <w:ind w:left="-15" w:right="454"/>
              <w:jc w:val="right"/>
              <w:rPr>
                <w:rFonts w:ascii="Calibri" w:eastAsia="Calibri" w:hAnsi="Calibri" w:cs="Calibri"/>
                <w:color w:val="002060"/>
                <w:sz w:val="18"/>
                <w:lang w:val="sr-Cyrl-CS"/>
              </w:rPr>
            </w:pPr>
          </w:p>
        </w:tc>
      </w:tr>
      <w:tr w:rsidR="00907B95" w:rsidRPr="0007074F" w14:paraId="7CC11C71" w14:textId="77777777" w:rsidTr="002D6E55">
        <w:trPr>
          <w:jc w:val="center"/>
        </w:trPr>
        <w:tc>
          <w:tcPr>
            <w:tcW w:w="1765" w:type="pct"/>
          </w:tcPr>
          <w:p w14:paraId="32EB9240"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Пољопривреда</w:t>
            </w:r>
          </w:p>
        </w:tc>
        <w:tc>
          <w:tcPr>
            <w:tcW w:w="809" w:type="pct"/>
          </w:tcPr>
          <w:p w14:paraId="12566284"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-8,3</w:t>
            </w:r>
          </w:p>
        </w:tc>
        <w:tc>
          <w:tcPr>
            <w:tcW w:w="809" w:type="pct"/>
          </w:tcPr>
          <w:p w14:paraId="170E1D73"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5,0</w:t>
            </w:r>
          </w:p>
        </w:tc>
        <w:tc>
          <w:tcPr>
            <w:tcW w:w="809" w:type="pct"/>
          </w:tcPr>
          <w:p w14:paraId="138C80CC"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6,9</w:t>
            </w:r>
          </w:p>
        </w:tc>
        <w:tc>
          <w:tcPr>
            <w:tcW w:w="809" w:type="pct"/>
          </w:tcPr>
          <w:p w14:paraId="1035D88C"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6,9</w:t>
            </w:r>
          </w:p>
        </w:tc>
      </w:tr>
      <w:tr w:rsidR="00907B95" w:rsidRPr="0007074F" w14:paraId="531240FE" w14:textId="77777777" w:rsidTr="002D6E55">
        <w:trPr>
          <w:jc w:val="center"/>
        </w:trPr>
        <w:tc>
          <w:tcPr>
            <w:tcW w:w="1765" w:type="pct"/>
          </w:tcPr>
          <w:p w14:paraId="176D13FD"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Индустрија</w:t>
            </w:r>
          </w:p>
        </w:tc>
        <w:tc>
          <w:tcPr>
            <w:tcW w:w="809" w:type="pct"/>
          </w:tcPr>
          <w:p w14:paraId="4EA48AFB"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1,8</w:t>
            </w:r>
          </w:p>
        </w:tc>
        <w:tc>
          <w:tcPr>
            <w:tcW w:w="809" w:type="pct"/>
          </w:tcPr>
          <w:p w14:paraId="19749042"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2,3</w:t>
            </w:r>
          </w:p>
        </w:tc>
        <w:tc>
          <w:tcPr>
            <w:tcW w:w="809" w:type="pct"/>
          </w:tcPr>
          <w:p w14:paraId="27CEFBFC"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1,1</w:t>
            </w:r>
          </w:p>
        </w:tc>
        <w:tc>
          <w:tcPr>
            <w:tcW w:w="809" w:type="pct"/>
          </w:tcPr>
          <w:p w14:paraId="4AA5BB60"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2,2</w:t>
            </w:r>
          </w:p>
        </w:tc>
      </w:tr>
      <w:tr w:rsidR="00907B95" w:rsidRPr="0007074F" w14:paraId="26992122" w14:textId="77777777" w:rsidTr="002D6E55">
        <w:trPr>
          <w:jc w:val="center"/>
        </w:trPr>
        <w:tc>
          <w:tcPr>
            <w:tcW w:w="1765" w:type="pct"/>
          </w:tcPr>
          <w:p w14:paraId="7E54386C"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Грађевинарство</w:t>
            </w:r>
          </w:p>
        </w:tc>
        <w:tc>
          <w:tcPr>
            <w:tcW w:w="809" w:type="pct"/>
          </w:tcPr>
          <w:p w14:paraId="00057383"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-9,8</w:t>
            </w:r>
          </w:p>
        </w:tc>
        <w:tc>
          <w:tcPr>
            <w:tcW w:w="809" w:type="pct"/>
          </w:tcPr>
          <w:p w14:paraId="6C2D07D5"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-1,4</w:t>
            </w:r>
          </w:p>
        </w:tc>
        <w:tc>
          <w:tcPr>
            <w:tcW w:w="809" w:type="pct"/>
          </w:tcPr>
          <w:p w14:paraId="16926CC5"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0,9</w:t>
            </w:r>
          </w:p>
        </w:tc>
        <w:tc>
          <w:tcPr>
            <w:tcW w:w="809" w:type="pct"/>
          </w:tcPr>
          <w:p w14:paraId="0A6382AF"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1,1</w:t>
            </w:r>
          </w:p>
        </w:tc>
      </w:tr>
      <w:tr w:rsidR="00907B95" w:rsidRPr="0007074F" w14:paraId="0ADC1C51" w14:textId="77777777" w:rsidTr="002D6E55">
        <w:trPr>
          <w:trHeight w:val="163"/>
          <w:jc w:val="center"/>
        </w:trPr>
        <w:tc>
          <w:tcPr>
            <w:tcW w:w="1765" w:type="pct"/>
          </w:tcPr>
          <w:p w14:paraId="5B98D99C"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Услуге</w:t>
            </w:r>
          </w:p>
        </w:tc>
        <w:tc>
          <w:tcPr>
            <w:tcW w:w="809" w:type="pct"/>
          </w:tcPr>
          <w:p w14:paraId="11E121B9" w14:textId="77777777" w:rsidR="00907B95" w:rsidRPr="0007074F" w:rsidRDefault="00907B95" w:rsidP="002D6E55">
            <w:pPr>
              <w:tabs>
                <w:tab w:val="left" w:pos="420"/>
                <w:tab w:val="center" w:pos="586"/>
              </w:tabs>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4,5</w:t>
            </w:r>
          </w:p>
        </w:tc>
        <w:tc>
          <w:tcPr>
            <w:tcW w:w="809" w:type="pct"/>
          </w:tcPr>
          <w:p w14:paraId="04D766D7"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1,2</w:t>
            </w:r>
          </w:p>
        </w:tc>
        <w:tc>
          <w:tcPr>
            <w:tcW w:w="809" w:type="pct"/>
          </w:tcPr>
          <w:p w14:paraId="5690F529"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2,6</w:t>
            </w:r>
          </w:p>
        </w:tc>
        <w:tc>
          <w:tcPr>
            <w:tcW w:w="809" w:type="pct"/>
          </w:tcPr>
          <w:p w14:paraId="121A026F"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2,3</w:t>
            </w:r>
          </w:p>
        </w:tc>
      </w:tr>
      <w:tr w:rsidR="00907B95" w:rsidRPr="0007074F" w14:paraId="64317D22" w14:textId="77777777" w:rsidTr="002D6E55">
        <w:trPr>
          <w:trHeight w:val="163"/>
          <w:jc w:val="center"/>
        </w:trPr>
        <w:tc>
          <w:tcPr>
            <w:tcW w:w="1765" w:type="pct"/>
            <w:tcBorders>
              <w:bottom w:val="single" w:sz="4" w:space="0" w:color="002060"/>
            </w:tcBorders>
          </w:tcPr>
          <w:p w14:paraId="3937078C" w14:textId="77777777" w:rsidR="00907B95" w:rsidRPr="0007074F" w:rsidRDefault="00907B95" w:rsidP="002D6E55">
            <w:pPr>
              <w:ind w:left="-15"/>
              <w:rPr>
                <w:rFonts w:ascii="Calibri" w:eastAsia="Calibri" w:hAnsi="Calibri" w:cs="Calibri"/>
                <w:color w:val="002060"/>
                <w:sz w:val="18"/>
                <w:lang w:val="sr-Cyrl-CS"/>
              </w:rPr>
            </w:pPr>
            <w:r w:rsidRPr="0007074F">
              <w:rPr>
                <w:rFonts w:ascii="Calibri" w:eastAsia="Calibri" w:hAnsi="Calibri" w:cs="Calibri"/>
                <w:color w:val="002060"/>
                <w:sz w:val="18"/>
                <w:lang w:val="sr-Cyrl-CS"/>
              </w:rPr>
              <w:t>Нето порези</w:t>
            </w:r>
          </w:p>
        </w:tc>
        <w:tc>
          <w:tcPr>
            <w:tcW w:w="809" w:type="pct"/>
            <w:tcBorders>
              <w:bottom w:val="single" w:sz="4" w:space="0" w:color="002060"/>
            </w:tcBorders>
          </w:tcPr>
          <w:p w14:paraId="0F296193" w14:textId="77777777" w:rsidR="00907B95" w:rsidRPr="0007074F" w:rsidRDefault="00907B95" w:rsidP="002D6E55">
            <w:pPr>
              <w:tabs>
                <w:tab w:val="left" w:pos="420"/>
                <w:tab w:val="center" w:pos="586"/>
              </w:tabs>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4,1</w:t>
            </w:r>
          </w:p>
        </w:tc>
        <w:tc>
          <w:tcPr>
            <w:tcW w:w="809" w:type="pct"/>
            <w:tcBorders>
              <w:bottom w:val="single" w:sz="4" w:space="0" w:color="002060"/>
            </w:tcBorders>
          </w:tcPr>
          <w:p w14:paraId="41910477"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-1,6</w:t>
            </w:r>
          </w:p>
        </w:tc>
        <w:tc>
          <w:tcPr>
            <w:tcW w:w="809" w:type="pct"/>
            <w:tcBorders>
              <w:bottom w:val="single" w:sz="4" w:space="0" w:color="002060"/>
            </w:tcBorders>
          </w:tcPr>
          <w:p w14:paraId="73652EAE"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3,0</w:t>
            </w:r>
          </w:p>
        </w:tc>
        <w:tc>
          <w:tcPr>
            <w:tcW w:w="809" w:type="pct"/>
            <w:tcBorders>
              <w:bottom w:val="single" w:sz="4" w:space="0" w:color="002060"/>
            </w:tcBorders>
          </w:tcPr>
          <w:p w14:paraId="0BBCC72B" w14:textId="77777777" w:rsidR="00907B95" w:rsidRPr="0007074F" w:rsidRDefault="00907B95" w:rsidP="002D6E55">
            <w:pPr>
              <w:ind w:right="454"/>
              <w:jc w:val="right"/>
              <w:rPr>
                <w:rFonts w:ascii="Calibri" w:eastAsia="Calibri" w:hAnsi="Calibri" w:cs="Calibri"/>
                <w:color w:val="002060"/>
                <w:sz w:val="18"/>
                <w:lang w:val="sr-Cyrl-CS"/>
              </w:rPr>
            </w:pPr>
            <w:r w:rsidRPr="0007074F">
              <w:rPr>
                <w:rFonts w:ascii="Calibri" w:eastAsia="Calibri" w:hAnsi="Calibri" w:cs="Calibri"/>
                <w:color w:val="002060"/>
                <w:sz w:val="18"/>
                <w:lang w:val="sr-Cyrl-CS"/>
              </w:rPr>
              <w:t>2,0</w:t>
            </w:r>
          </w:p>
        </w:tc>
      </w:tr>
    </w:tbl>
    <w:p w14:paraId="599A6A40" w14:textId="77777777" w:rsidR="00907B95" w:rsidRPr="0007074F" w:rsidRDefault="00907B95" w:rsidP="002D6E55">
      <w:pPr>
        <w:spacing w:before="40" w:after="0"/>
        <w:ind w:left="340"/>
        <w:rPr>
          <w:rFonts w:ascii="Calibri" w:eastAsia="Calibri" w:hAnsi="Calibri" w:cs="Calibri"/>
          <w:bCs/>
          <w:sz w:val="16"/>
          <w:szCs w:val="72"/>
          <w:lang w:val="sr-Cyrl-CS"/>
        </w:rPr>
      </w:pPr>
      <w:r w:rsidRPr="0007074F">
        <w:rPr>
          <w:rFonts w:ascii="Calibri" w:eastAsia="Calibri" w:hAnsi="Calibri" w:cs="Calibri"/>
          <w:bCs/>
          <w:sz w:val="16"/>
          <w:szCs w:val="72"/>
          <w:lang w:val="sr-Cyrl-CS"/>
        </w:rPr>
        <w:t>Извор: РЗС</w:t>
      </w:r>
    </w:p>
    <w:p w14:paraId="13EAFE7B" w14:textId="77777777" w:rsidR="00907B95" w:rsidRPr="0007074F" w:rsidRDefault="00907B95" w:rsidP="002D6E55">
      <w:pPr>
        <w:spacing w:after="60"/>
        <w:ind w:left="340"/>
        <w:rPr>
          <w:lang w:val="sr-Cyrl-CS"/>
        </w:rPr>
      </w:pPr>
      <w:r w:rsidRPr="0007074F">
        <w:rPr>
          <w:rFonts w:ascii="Calibri" w:eastAsia="Calibri" w:hAnsi="Calibri" w:cs="Calibri"/>
          <w:bCs/>
          <w:sz w:val="16"/>
          <w:szCs w:val="72"/>
          <w:lang w:val="sr-Cyrl-CS"/>
        </w:rPr>
        <w:t>* Министарство финансија</w:t>
      </w:r>
    </w:p>
    <w:p w14:paraId="3931775F" w14:textId="77777777" w:rsidR="00907B95" w:rsidRPr="0007074F" w:rsidRDefault="00907B95" w:rsidP="00FA6BD0">
      <w:pPr>
        <w:spacing w:after="120"/>
        <w:jc w:val="left"/>
        <w:rPr>
          <w:rFonts w:cstheme="minorHAnsi"/>
          <w:b/>
          <w:color w:val="2F5496" w:themeColor="accent1" w:themeShade="BF"/>
          <w:sz w:val="22"/>
          <w:lang w:val="sr-Cyrl-CS"/>
        </w:rPr>
        <w:sectPr w:rsidR="00907B95" w:rsidRPr="0007074F" w:rsidSect="002D6E55">
          <w:type w:val="continuous"/>
          <w:pgSz w:w="12240" w:h="15840" w:code="1"/>
          <w:pgMar w:top="1440" w:right="1440" w:bottom="1440" w:left="1440" w:header="720" w:footer="720" w:gutter="0"/>
          <w:cols w:space="720"/>
          <w:docGrid w:linePitch="360"/>
        </w:sectPr>
      </w:pPr>
    </w:p>
    <w:p w14:paraId="39BD4450" w14:textId="77777777" w:rsidR="00907B95" w:rsidRPr="0007074F" w:rsidRDefault="00907B95">
      <w:pPr>
        <w:jc w:val="left"/>
        <w:rPr>
          <w:lang w:val="sr-Cyrl-CS"/>
        </w:rPr>
      </w:pPr>
      <w:r w:rsidRPr="0007074F">
        <w:rPr>
          <w:lang w:val="sr-Cyrl-CS"/>
        </w:rPr>
        <w:br w:type="page"/>
      </w:r>
    </w:p>
    <w:p w14:paraId="2CF291DF" w14:textId="0D1DD61A" w:rsidR="00907B95" w:rsidRPr="0007074F" w:rsidRDefault="00907B95" w:rsidP="00FA6BD0">
      <w:pPr>
        <w:spacing w:after="120"/>
        <w:jc w:val="left"/>
        <w:rPr>
          <w:color w:val="2F5496" w:themeColor="accent1" w:themeShade="BF"/>
          <w:lang w:val="sr-Cyrl-CS"/>
        </w:rPr>
      </w:pPr>
      <w:r w:rsidRPr="0007074F">
        <w:rPr>
          <w:rFonts w:cstheme="minorHAnsi"/>
          <w:b/>
          <w:color w:val="2F5496" w:themeColor="accent1" w:themeShade="BF"/>
          <w:sz w:val="22"/>
          <w:lang w:val="sr-Cyrl-CS"/>
        </w:rPr>
        <w:lastRenderedPageBreak/>
        <w:t>Пројекције кретања реалног сек</w:t>
      </w:r>
      <w:r w:rsidR="00971F57" w:rsidRPr="0007074F">
        <w:rPr>
          <w:rFonts w:cstheme="minorHAnsi"/>
          <w:b/>
          <w:color w:val="2F5496" w:themeColor="accent1" w:themeShade="BF"/>
          <w:sz w:val="22"/>
          <w:lang w:val="sr-Cyrl-CS"/>
        </w:rPr>
        <w:t>тора у периоду 2024–2026. године</w:t>
      </w:r>
    </w:p>
    <w:p w14:paraId="70D2E58F" w14:textId="77777777" w:rsidR="00907B95" w:rsidRPr="0007074F" w:rsidRDefault="00907B95" w:rsidP="008527D6">
      <w:pPr>
        <w:spacing w:after="120"/>
        <w:rPr>
          <w:rFonts w:cstheme="minorHAnsi"/>
          <w:bCs/>
          <w:spacing w:val="-2"/>
          <w:szCs w:val="72"/>
          <w:lang w:val="sr-Cyrl-CS"/>
        </w:rPr>
      </w:pPr>
      <w:r w:rsidRPr="0007074F">
        <w:rPr>
          <w:rFonts w:cstheme="minorHAnsi"/>
          <w:bCs/>
          <w:spacing w:val="-6"/>
          <w:szCs w:val="72"/>
          <w:lang w:val="sr-Cyrl-CS"/>
        </w:rPr>
        <w:t xml:space="preserve">Очекивана средњорочна кретања реалног сектора узимају у обзир актуелне економске трендове и изгледе за Србију и међународно окружење. </w:t>
      </w:r>
      <w:r w:rsidRPr="0007074F">
        <w:rPr>
          <w:rFonts w:cstheme="minorHAnsi"/>
          <w:bCs/>
          <w:spacing w:val="-2"/>
          <w:szCs w:val="72"/>
          <w:lang w:val="sr-Cyrl-CS"/>
        </w:rPr>
        <w:t>Влада ће и у наредном периоду водити одговорну и предвидиву фискалну политику, синхронизовану са монетарном политиком</w:t>
      </w:r>
      <w:r w:rsidRPr="0007074F" w:rsidDel="000966AF">
        <w:rPr>
          <w:rFonts w:cstheme="minorHAnsi"/>
          <w:bCs/>
          <w:spacing w:val="-2"/>
          <w:szCs w:val="72"/>
          <w:lang w:val="sr-Cyrl-CS"/>
        </w:rPr>
        <w:t xml:space="preserve"> </w:t>
      </w:r>
      <w:r w:rsidRPr="0007074F">
        <w:rPr>
          <w:rFonts w:cstheme="minorHAnsi"/>
          <w:bCs/>
          <w:spacing w:val="-2"/>
          <w:szCs w:val="72"/>
          <w:lang w:val="sr-Cyrl-CS"/>
        </w:rPr>
        <w:t>и фокусирану на минимизирање негативних економских последица повећаних геополитичких тензија, али и на лоцирању нових извора раста.</w:t>
      </w:r>
    </w:p>
    <w:p w14:paraId="65BD9F13" w14:textId="77777777" w:rsidR="00907B95" w:rsidRPr="0007074F" w:rsidRDefault="00907B95" w:rsidP="008527D6">
      <w:pPr>
        <w:spacing w:after="120"/>
        <w:rPr>
          <w:rFonts w:cstheme="minorHAnsi"/>
          <w:bCs/>
          <w:szCs w:val="72"/>
          <w:lang w:val="sr-Cyrl-CS"/>
        </w:rPr>
      </w:pPr>
      <w:r w:rsidRPr="0007074F">
        <w:rPr>
          <w:rFonts w:cstheme="minorHAnsi"/>
          <w:bCs/>
          <w:szCs w:val="72"/>
          <w:lang w:val="sr-Cyrl-CS"/>
        </w:rPr>
        <w:t xml:space="preserve">У актуелном сценарију полази се од претпоставки да неће доћи до даље ескалације војних сукоба и додатног заоштравања међународних економских и политичких односа, да ће цене енергената </w:t>
      </w:r>
      <w:r w:rsidRPr="0007074F">
        <w:rPr>
          <w:rFonts w:cstheme="minorHAnsi"/>
          <w:bCs/>
          <w:szCs w:val="72"/>
          <w:lang w:val="sr-Cyrl-CS"/>
        </w:rPr>
        <w:t>постепено опадати у средњем року уз очувану сигурност снабдевања домаћих произвођача и потрошача, као и да неће доћи до значајнијих поремећаја на страни спољне тражње, пре свега у погледу оштрог пада економије ЕУ као нашег најважнијег спољнотрговинског партнера. Такође, очекује се наставак стабилног прилива СДИ које ће обезбедити трансфер знања и технологија, као и нове продајне канале домаћим произвођачима. Неизвесност присутна код пројекција далеко је већа од уобичајене због природе и обима шокова на глобалном нивоу. Канали преко којих они могу потенцијално деловати на домаћу привреду су бројни, често ланчано повезани, а сама јачина потенцијалних шокова је таква да у великој мери може утицати на средњорочна кретања.</w:t>
      </w:r>
    </w:p>
    <w:p w14:paraId="368C8D1F" w14:textId="77777777" w:rsidR="00907B95" w:rsidRPr="0007074F" w:rsidRDefault="00907B95" w:rsidP="00FA6BD0">
      <w:pPr>
        <w:jc w:val="center"/>
        <w:rPr>
          <w:rFonts w:cstheme="minorHAnsi"/>
          <w:b/>
          <w:color w:val="002060"/>
          <w:lang w:val="sr-Cyrl-CS"/>
        </w:rPr>
        <w:sectPr w:rsidR="00907B95" w:rsidRPr="0007074F" w:rsidSect="002D6E55">
          <w:headerReference w:type="default" r:id="rId69"/>
          <w:footerReference w:type="default" r:id="rId70"/>
          <w:type w:val="continuous"/>
          <w:pgSz w:w="12240" w:h="15840" w:code="1"/>
          <w:pgMar w:top="1440" w:right="1440" w:bottom="1440" w:left="1440" w:header="720" w:footer="720" w:gutter="0"/>
          <w:cols w:num="2" w:space="720"/>
          <w:docGrid w:linePitch="360"/>
        </w:sectPr>
      </w:pPr>
    </w:p>
    <w:tbl>
      <w:tblPr>
        <w:tblStyle w:val="TableGrid"/>
        <w:tblW w:w="4954" w:type="pct"/>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924"/>
        <w:gridCol w:w="924"/>
        <w:gridCol w:w="939"/>
        <w:gridCol w:w="939"/>
        <w:gridCol w:w="942"/>
      </w:tblGrid>
      <w:tr w:rsidR="00907B95" w:rsidRPr="0007074F" w14:paraId="519D52F1" w14:textId="77777777" w:rsidTr="002D6E55">
        <w:trPr>
          <w:trHeight w:val="349"/>
        </w:trPr>
        <w:tc>
          <w:tcPr>
            <w:tcW w:w="5000" w:type="pct"/>
            <w:gridSpan w:val="6"/>
            <w:tcBorders>
              <w:bottom w:val="single" w:sz="4" w:space="0" w:color="002060"/>
            </w:tcBorders>
            <w:shd w:val="clear" w:color="auto" w:fill="auto"/>
            <w:vAlign w:val="center"/>
          </w:tcPr>
          <w:p w14:paraId="490EA358" w14:textId="77777777" w:rsidR="00907B95" w:rsidRPr="0007074F" w:rsidRDefault="00907B95" w:rsidP="00FA6BD0">
            <w:pPr>
              <w:jc w:val="center"/>
              <w:rPr>
                <w:rFonts w:cstheme="minorHAnsi"/>
                <w:b/>
                <w:color w:val="002060"/>
                <w:sz w:val="16"/>
                <w:lang w:val="sr-Cyrl-CS"/>
              </w:rPr>
            </w:pPr>
            <w:r w:rsidRPr="0007074F">
              <w:rPr>
                <w:rFonts w:cstheme="minorHAnsi"/>
                <w:b/>
                <w:color w:val="002060"/>
                <w:lang w:val="sr-Cyrl-CS"/>
              </w:rPr>
              <w:t>Табела 4. Пројекција основних макроекономских показатеља Републике Србије</w:t>
            </w:r>
          </w:p>
        </w:tc>
      </w:tr>
      <w:tr w:rsidR="00907B95" w:rsidRPr="0007074F" w14:paraId="73E637FF" w14:textId="77777777" w:rsidTr="002D6E55">
        <w:tc>
          <w:tcPr>
            <w:tcW w:w="2484" w:type="pct"/>
            <w:tcBorders>
              <w:top w:val="single" w:sz="4" w:space="0" w:color="002060"/>
              <w:bottom w:val="single" w:sz="2" w:space="0" w:color="FFFFFF" w:themeColor="background1"/>
            </w:tcBorders>
            <w:shd w:val="clear" w:color="auto" w:fill="auto"/>
          </w:tcPr>
          <w:p w14:paraId="1B83B794" w14:textId="77777777" w:rsidR="00907B95" w:rsidRPr="0007074F" w:rsidRDefault="00907B95" w:rsidP="00C130D2">
            <w:pPr>
              <w:rPr>
                <w:rFonts w:cstheme="minorHAnsi"/>
                <w:color w:val="002060"/>
                <w:sz w:val="18"/>
                <w:lang w:val="sr-Cyrl-CS"/>
              </w:rPr>
            </w:pPr>
          </w:p>
        </w:tc>
        <w:tc>
          <w:tcPr>
            <w:tcW w:w="498" w:type="pct"/>
            <w:tcBorders>
              <w:top w:val="single" w:sz="4" w:space="0" w:color="002060"/>
              <w:bottom w:val="single" w:sz="4" w:space="0" w:color="FFFFFF" w:themeColor="background1"/>
            </w:tcBorders>
            <w:shd w:val="clear" w:color="auto" w:fill="auto"/>
          </w:tcPr>
          <w:p w14:paraId="27265BF2" w14:textId="77777777" w:rsidR="00907B95" w:rsidRPr="0007074F" w:rsidRDefault="00907B95" w:rsidP="00C130D2">
            <w:pPr>
              <w:jc w:val="center"/>
              <w:rPr>
                <w:rFonts w:cstheme="minorHAnsi"/>
                <w:color w:val="002060"/>
                <w:sz w:val="18"/>
                <w:lang w:val="sr-Cyrl-CS"/>
              </w:rPr>
            </w:pPr>
            <w:r w:rsidRPr="0007074F">
              <w:rPr>
                <w:rFonts w:cstheme="minorHAnsi"/>
                <w:color w:val="002060"/>
                <w:sz w:val="18"/>
                <w:lang w:val="sr-Cyrl-CS"/>
              </w:rPr>
              <w:t>Процена</w:t>
            </w:r>
          </w:p>
        </w:tc>
        <w:tc>
          <w:tcPr>
            <w:tcW w:w="498" w:type="pct"/>
            <w:tcBorders>
              <w:top w:val="single" w:sz="4" w:space="0" w:color="002060"/>
              <w:bottom w:val="single" w:sz="2" w:space="0" w:color="FFFFFF" w:themeColor="background1"/>
            </w:tcBorders>
            <w:shd w:val="clear" w:color="auto" w:fill="auto"/>
          </w:tcPr>
          <w:p w14:paraId="05A208B7" w14:textId="77777777" w:rsidR="00907B95" w:rsidRPr="0007074F" w:rsidRDefault="00907B95" w:rsidP="00C130D2">
            <w:pPr>
              <w:jc w:val="center"/>
              <w:rPr>
                <w:rFonts w:cstheme="minorHAnsi"/>
                <w:color w:val="002060"/>
                <w:sz w:val="18"/>
                <w:lang w:val="sr-Cyrl-CS"/>
              </w:rPr>
            </w:pPr>
          </w:p>
        </w:tc>
        <w:tc>
          <w:tcPr>
            <w:tcW w:w="1519" w:type="pct"/>
            <w:gridSpan w:val="3"/>
            <w:tcBorders>
              <w:top w:val="single" w:sz="4" w:space="0" w:color="002060"/>
              <w:bottom w:val="single" w:sz="4" w:space="0" w:color="FFFFFF" w:themeColor="background1"/>
            </w:tcBorders>
            <w:shd w:val="clear" w:color="auto" w:fill="auto"/>
          </w:tcPr>
          <w:p w14:paraId="343517FE" w14:textId="77777777" w:rsidR="00907B95" w:rsidRPr="0007074F" w:rsidRDefault="00907B95" w:rsidP="00C130D2">
            <w:pPr>
              <w:jc w:val="center"/>
              <w:rPr>
                <w:rFonts w:cstheme="minorHAnsi"/>
                <w:color w:val="002060"/>
                <w:sz w:val="18"/>
                <w:lang w:val="sr-Cyrl-CS"/>
              </w:rPr>
            </w:pPr>
            <w:r w:rsidRPr="0007074F">
              <w:rPr>
                <w:rFonts w:cstheme="minorHAnsi"/>
                <w:color w:val="002060"/>
                <w:sz w:val="18"/>
                <w:lang w:val="sr-Cyrl-CS"/>
              </w:rPr>
              <w:t>Пројекције</w:t>
            </w:r>
          </w:p>
        </w:tc>
      </w:tr>
      <w:tr w:rsidR="00907B95" w:rsidRPr="0007074F" w14:paraId="1756D927" w14:textId="77777777" w:rsidTr="002D6E55">
        <w:tc>
          <w:tcPr>
            <w:tcW w:w="2484" w:type="pct"/>
            <w:tcBorders>
              <w:top w:val="single" w:sz="2" w:space="0" w:color="FFFFFF" w:themeColor="background1"/>
            </w:tcBorders>
            <w:shd w:val="clear" w:color="auto" w:fill="auto"/>
          </w:tcPr>
          <w:p w14:paraId="61FF31D6" w14:textId="77777777" w:rsidR="00907B95" w:rsidRPr="0007074F" w:rsidRDefault="00907B95" w:rsidP="00C130D2">
            <w:pPr>
              <w:ind w:left="-15"/>
              <w:rPr>
                <w:rFonts w:cstheme="minorHAnsi"/>
                <w:color w:val="002060"/>
                <w:sz w:val="18"/>
                <w:szCs w:val="18"/>
                <w:lang w:val="sr-Cyrl-CS"/>
              </w:rPr>
            </w:pPr>
          </w:p>
        </w:tc>
        <w:tc>
          <w:tcPr>
            <w:tcW w:w="498" w:type="pct"/>
            <w:tcBorders>
              <w:top w:val="single" w:sz="4" w:space="0" w:color="FFFFFF" w:themeColor="background1"/>
              <w:bottom w:val="single" w:sz="4" w:space="0" w:color="auto"/>
            </w:tcBorders>
            <w:shd w:val="clear" w:color="auto" w:fill="auto"/>
          </w:tcPr>
          <w:p w14:paraId="1627D6DB" w14:textId="77777777" w:rsidR="00907B95" w:rsidRPr="0007074F" w:rsidRDefault="00907B95" w:rsidP="00C130D2">
            <w:pPr>
              <w:jc w:val="center"/>
              <w:rPr>
                <w:rFonts w:cstheme="minorHAnsi"/>
                <w:color w:val="002060"/>
                <w:sz w:val="18"/>
                <w:szCs w:val="18"/>
                <w:lang w:val="sr-Cyrl-CS"/>
              </w:rPr>
            </w:pPr>
            <w:r w:rsidRPr="0007074F">
              <w:rPr>
                <w:rFonts w:cstheme="minorHAnsi"/>
                <w:color w:val="002060"/>
                <w:sz w:val="18"/>
                <w:lang w:val="sr-Cyrl-CS"/>
              </w:rPr>
              <w:t>2023</w:t>
            </w:r>
          </w:p>
        </w:tc>
        <w:tc>
          <w:tcPr>
            <w:tcW w:w="498" w:type="pct"/>
            <w:tcBorders>
              <w:top w:val="single" w:sz="2" w:space="0" w:color="FFFFFF" w:themeColor="background1"/>
            </w:tcBorders>
            <w:shd w:val="clear" w:color="auto" w:fill="auto"/>
          </w:tcPr>
          <w:p w14:paraId="116A498E" w14:textId="77777777" w:rsidR="00907B95" w:rsidRPr="0007074F" w:rsidRDefault="00907B95" w:rsidP="00C130D2">
            <w:pPr>
              <w:jc w:val="center"/>
              <w:rPr>
                <w:rFonts w:cstheme="minorHAnsi"/>
                <w:color w:val="002060"/>
                <w:sz w:val="18"/>
                <w:szCs w:val="18"/>
                <w:lang w:val="sr-Cyrl-CS"/>
              </w:rPr>
            </w:pPr>
          </w:p>
        </w:tc>
        <w:tc>
          <w:tcPr>
            <w:tcW w:w="506" w:type="pct"/>
            <w:tcBorders>
              <w:top w:val="single" w:sz="4" w:space="0" w:color="FFFFFF" w:themeColor="background1"/>
              <w:bottom w:val="single" w:sz="4" w:space="0" w:color="auto"/>
            </w:tcBorders>
            <w:shd w:val="clear" w:color="auto" w:fill="auto"/>
          </w:tcPr>
          <w:p w14:paraId="359496B1" w14:textId="77777777" w:rsidR="00907B95" w:rsidRPr="0007074F" w:rsidRDefault="00907B95" w:rsidP="00C130D2">
            <w:pPr>
              <w:jc w:val="center"/>
              <w:rPr>
                <w:rFonts w:cstheme="minorHAnsi"/>
                <w:color w:val="002060"/>
                <w:sz w:val="18"/>
                <w:szCs w:val="18"/>
                <w:lang w:val="sr-Cyrl-CS"/>
              </w:rPr>
            </w:pPr>
            <w:r w:rsidRPr="0007074F">
              <w:rPr>
                <w:rFonts w:cstheme="minorHAnsi"/>
                <w:color w:val="002060"/>
                <w:sz w:val="18"/>
                <w:lang w:val="sr-Cyrl-CS"/>
              </w:rPr>
              <w:t>2024</w:t>
            </w:r>
          </w:p>
        </w:tc>
        <w:tc>
          <w:tcPr>
            <w:tcW w:w="506" w:type="pct"/>
            <w:tcBorders>
              <w:top w:val="single" w:sz="4" w:space="0" w:color="FFFFFF" w:themeColor="background1"/>
              <w:bottom w:val="single" w:sz="4" w:space="0" w:color="auto"/>
            </w:tcBorders>
            <w:shd w:val="clear" w:color="auto" w:fill="auto"/>
          </w:tcPr>
          <w:p w14:paraId="2065D06E" w14:textId="77777777" w:rsidR="00907B95" w:rsidRPr="0007074F" w:rsidRDefault="00907B95" w:rsidP="00C130D2">
            <w:pPr>
              <w:jc w:val="center"/>
              <w:rPr>
                <w:rFonts w:cstheme="minorHAnsi"/>
                <w:color w:val="002060"/>
                <w:sz w:val="18"/>
                <w:szCs w:val="18"/>
                <w:lang w:val="sr-Cyrl-CS"/>
              </w:rPr>
            </w:pPr>
            <w:r w:rsidRPr="0007074F">
              <w:rPr>
                <w:rFonts w:cstheme="minorHAnsi"/>
                <w:color w:val="002060"/>
                <w:sz w:val="18"/>
                <w:lang w:val="sr-Cyrl-CS"/>
              </w:rPr>
              <w:t>2025</w:t>
            </w:r>
          </w:p>
        </w:tc>
        <w:tc>
          <w:tcPr>
            <w:tcW w:w="507" w:type="pct"/>
            <w:tcBorders>
              <w:top w:val="single" w:sz="4" w:space="0" w:color="FFFFFF" w:themeColor="background1"/>
              <w:bottom w:val="single" w:sz="4" w:space="0" w:color="auto"/>
            </w:tcBorders>
            <w:shd w:val="clear" w:color="auto" w:fill="auto"/>
          </w:tcPr>
          <w:p w14:paraId="7CF9D46A" w14:textId="77777777" w:rsidR="00907B95" w:rsidRPr="0007074F" w:rsidRDefault="00907B95" w:rsidP="00C130D2">
            <w:pPr>
              <w:jc w:val="center"/>
              <w:rPr>
                <w:rFonts w:cstheme="minorHAnsi"/>
                <w:color w:val="002060"/>
                <w:sz w:val="18"/>
                <w:szCs w:val="18"/>
                <w:lang w:val="sr-Cyrl-CS"/>
              </w:rPr>
            </w:pPr>
            <w:r w:rsidRPr="0007074F">
              <w:rPr>
                <w:rFonts w:cstheme="minorHAnsi"/>
                <w:color w:val="002060"/>
                <w:sz w:val="18"/>
                <w:lang w:val="sr-Cyrl-CS"/>
              </w:rPr>
              <w:t>2026</w:t>
            </w:r>
          </w:p>
        </w:tc>
      </w:tr>
      <w:tr w:rsidR="00907B95" w:rsidRPr="0007074F" w14:paraId="0799304E" w14:textId="77777777" w:rsidTr="002D6E55">
        <w:tc>
          <w:tcPr>
            <w:tcW w:w="2484" w:type="pct"/>
            <w:tcBorders>
              <w:top w:val="single" w:sz="2" w:space="0" w:color="FFFFFF" w:themeColor="background1"/>
            </w:tcBorders>
            <w:shd w:val="clear" w:color="auto" w:fill="auto"/>
          </w:tcPr>
          <w:p w14:paraId="79D55D58" w14:textId="77777777" w:rsidR="00907B95" w:rsidRPr="0007074F" w:rsidRDefault="00907B95" w:rsidP="008527D6">
            <w:pPr>
              <w:ind w:left="-15"/>
              <w:rPr>
                <w:rFonts w:cstheme="minorHAnsi"/>
                <w:color w:val="002060"/>
                <w:sz w:val="18"/>
                <w:szCs w:val="18"/>
                <w:lang w:val="sr-Cyrl-CS"/>
              </w:rPr>
            </w:pPr>
            <w:r w:rsidRPr="0007074F">
              <w:rPr>
                <w:rFonts w:cstheme="minorHAnsi"/>
                <w:color w:val="002060"/>
                <w:sz w:val="18"/>
                <w:szCs w:val="18"/>
                <w:lang w:val="sr-Cyrl-CS"/>
              </w:rPr>
              <w:t>БДП, млрд динара (текуће цене)</w:t>
            </w:r>
          </w:p>
        </w:tc>
        <w:tc>
          <w:tcPr>
            <w:tcW w:w="498" w:type="pct"/>
            <w:tcBorders>
              <w:top w:val="single" w:sz="4" w:space="0" w:color="auto"/>
            </w:tcBorders>
            <w:shd w:val="clear" w:color="auto" w:fill="auto"/>
          </w:tcPr>
          <w:p w14:paraId="096AF14F"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8.103,5</w:t>
            </w:r>
          </w:p>
        </w:tc>
        <w:tc>
          <w:tcPr>
            <w:tcW w:w="498" w:type="pct"/>
            <w:tcBorders>
              <w:top w:val="single" w:sz="2" w:space="0" w:color="FFFFFF" w:themeColor="background1"/>
            </w:tcBorders>
            <w:shd w:val="clear" w:color="auto" w:fill="auto"/>
          </w:tcPr>
          <w:p w14:paraId="66B80C62" w14:textId="77777777" w:rsidR="00907B95" w:rsidRPr="0007074F" w:rsidRDefault="00907B95" w:rsidP="008527D6">
            <w:pPr>
              <w:jc w:val="center"/>
              <w:rPr>
                <w:rFonts w:cstheme="minorHAnsi"/>
                <w:color w:val="002060"/>
                <w:sz w:val="18"/>
                <w:szCs w:val="18"/>
                <w:lang w:val="sr-Cyrl-CS"/>
              </w:rPr>
            </w:pPr>
          </w:p>
        </w:tc>
        <w:tc>
          <w:tcPr>
            <w:tcW w:w="506" w:type="pct"/>
            <w:shd w:val="clear" w:color="auto" w:fill="auto"/>
            <w:vAlign w:val="center"/>
          </w:tcPr>
          <w:p w14:paraId="3DBFFDA5" w14:textId="77777777" w:rsidR="00907B95" w:rsidRPr="0007074F" w:rsidRDefault="00907B95" w:rsidP="002D6E55">
            <w:pPr>
              <w:jc w:val="center"/>
              <w:rPr>
                <w:rFonts w:cstheme="minorHAnsi"/>
                <w:color w:val="002060"/>
                <w:sz w:val="18"/>
                <w:szCs w:val="18"/>
                <w:lang w:val="sr-Cyrl-CS"/>
              </w:rPr>
            </w:pPr>
            <w:r w:rsidRPr="0007074F">
              <w:rPr>
                <w:rFonts w:cstheme="minorHAnsi"/>
                <w:color w:val="002060"/>
                <w:sz w:val="18"/>
                <w:szCs w:val="18"/>
                <w:lang w:val="sr-Cyrl-CS"/>
              </w:rPr>
              <w:t>8.773,6</w:t>
            </w:r>
          </w:p>
        </w:tc>
        <w:tc>
          <w:tcPr>
            <w:tcW w:w="506" w:type="pct"/>
            <w:shd w:val="clear" w:color="auto" w:fill="auto"/>
            <w:vAlign w:val="center"/>
          </w:tcPr>
          <w:p w14:paraId="097267F4"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9.461,4</w:t>
            </w:r>
          </w:p>
        </w:tc>
        <w:tc>
          <w:tcPr>
            <w:tcW w:w="507" w:type="pct"/>
            <w:shd w:val="clear" w:color="auto" w:fill="auto"/>
            <w:vAlign w:val="center"/>
          </w:tcPr>
          <w:p w14:paraId="050ABA49"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10.148,4</w:t>
            </w:r>
          </w:p>
        </w:tc>
      </w:tr>
      <w:tr w:rsidR="00907B95" w:rsidRPr="0007074F" w14:paraId="4F03F62B" w14:textId="77777777" w:rsidTr="002D6E55">
        <w:tc>
          <w:tcPr>
            <w:tcW w:w="2484" w:type="pct"/>
            <w:shd w:val="clear" w:color="auto" w:fill="auto"/>
          </w:tcPr>
          <w:p w14:paraId="1ADED324" w14:textId="77777777" w:rsidR="00907B95" w:rsidRPr="0007074F" w:rsidRDefault="00907B95" w:rsidP="008527D6">
            <w:pPr>
              <w:ind w:left="-15"/>
              <w:rPr>
                <w:rFonts w:cstheme="minorHAnsi"/>
                <w:color w:val="002060"/>
                <w:sz w:val="18"/>
                <w:szCs w:val="18"/>
                <w:lang w:val="sr-Cyrl-CS"/>
              </w:rPr>
            </w:pPr>
            <w:r w:rsidRPr="0007074F">
              <w:rPr>
                <w:rFonts w:cstheme="minorHAnsi"/>
                <w:color w:val="002060"/>
                <w:sz w:val="18"/>
                <w:szCs w:val="18"/>
                <w:lang w:val="sr-Cyrl-CS"/>
              </w:rPr>
              <w:t>Реални раст БДП, %</w:t>
            </w:r>
          </w:p>
        </w:tc>
        <w:tc>
          <w:tcPr>
            <w:tcW w:w="498" w:type="pct"/>
            <w:shd w:val="clear" w:color="auto" w:fill="auto"/>
          </w:tcPr>
          <w:p w14:paraId="7156C565"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2,5</w:t>
            </w:r>
          </w:p>
        </w:tc>
        <w:tc>
          <w:tcPr>
            <w:tcW w:w="498" w:type="pct"/>
            <w:shd w:val="clear" w:color="auto" w:fill="auto"/>
          </w:tcPr>
          <w:p w14:paraId="28DFB22C" w14:textId="77777777" w:rsidR="00907B95" w:rsidRPr="0007074F" w:rsidRDefault="00907B95" w:rsidP="008527D6">
            <w:pPr>
              <w:jc w:val="center"/>
              <w:rPr>
                <w:rFonts w:cstheme="minorHAnsi"/>
                <w:color w:val="002060"/>
                <w:sz w:val="18"/>
                <w:szCs w:val="18"/>
                <w:lang w:val="sr-Cyrl-CS"/>
              </w:rPr>
            </w:pPr>
          </w:p>
        </w:tc>
        <w:tc>
          <w:tcPr>
            <w:tcW w:w="506" w:type="pct"/>
            <w:shd w:val="clear" w:color="auto" w:fill="auto"/>
            <w:vAlign w:val="center"/>
          </w:tcPr>
          <w:p w14:paraId="28C30CD7"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3,5</w:t>
            </w:r>
          </w:p>
        </w:tc>
        <w:tc>
          <w:tcPr>
            <w:tcW w:w="506" w:type="pct"/>
            <w:shd w:val="clear" w:color="auto" w:fill="auto"/>
            <w:vAlign w:val="center"/>
          </w:tcPr>
          <w:p w14:paraId="5DD05930"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4,0</w:t>
            </w:r>
          </w:p>
        </w:tc>
        <w:tc>
          <w:tcPr>
            <w:tcW w:w="507" w:type="pct"/>
            <w:shd w:val="clear" w:color="auto" w:fill="auto"/>
            <w:vAlign w:val="center"/>
          </w:tcPr>
          <w:p w14:paraId="1CFA7269"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4,3</w:t>
            </w:r>
          </w:p>
        </w:tc>
      </w:tr>
      <w:tr w:rsidR="00907B95" w:rsidRPr="0007074F" w14:paraId="02405407" w14:textId="77777777" w:rsidTr="002D6E55">
        <w:tc>
          <w:tcPr>
            <w:tcW w:w="2484" w:type="pct"/>
            <w:shd w:val="clear" w:color="auto" w:fill="auto"/>
          </w:tcPr>
          <w:p w14:paraId="6607A929" w14:textId="77777777" w:rsidR="00907B95" w:rsidRPr="0007074F" w:rsidRDefault="00907B95" w:rsidP="008527D6">
            <w:pPr>
              <w:ind w:left="-15"/>
              <w:rPr>
                <w:rFonts w:cstheme="minorHAnsi"/>
                <w:color w:val="002060"/>
                <w:sz w:val="18"/>
                <w:szCs w:val="18"/>
                <w:lang w:val="sr-Cyrl-CS"/>
              </w:rPr>
            </w:pPr>
            <w:r w:rsidRPr="0007074F">
              <w:rPr>
                <w:rFonts w:cstheme="minorHAnsi"/>
                <w:color w:val="002060"/>
                <w:sz w:val="18"/>
                <w:szCs w:val="18"/>
                <w:lang w:val="sr-Cyrl-CS"/>
              </w:rPr>
              <w:t>Дефлатор БДП, %</w:t>
            </w:r>
          </w:p>
        </w:tc>
        <w:tc>
          <w:tcPr>
            <w:tcW w:w="498" w:type="pct"/>
            <w:shd w:val="clear" w:color="auto" w:fill="auto"/>
          </w:tcPr>
          <w:p w14:paraId="4EF1660E"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11,5</w:t>
            </w:r>
          </w:p>
        </w:tc>
        <w:tc>
          <w:tcPr>
            <w:tcW w:w="498" w:type="pct"/>
            <w:shd w:val="clear" w:color="auto" w:fill="auto"/>
          </w:tcPr>
          <w:p w14:paraId="1DE510F6" w14:textId="77777777" w:rsidR="00907B95" w:rsidRPr="0007074F" w:rsidRDefault="00907B95" w:rsidP="008527D6">
            <w:pPr>
              <w:jc w:val="center"/>
              <w:rPr>
                <w:rFonts w:cstheme="minorHAnsi"/>
                <w:color w:val="002060"/>
                <w:sz w:val="18"/>
                <w:szCs w:val="18"/>
                <w:lang w:val="sr-Cyrl-CS"/>
              </w:rPr>
            </w:pPr>
          </w:p>
        </w:tc>
        <w:tc>
          <w:tcPr>
            <w:tcW w:w="506" w:type="pct"/>
            <w:tcBorders>
              <w:top w:val="nil"/>
              <w:left w:val="nil"/>
              <w:bottom w:val="nil"/>
              <w:right w:val="nil"/>
            </w:tcBorders>
            <w:shd w:val="clear" w:color="auto" w:fill="auto"/>
            <w:vAlign w:val="bottom"/>
          </w:tcPr>
          <w:p w14:paraId="77C87A17"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4,6</w:t>
            </w:r>
          </w:p>
        </w:tc>
        <w:tc>
          <w:tcPr>
            <w:tcW w:w="506" w:type="pct"/>
            <w:tcBorders>
              <w:top w:val="nil"/>
              <w:left w:val="nil"/>
              <w:bottom w:val="nil"/>
              <w:right w:val="nil"/>
            </w:tcBorders>
            <w:shd w:val="clear" w:color="auto" w:fill="auto"/>
            <w:vAlign w:val="bottom"/>
          </w:tcPr>
          <w:p w14:paraId="6100C48E"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3,6</w:t>
            </w:r>
          </w:p>
        </w:tc>
        <w:tc>
          <w:tcPr>
            <w:tcW w:w="507" w:type="pct"/>
            <w:tcBorders>
              <w:top w:val="nil"/>
              <w:left w:val="nil"/>
              <w:bottom w:val="nil"/>
              <w:right w:val="nil"/>
            </w:tcBorders>
            <w:shd w:val="clear" w:color="auto" w:fill="auto"/>
            <w:vAlign w:val="bottom"/>
          </w:tcPr>
          <w:p w14:paraId="758173B1"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2,9</w:t>
            </w:r>
          </w:p>
        </w:tc>
      </w:tr>
      <w:tr w:rsidR="00907B95" w:rsidRPr="0007074F" w14:paraId="3CA1BA68" w14:textId="77777777" w:rsidTr="002D6E55">
        <w:tc>
          <w:tcPr>
            <w:tcW w:w="2484" w:type="pct"/>
            <w:shd w:val="clear" w:color="auto" w:fill="E7E6E6" w:themeFill="background2"/>
          </w:tcPr>
          <w:p w14:paraId="78E4346E" w14:textId="77777777" w:rsidR="00907B95" w:rsidRPr="0007074F" w:rsidRDefault="00907B95" w:rsidP="008527D6">
            <w:pPr>
              <w:jc w:val="center"/>
              <w:rPr>
                <w:rFonts w:cstheme="minorHAnsi"/>
                <w:color w:val="002060"/>
                <w:sz w:val="18"/>
                <w:szCs w:val="18"/>
                <w:lang w:val="sr-Cyrl-CS"/>
              </w:rPr>
            </w:pPr>
          </w:p>
        </w:tc>
        <w:tc>
          <w:tcPr>
            <w:tcW w:w="498" w:type="pct"/>
            <w:shd w:val="clear" w:color="auto" w:fill="E7E6E6" w:themeFill="background2"/>
          </w:tcPr>
          <w:p w14:paraId="65BC6063" w14:textId="77777777" w:rsidR="00907B95" w:rsidRPr="0007074F" w:rsidRDefault="00907B95" w:rsidP="008527D6">
            <w:pPr>
              <w:jc w:val="center"/>
              <w:rPr>
                <w:rFonts w:cstheme="minorHAnsi"/>
                <w:color w:val="002060"/>
                <w:sz w:val="18"/>
                <w:szCs w:val="18"/>
                <w:lang w:val="sr-Cyrl-CS"/>
              </w:rPr>
            </w:pPr>
          </w:p>
        </w:tc>
        <w:tc>
          <w:tcPr>
            <w:tcW w:w="498" w:type="pct"/>
            <w:shd w:val="clear" w:color="auto" w:fill="E7E6E6" w:themeFill="background2"/>
          </w:tcPr>
          <w:p w14:paraId="06CAB3A0" w14:textId="77777777" w:rsidR="00907B95" w:rsidRPr="0007074F" w:rsidRDefault="00907B95" w:rsidP="008527D6">
            <w:pPr>
              <w:jc w:val="center"/>
              <w:rPr>
                <w:rFonts w:cstheme="minorHAnsi"/>
                <w:color w:val="002060"/>
                <w:sz w:val="18"/>
                <w:szCs w:val="18"/>
                <w:lang w:val="sr-Cyrl-CS"/>
              </w:rPr>
            </w:pPr>
          </w:p>
        </w:tc>
        <w:tc>
          <w:tcPr>
            <w:tcW w:w="506" w:type="pct"/>
            <w:shd w:val="clear" w:color="auto" w:fill="E7E6E6" w:themeFill="background2"/>
          </w:tcPr>
          <w:p w14:paraId="2959A5B1" w14:textId="77777777" w:rsidR="00907B95" w:rsidRPr="0007074F" w:rsidRDefault="00907B95" w:rsidP="008527D6">
            <w:pPr>
              <w:jc w:val="center"/>
              <w:rPr>
                <w:rFonts w:cstheme="minorHAnsi"/>
                <w:color w:val="002060"/>
                <w:sz w:val="18"/>
                <w:szCs w:val="18"/>
                <w:lang w:val="sr-Cyrl-CS"/>
              </w:rPr>
            </w:pPr>
          </w:p>
        </w:tc>
        <w:tc>
          <w:tcPr>
            <w:tcW w:w="506" w:type="pct"/>
            <w:shd w:val="clear" w:color="auto" w:fill="E7E6E6" w:themeFill="background2"/>
          </w:tcPr>
          <w:p w14:paraId="6F36435A" w14:textId="77777777" w:rsidR="00907B95" w:rsidRPr="0007074F" w:rsidRDefault="00907B95" w:rsidP="008527D6">
            <w:pPr>
              <w:jc w:val="center"/>
              <w:rPr>
                <w:rFonts w:cstheme="minorHAnsi"/>
                <w:color w:val="002060"/>
                <w:sz w:val="18"/>
                <w:szCs w:val="18"/>
                <w:lang w:val="sr-Cyrl-CS"/>
              </w:rPr>
            </w:pPr>
          </w:p>
        </w:tc>
        <w:tc>
          <w:tcPr>
            <w:tcW w:w="507" w:type="pct"/>
            <w:shd w:val="clear" w:color="auto" w:fill="E7E6E6" w:themeFill="background2"/>
          </w:tcPr>
          <w:p w14:paraId="0FC2BB8D" w14:textId="77777777" w:rsidR="00907B95" w:rsidRPr="0007074F" w:rsidRDefault="00907B95" w:rsidP="008527D6">
            <w:pPr>
              <w:jc w:val="center"/>
              <w:rPr>
                <w:rFonts w:cstheme="minorHAnsi"/>
                <w:color w:val="002060"/>
                <w:sz w:val="18"/>
                <w:szCs w:val="18"/>
                <w:lang w:val="sr-Cyrl-CS"/>
              </w:rPr>
            </w:pPr>
          </w:p>
        </w:tc>
      </w:tr>
      <w:tr w:rsidR="00907B95" w:rsidRPr="0007074F" w14:paraId="55C81F84" w14:textId="77777777" w:rsidTr="002D6E55">
        <w:tc>
          <w:tcPr>
            <w:tcW w:w="2484" w:type="pct"/>
            <w:shd w:val="clear" w:color="auto" w:fill="auto"/>
          </w:tcPr>
          <w:p w14:paraId="23790BBD" w14:textId="77777777" w:rsidR="00907B95" w:rsidRPr="0007074F" w:rsidRDefault="00907B95" w:rsidP="008527D6">
            <w:pPr>
              <w:ind w:left="256"/>
              <w:rPr>
                <w:rFonts w:cstheme="minorHAnsi"/>
                <w:color w:val="002060"/>
                <w:sz w:val="18"/>
                <w:szCs w:val="18"/>
                <w:lang w:val="sr-Cyrl-CS"/>
              </w:rPr>
            </w:pPr>
            <w:r w:rsidRPr="0007074F">
              <w:rPr>
                <w:rFonts w:cstheme="minorHAnsi"/>
                <w:color w:val="002060"/>
                <w:sz w:val="18"/>
                <w:szCs w:val="18"/>
                <w:lang w:val="sr-Cyrl-CS"/>
              </w:rPr>
              <w:t>Лична потрошња</w:t>
            </w:r>
          </w:p>
        </w:tc>
        <w:tc>
          <w:tcPr>
            <w:tcW w:w="498" w:type="pct"/>
            <w:shd w:val="clear" w:color="auto" w:fill="auto"/>
          </w:tcPr>
          <w:p w14:paraId="75C410F9"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2,2</w:t>
            </w:r>
          </w:p>
        </w:tc>
        <w:tc>
          <w:tcPr>
            <w:tcW w:w="498" w:type="pct"/>
            <w:shd w:val="clear" w:color="auto" w:fill="auto"/>
          </w:tcPr>
          <w:p w14:paraId="7DCC0CF3" w14:textId="77777777" w:rsidR="00907B95" w:rsidRPr="0007074F" w:rsidRDefault="00907B95" w:rsidP="008527D6">
            <w:pPr>
              <w:jc w:val="center"/>
              <w:rPr>
                <w:rFonts w:cstheme="minorHAnsi"/>
                <w:color w:val="002060"/>
                <w:sz w:val="18"/>
                <w:szCs w:val="18"/>
                <w:lang w:val="sr-Cyrl-CS"/>
              </w:rPr>
            </w:pPr>
          </w:p>
        </w:tc>
        <w:tc>
          <w:tcPr>
            <w:tcW w:w="506" w:type="pct"/>
            <w:tcBorders>
              <w:top w:val="nil"/>
              <w:left w:val="nil"/>
              <w:bottom w:val="nil"/>
              <w:right w:val="nil"/>
            </w:tcBorders>
            <w:shd w:val="clear" w:color="auto" w:fill="auto"/>
            <w:vAlign w:val="bottom"/>
          </w:tcPr>
          <w:p w14:paraId="1819C715" w14:textId="77777777" w:rsidR="00907B95" w:rsidRPr="0007074F" w:rsidRDefault="00907B95" w:rsidP="002D6E55">
            <w:pPr>
              <w:jc w:val="center"/>
              <w:rPr>
                <w:rFonts w:cstheme="minorHAnsi"/>
                <w:color w:val="002060"/>
                <w:sz w:val="18"/>
                <w:szCs w:val="18"/>
                <w:lang w:val="sr-Cyrl-CS"/>
              </w:rPr>
            </w:pPr>
            <w:r w:rsidRPr="0007074F">
              <w:rPr>
                <w:rFonts w:cstheme="minorHAnsi"/>
                <w:color w:val="002060"/>
                <w:sz w:val="18"/>
                <w:szCs w:val="18"/>
                <w:lang w:val="sr-Cyrl-CS"/>
              </w:rPr>
              <w:t>3,5</w:t>
            </w:r>
          </w:p>
        </w:tc>
        <w:tc>
          <w:tcPr>
            <w:tcW w:w="506" w:type="pct"/>
            <w:tcBorders>
              <w:top w:val="nil"/>
              <w:left w:val="nil"/>
              <w:bottom w:val="nil"/>
              <w:right w:val="nil"/>
            </w:tcBorders>
            <w:shd w:val="clear" w:color="auto" w:fill="auto"/>
            <w:vAlign w:val="bottom"/>
          </w:tcPr>
          <w:p w14:paraId="2FF72D66"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3,6</w:t>
            </w:r>
          </w:p>
        </w:tc>
        <w:tc>
          <w:tcPr>
            <w:tcW w:w="507" w:type="pct"/>
            <w:tcBorders>
              <w:top w:val="nil"/>
              <w:left w:val="nil"/>
              <w:bottom w:val="nil"/>
              <w:right w:val="nil"/>
            </w:tcBorders>
            <w:shd w:val="clear" w:color="auto" w:fill="auto"/>
            <w:vAlign w:val="bottom"/>
          </w:tcPr>
          <w:p w14:paraId="38956172"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3,7</w:t>
            </w:r>
          </w:p>
        </w:tc>
      </w:tr>
      <w:tr w:rsidR="00907B95" w:rsidRPr="0007074F" w14:paraId="60BBE02D" w14:textId="77777777" w:rsidTr="002D6E55">
        <w:tc>
          <w:tcPr>
            <w:tcW w:w="2484" w:type="pct"/>
            <w:shd w:val="clear" w:color="auto" w:fill="auto"/>
          </w:tcPr>
          <w:p w14:paraId="796DE144" w14:textId="77777777" w:rsidR="00907B95" w:rsidRPr="0007074F" w:rsidRDefault="00907B95" w:rsidP="008527D6">
            <w:pPr>
              <w:ind w:left="256"/>
              <w:rPr>
                <w:rFonts w:cstheme="minorHAnsi"/>
                <w:color w:val="002060"/>
                <w:sz w:val="18"/>
                <w:szCs w:val="18"/>
                <w:lang w:val="sr-Cyrl-CS"/>
              </w:rPr>
            </w:pPr>
            <w:r w:rsidRPr="0007074F">
              <w:rPr>
                <w:rFonts w:cstheme="minorHAnsi"/>
                <w:color w:val="002060"/>
                <w:sz w:val="18"/>
                <w:szCs w:val="18"/>
                <w:lang w:val="sr-Cyrl-CS"/>
              </w:rPr>
              <w:t>Државна потрошња</w:t>
            </w:r>
          </w:p>
        </w:tc>
        <w:tc>
          <w:tcPr>
            <w:tcW w:w="498" w:type="pct"/>
            <w:shd w:val="clear" w:color="auto" w:fill="auto"/>
          </w:tcPr>
          <w:p w14:paraId="0767F780"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-1,5</w:t>
            </w:r>
          </w:p>
        </w:tc>
        <w:tc>
          <w:tcPr>
            <w:tcW w:w="498" w:type="pct"/>
            <w:shd w:val="clear" w:color="auto" w:fill="auto"/>
          </w:tcPr>
          <w:p w14:paraId="3A8E9E7A" w14:textId="77777777" w:rsidR="00907B95" w:rsidRPr="0007074F" w:rsidRDefault="00907B95" w:rsidP="008527D6">
            <w:pPr>
              <w:jc w:val="center"/>
              <w:rPr>
                <w:rFonts w:cstheme="minorHAnsi"/>
                <w:color w:val="002060"/>
                <w:sz w:val="18"/>
                <w:szCs w:val="18"/>
                <w:lang w:val="sr-Cyrl-CS"/>
              </w:rPr>
            </w:pPr>
          </w:p>
        </w:tc>
        <w:tc>
          <w:tcPr>
            <w:tcW w:w="506" w:type="pct"/>
            <w:tcBorders>
              <w:top w:val="nil"/>
              <w:left w:val="nil"/>
              <w:bottom w:val="nil"/>
              <w:right w:val="nil"/>
            </w:tcBorders>
            <w:shd w:val="clear" w:color="auto" w:fill="auto"/>
            <w:vAlign w:val="bottom"/>
          </w:tcPr>
          <w:p w14:paraId="0C6271E9"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1,0</w:t>
            </w:r>
          </w:p>
        </w:tc>
        <w:tc>
          <w:tcPr>
            <w:tcW w:w="506" w:type="pct"/>
            <w:tcBorders>
              <w:top w:val="nil"/>
              <w:left w:val="nil"/>
              <w:bottom w:val="nil"/>
              <w:right w:val="nil"/>
            </w:tcBorders>
            <w:shd w:val="clear" w:color="auto" w:fill="auto"/>
            <w:vAlign w:val="bottom"/>
          </w:tcPr>
          <w:p w14:paraId="37B8A4FA"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0,8</w:t>
            </w:r>
          </w:p>
        </w:tc>
        <w:tc>
          <w:tcPr>
            <w:tcW w:w="507" w:type="pct"/>
            <w:tcBorders>
              <w:top w:val="nil"/>
              <w:left w:val="nil"/>
              <w:bottom w:val="nil"/>
              <w:right w:val="nil"/>
            </w:tcBorders>
            <w:shd w:val="clear" w:color="auto" w:fill="auto"/>
            <w:vAlign w:val="bottom"/>
          </w:tcPr>
          <w:p w14:paraId="419DE08A"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1,0</w:t>
            </w:r>
          </w:p>
        </w:tc>
      </w:tr>
      <w:tr w:rsidR="00907B95" w:rsidRPr="0007074F" w14:paraId="2511CBD5" w14:textId="77777777" w:rsidTr="002D6E55">
        <w:tc>
          <w:tcPr>
            <w:tcW w:w="2484" w:type="pct"/>
            <w:shd w:val="clear" w:color="auto" w:fill="auto"/>
          </w:tcPr>
          <w:p w14:paraId="22941A95" w14:textId="77777777" w:rsidR="00907B95" w:rsidRPr="0007074F" w:rsidRDefault="00907B95" w:rsidP="008527D6">
            <w:pPr>
              <w:ind w:left="256"/>
              <w:rPr>
                <w:rFonts w:cstheme="minorHAnsi"/>
                <w:color w:val="002060"/>
                <w:sz w:val="18"/>
                <w:szCs w:val="18"/>
                <w:lang w:val="sr-Cyrl-CS"/>
              </w:rPr>
            </w:pPr>
            <w:r w:rsidRPr="0007074F">
              <w:rPr>
                <w:rFonts w:cstheme="minorHAnsi"/>
                <w:color w:val="002060"/>
                <w:sz w:val="18"/>
                <w:szCs w:val="18"/>
                <w:lang w:val="sr-Cyrl-CS"/>
              </w:rPr>
              <w:t>Бруто инвестиције у основна средства</w:t>
            </w:r>
          </w:p>
        </w:tc>
        <w:tc>
          <w:tcPr>
            <w:tcW w:w="498" w:type="pct"/>
            <w:shd w:val="clear" w:color="auto" w:fill="auto"/>
          </w:tcPr>
          <w:p w14:paraId="26CC7FC0"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2,6</w:t>
            </w:r>
          </w:p>
        </w:tc>
        <w:tc>
          <w:tcPr>
            <w:tcW w:w="498" w:type="pct"/>
            <w:shd w:val="clear" w:color="auto" w:fill="auto"/>
          </w:tcPr>
          <w:p w14:paraId="0E4DB661" w14:textId="77777777" w:rsidR="00907B95" w:rsidRPr="0007074F" w:rsidRDefault="00907B95" w:rsidP="008527D6">
            <w:pPr>
              <w:jc w:val="center"/>
              <w:rPr>
                <w:rFonts w:cstheme="minorHAnsi"/>
                <w:color w:val="002060"/>
                <w:sz w:val="18"/>
                <w:szCs w:val="18"/>
                <w:lang w:val="sr-Cyrl-CS"/>
              </w:rPr>
            </w:pPr>
          </w:p>
        </w:tc>
        <w:tc>
          <w:tcPr>
            <w:tcW w:w="506" w:type="pct"/>
            <w:tcBorders>
              <w:top w:val="nil"/>
              <w:left w:val="nil"/>
              <w:bottom w:val="nil"/>
              <w:right w:val="nil"/>
            </w:tcBorders>
            <w:shd w:val="clear" w:color="auto" w:fill="auto"/>
            <w:vAlign w:val="bottom"/>
          </w:tcPr>
          <w:p w14:paraId="565A619B"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3,2</w:t>
            </w:r>
          </w:p>
        </w:tc>
        <w:tc>
          <w:tcPr>
            <w:tcW w:w="506" w:type="pct"/>
            <w:tcBorders>
              <w:top w:val="nil"/>
              <w:left w:val="nil"/>
              <w:bottom w:val="nil"/>
              <w:right w:val="nil"/>
            </w:tcBorders>
            <w:shd w:val="clear" w:color="auto" w:fill="auto"/>
            <w:vAlign w:val="bottom"/>
          </w:tcPr>
          <w:p w14:paraId="645F6441"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5,8</w:t>
            </w:r>
          </w:p>
        </w:tc>
        <w:tc>
          <w:tcPr>
            <w:tcW w:w="507" w:type="pct"/>
            <w:tcBorders>
              <w:top w:val="nil"/>
              <w:left w:val="nil"/>
              <w:bottom w:val="nil"/>
              <w:right w:val="nil"/>
            </w:tcBorders>
            <w:shd w:val="clear" w:color="auto" w:fill="auto"/>
            <w:vAlign w:val="bottom"/>
          </w:tcPr>
          <w:p w14:paraId="3A95EF80"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6,8</w:t>
            </w:r>
          </w:p>
        </w:tc>
      </w:tr>
      <w:tr w:rsidR="00907B95" w:rsidRPr="0007074F" w14:paraId="4FED1168" w14:textId="77777777" w:rsidTr="002D6E55">
        <w:tc>
          <w:tcPr>
            <w:tcW w:w="2484" w:type="pct"/>
            <w:shd w:val="clear" w:color="auto" w:fill="auto"/>
          </w:tcPr>
          <w:p w14:paraId="36C5650C" w14:textId="77777777" w:rsidR="00907B95" w:rsidRPr="0007074F" w:rsidRDefault="00907B95" w:rsidP="008527D6">
            <w:pPr>
              <w:ind w:left="256"/>
              <w:rPr>
                <w:rFonts w:cstheme="minorHAnsi"/>
                <w:color w:val="002060"/>
                <w:sz w:val="18"/>
                <w:szCs w:val="18"/>
                <w:lang w:val="sr-Cyrl-CS"/>
              </w:rPr>
            </w:pPr>
            <w:r w:rsidRPr="0007074F">
              <w:rPr>
                <w:rFonts w:cstheme="minorHAnsi"/>
                <w:color w:val="002060"/>
                <w:sz w:val="18"/>
                <w:szCs w:val="18"/>
                <w:lang w:val="sr-Cyrl-CS"/>
              </w:rPr>
              <w:t>Извоз робе и услуга</w:t>
            </w:r>
          </w:p>
        </w:tc>
        <w:tc>
          <w:tcPr>
            <w:tcW w:w="498" w:type="pct"/>
            <w:shd w:val="clear" w:color="auto" w:fill="auto"/>
          </w:tcPr>
          <w:p w14:paraId="4DC25FD1" w14:textId="77777777" w:rsidR="00907B95" w:rsidRPr="0007074F" w:rsidRDefault="00907B95" w:rsidP="002D6E55">
            <w:pPr>
              <w:jc w:val="center"/>
              <w:rPr>
                <w:rFonts w:cstheme="minorHAnsi"/>
                <w:color w:val="002060"/>
                <w:sz w:val="18"/>
                <w:szCs w:val="18"/>
                <w:lang w:val="sr-Cyrl-CS"/>
              </w:rPr>
            </w:pPr>
            <w:r w:rsidRPr="0007074F">
              <w:rPr>
                <w:rFonts w:cstheme="minorHAnsi"/>
                <w:color w:val="002060"/>
                <w:sz w:val="18"/>
                <w:szCs w:val="18"/>
                <w:lang w:val="sr-Cyrl-CS"/>
              </w:rPr>
              <w:t>5,1</w:t>
            </w:r>
          </w:p>
        </w:tc>
        <w:tc>
          <w:tcPr>
            <w:tcW w:w="498" w:type="pct"/>
            <w:shd w:val="clear" w:color="auto" w:fill="auto"/>
          </w:tcPr>
          <w:p w14:paraId="34E2A254" w14:textId="77777777" w:rsidR="00907B95" w:rsidRPr="0007074F" w:rsidRDefault="00907B95" w:rsidP="008527D6">
            <w:pPr>
              <w:jc w:val="center"/>
              <w:rPr>
                <w:rFonts w:cstheme="minorHAnsi"/>
                <w:color w:val="002060"/>
                <w:sz w:val="18"/>
                <w:szCs w:val="18"/>
                <w:lang w:val="sr-Cyrl-CS"/>
              </w:rPr>
            </w:pPr>
          </w:p>
        </w:tc>
        <w:tc>
          <w:tcPr>
            <w:tcW w:w="506" w:type="pct"/>
            <w:tcBorders>
              <w:top w:val="nil"/>
              <w:left w:val="nil"/>
              <w:bottom w:val="nil"/>
              <w:right w:val="nil"/>
            </w:tcBorders>
            <w:shd w:val="clear" w:color="auto" w:fill="auto"/>
            <w:vAlign w:val="bottom"/>
          </w:tcPr>
          <w:p w14:paraId="757A3C57"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8,6</w:t>
            </w:r>
          </w:p>
        </w:tc>
        <w:tc>
          <w:tcPr>
            <w:tcW w:w="506" w:type="pct"/>
            <w:tcBorders>
              <w:top w:val="nil"/>
              <w:left w:val="nil"/>
              <w:bottom w:val="nil"/>
              <w:right w:val="nil"/>
            </w:tcBorders>
            <w:shd w:val="clear" w:color="auto" w:fill="auto"/>
            <w:vAlign w:val="bottom"/>
          </w:tcPr>
          <w:p w14:paraId="6D69CEE9"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10,6</w:t>
            </w:r>
          </w:p>
        </w:tc>
        <w:tc>
          <w:tcPr>
            <w:tcW w:w="507" w:type="pct"/>
            <w:tcBorders>
              <w:top w:val="nil"/>
              <w:left w:val="nil"/>
              <w:bottom w:val="nil"/>
              <w:right w:val="nil"/>
            </w:tcBorders>
            <w:shd w:val="clear" w:color="auto" w:fill="auto"/>
            <w:vAlign w:val="bottom"/>
          </w:tcPr>
          <w:p w14:paraId="0F33C3D9"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11,8</w:t>
            </w:r>
          </w:p>
        </w:tc>
      </w:tr>
      <w:tr w:rsidR="00907B95" w:rsidRPr="0007074F" w14:paraId="1458797A" w14:textId="77777777" w:rsidTr="002D6E55">
        <w:tc>
          <w:tcPr>
            <w:tcW w:w="2484" w:type="pct"/>
            <w:shd w:val="clear" w:color="auto" w:fill="auto"/>
          </w:tcPr>
          <w:p w14:paraId="54C197C0" w14:textId="77777777" w:rsidR="00907B95" w:rsidRPr="0007074F" w:rsidRDefault="00907B95" w:rsidP="008527D6">
            <w:pPr>
              <w:ind w:left="256"/>
              <w:rPr>
                <w:rFonts w:cstheme="minorHAnsi"/>
                <w:color w:val="002060"/>
                <w:sz w:val="18"/>
                <w:szCs w:val="18"/>
                <w:lang w:val="sr-Cyrl-CS"/>
              </w:rPr>
            </w:pPr>
            <w:r w:rsidRPr="0007074F">
              <w:rPr>
                <w:rFonts w:cstheme="minorHAnsi"/>
                <w:color w:val="002060"/>
                <w:sz w:val="18"/>
                <w:szCs w:val="18"/>
                <w:lang w:val="sr-Cyrl-CS"/>
              </w:rPr>
              <w:t>Увоз робе и услуга</w:t>
            </w:r>
          </w:p>
        </w:tc>
        <w:tc>
          <w:tcPr>
            <w:tcW w:w="498" w:type="pct"/>
            <w:shd w:val="clear" w:color="auto" w:fill="auto"/>
          </w:tcPr>
          <w:p w14:paraId="21E779D8" w14:textId="77777777" w:rsidR="00907B95" w:rsidRPr="0007074F" w:rsidRDefault="00907B95" w:rsidP="002D6E55">
            <w:pPr>
              <w:jc w:val="center"/>
              <w:rPr>
                <w:rFonts w:cstheme="minorHAnsi"/>
                <w:color w:val="002060"/>
                <w:sz w:val="18"/>
                <w:szCs w:val="18"/>
                <w:lang w:val="sr-Cyrl-CS"/>
              </w:rPr>
            </w:pPr>
            <w:r w:rsidRPr="0007074F">
              <w:rPr>
                <w:rFonts w:cstheme="minorHAnsi"/>
                <w:color w:val="002060"/>
                <w:sz w:val="18"/>
                <w:szCs w:val="18"/>
                <w:lang w:val="sr-Cyrl-CS"/>
              </w:rPr>
              <w:t>3,8</w:t>
            </w:r>
          </w:p>
        </w:tc>
        <w:tc>
          <w:tcPr>
            <w:tcW w:w="498" w:type="pct"/>
            <w:shd w:val="clear" w:color="auto" w:fill="auto"/>
          </w:tcPr>
          <w:p w14:paraId="483A05D2" w14:textId="77777777" w:rsidR="00907B95" w:rsidRPr="0007074F" w:rsidRDefault="00907B95" w:rsidP="008527D6">
            <w:pPr>
              <w:jc w:val="center"/>
              <w:rPr>
                <w:rFonts w:cstheme="minorHAnsi"/>
                <w:color w:val="002060"/>
                <w:sz w:val="18"/>
                <w:szCs w:val="18"/>
                <w:lang w:val="sr-Cyrl-CS"/>
              </w:rPr>
            </w:pPr>
          </w:p>
        </w:tc>
        <w:tc>
          <w:tcPr>
            <w:tcW w:w="506" w:type="pct"/>
            <w:tcBorders>
              <w:top w:val="nil"/>
              <w:left w:val="nil"/>
              <w:bottom w:val="nil"/>
              <w:right w:val="nil"/>
            </w:tcBorders>
            <w:shd w:val="clear" w:color="auto" w:fill="auto"/>
            <w:vAlign w:val="bottom"/>
          </w:tcPr>
          <w:p w14:paraId="74FE2586"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7,2</w:t>
            </w:r>
          </w:p>
        </w:tc>
        <w:tc>
          <w:tcPr>
            <w:tcW w:w="506" w:type="pct"/>
            <w:tcBorders>
              <w:top w:val="nil"/>
              <w:left w:val="nil"/>
              <w:bottom w:val="nil"/>
              <w:right w:val="nil"/>
            </w:tcBorders>
            <w:shd w:val="clear" w:color="auto" w:fill="auto"/>
            <w:vAlign w:val="bottom"/>
          </w:tcPr>
          <w:p w14:paraId="54F27685"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8,9</w:t>
            </w:r>
          </w:p>
        </w:tc>
        <w:tc>
          <w:tcPr>
            <w:tcW w:w="507" w:type="pct"/>
            <w:tcBorders>
              <w:top w:val="nil"/>
              <w:left w:val="nil"/>
              <w:bottom w:val="nil"/>
              <w:right w:val="nil"/>
            </w:tcBorders>
            <w:shd w:val="clear" w:color="auto" w:fill="auto"/>
            <w:vAlign w:val="bottom"/>
          </w:tcPr>
          <w:p w14:paraId="74B9BB6F"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10,0</w:t>
            </w:r>
          </w:p>
        </w:tc>
      </w:tr>
      <w:tr w:rsidR="00907B95" w:rsidRPr="0007074F" w14:paraId="141E727A" w14:textId="77777777" w:rsidTr="002D6E55">
        <w:tc>
          <w:tcPr>
            <w:tcW w:w="2484" w:type="pct"/>
            <w:shd w:val="clear" w:color="auto" w:fill="auto"/>
          </w:tcPr>
          <w:p w14:paraId="21390361" w14:textId="77777777" w:rsidR="00907B95" w:rsidRPr="0007074F" w:rsidRDefault="00907B95" w:rsidP="008527D6">
            <w:pPr>
              <w:ind w:left="-15"/>
              <w:rPr>
                <w:rFonts w:cstheme="minorHAnsi"/>
                <w:color w:val="002060"/>
                <w:sz w:val="18"/>
                <w:szCs w:val="18"/>
                <w:lang w:val="sr-Cyrl-CS"/>
              </w:rPr>
            </w:pPr>
            <w:r w:rsidRPr="0007074F">
              <w:rPr>
                <w:rFonts w:cstheme="minorHAnsi"/>
                <w:color w:val="002060"/>
                <w:sz w:val="18"/>
                <w:szCs w:val="18"/>
                <w:lang w:val="sr-Cyrl-CS"/>
              </w:rPr>
              <w:t>Салдо робе и услуга, у ЕУР, % БДП</w:t>
            </w:r>
          </w:p>
        </w:tc>
        <w:tc>
          <w:tcPr>
            <w:tcW w:w="498" w:type="pct"/>
            <w:shd w:val="clear" w:color="auto" w:fill="auto"/>
          </w:tcPr>
          <w:p w14:paraId="234373B6"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-9,0</w:t>
            </w:r>
          </w:p>
        </w:tc>
        <w:tc>
          <w:tcPr>
            <w:tcW w:w="498" w:type="pct"/>
            <w:shd w:val="clear" w:color="auto" w:fill="auto"/>
          </w:tcPr>
          <w:p w14:paraId="6DBACDED" w14:textId="77777777" w:rsidR="00907B95" w:rsidRPr="0007074F" w:rsidRDefault="00907B95" w:rsidP="008527D6">
            <w:pPr>
              <w:jc w:val="center"/>
              <w:rPr>
                <w:rFonts w:cstheme="minorHAnsi"/>
                <w:color w:val="002060"/>
                <w:sz w:val="18"/>
                <w:szCs w:val="18"/>
                <w:lang w:val="sr-Cyrl-CS"/>
              </w:rPr>
            </w:pPr>
          </w:p>
        </w:tc>
        <w:tc>
          <w:tcPr>
            <w:tcW w:w="506" w:type="pct"/>
            <w:shd w:val="clear" w:color="auto" w:fill="auto"/>
          </w:tcPr>
          <w:p w14:paraId="327B01DF" w14:textId="77777777" w:rsidR="00907B95" w:rsidRPr="0007074F" w:rsidRDefault="00907B95" w:rsidP="008527D6">
            <w:pPr>
              <w:jc w:val="center"/>
              <w:rPr>
                <w:color w:val="002060"/>
                <w:sz w:val="18"/>
                <w:lang w:val="sr-Cyrl-CS"/>
              </w:rPr>
            </w:pPr>
            <w:r w:rsidRPr="0007074F">
              <w:rPr>
                <w:color w:val="002060"/>
                <w:sz w:val="18"/>
                <w:lang w:val="sr-Cyrl-CS"/>
              </w:rPr>
              <w:t>-8,5</w:t>
            </w:r>
          </w:p>
        </w:tc>
        <w:tc>
          <w:tcPr>
            <w:tcW w:w="506" w:type="pct"/>
            <w:shd w:val="clear" w:color="auto" w:fill="auto"/>
          </w:tcPr>
          <w:p w14:paraId="34039CC2" w14:textId="77777777" w:rsidR="00907B95" w:rsidRPr="0007074F" w:rsidRDefault="00907B95" w:rsidP="008527D6">
            <w:pPr>
              <w:jc w:val="center"/>
              <w:rPr>
                <w:color w:val="002060"/>
                <w:sz w:val="18"/>
                <w:lang w:val="sr-Cyrl-CS"/>
              </w:rPr>
            </w:pPr>
            <w:r w:rsidRPr="0007074F">
              <w:rPr>
                <w:color w:val="002060"/>
                <w:sz w:val="18"/>
                <w:lang w:val="sr-Cyrl-CS"/>
              </w:rPr>
              <w:t>-7,9</w:t>
            </w:r>
          </w:p>
        </w:tc>
        <w:tc>
          <w:tcPr>
            <w:tcW w:w="507" w:type="pct"/>
            <w:shd w:val="clear" w:color="auto" w:fill="auto"/>
          </w:tcPr>
          <w:p w14:paraId="09A182AA" w14:textId="77777777" w:rsidR="00907B95" w:rsidRPr="0007074F" w:rsidRDefault="00907B95" w:rsidP="008527D6">
            <w:pPr>
              <w:jc w:val="center"/>
              <w:rPr>
                <w:color w:val="002060"/>
                <w:sz w:val="18"/>
                <w:lang w:val="sr-Cyrl-CS"/>
              </w:rPr>
            </w:pPr>
            <w:r w:rsidRPr="0007074F">
              <w:rPr>
                <w:color w:val="002060"/>
                <w:sz w:val="18"/>
                <w:lang w:val="sr-Cyrl-CS"/>
              </w:rPr>
              <w:t>-7,2</w:t>
            </w:r>
          </w:p>
        </w:tc>
      </w:tr>
      <w:tr w:rsidR="00907B95" w:rsidRPr="0007074F" w14:paraId="1E1A532A" w14:textId="77777777" w:rsidTr="002D6E55">
        <w:tc>
          <w:tcPr>
            <w:tcW w:w="2484" w:type="pct"/>
            <w:shd w:val="clear" w:color="auto" w:fill="auto"/>
          </w:tcPr>
          <w:p w14:paraId="6F1A6711" w14:textId="77777777" w:rsidR="00907B95" w:rsidRPr="0007074F" w:rsidRDefault="00907B95" w:rsidP="008527D6">
            <w:pPr>
              <w:ind w:left="-15"/>
              <w:rPr>
                <w:rFonts w:cstheme="minorHAnsi"/>
                <w:color w:val="002060"/>
                <w:sz w:val="18"/>
                <w:szCs w:val="18"/>
                <w:lang w:val="sr-Cyrl-CS"/>
              </w:rPr>
            </w:pPr>
            <w:r w:rsidRPr="0007074F">
              <w:rPr>
                <w:rFonts w:cstheme="minorHAnsi"/>
                <w:color w:val="002060"/>
                <w:sz w:val="18"/>
                <w:szCs w:val="18"/>
                <w:lang w:val="sr-Cyrl-CS"/>
              </w:rPr>
              <w:t>Салдо текућег рачуна, у ЕУР, % БДП</w:t>
            </w:r>
          </w:p>
        </w:tc>
        <w:tc>
          <w:tcPr>
            <w:tcW w:w="498" w:type="pct"/>
            <w:shd w:val="clear" w:color="auto" w:fill="auto"/>
          </w:tcPr>
          <w:p w14:paraId="62F0F295"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-5,3</w:t>
            </w:r>
          </w:p>
        </w:tc>
        <w:tc>
          <w:tcPr>
            <w:tcW w:w="498" w:type="pct"/>
            <w:shd w:val="clear" w:color="auto" w:fill="auto"/>
          </w:tcPr>
          <w:p w14:paraId="50971E43" w14:textId="77777777" w:rsidR="00907B95" w:rsidRPr="0007074F" w:rsidRDefault="00907B95" w:rsidP="008527D6">
            <w:pPr>
              <w:jc w:val="center"/>
              <w:rPr>
                <w:rFonts w:cstheme="minorHAnsi"/>
                <w:color w:val="002060"/>
                <w:sz w:val="18"/>
                <w:szCs w:val="18"/>
                <w:lang w:val="sr-Cyrl-CS"/>
              </w:rPr>
            </w:pPr>
          </w:p>
        </w:tc>
        <w:tc>
          <w:tcPr>
            <w:tcW w:w="506" w:type="pct"/>
            <w:tcBorders>
              <w:top w:val="nil"/>
              <w:left w:val="nil"/>
              <w:bottom w:val="nil"/>
              <w:right w:val="nil"/>
            </w:tcBorders>
            <w:shd w:val="clear" w:color="auto" w:fill="auto"/>
            <w:vAlign w:val="bottom"/>
          </w:tcPr>
          <w:p w14:paraId="5070CBE7"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-5,2</w:t>
            </w:r>
          </w:p>
        </w:tc>
        <w:tc>
          <w:tcPr>
            <w:tcW w:w="506" w:type="pct"/>
            <w:tcBorders>
              <w:top w:val="nil"/>
              <w:left w:val="nil"/>
              <w:bottom w:val="nil"/>
              <w:right w:val="nil"/>
            </w:tcBorders>
            <w:shd w:val="clear" w:color="auto" w:fill="auto"/>
            <w:vAlign w:val="bottom"/>
          </w:tcPr>
          <w:p w14:paraId="124B3569"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-5,1</w:t>
            </w:r>
          </w:p>
        </w:tc>
        <w:tc>
          <w:tcPr>
            <w:tcW w:w="507" w:type="pct"/>
            <w:tcBorders>
              <w:top w:val="nil"/>
              <w:left w:val="nil"/>
              <w:bottom w:val="nil"/>
              <w:right w:val="nil"/>
            </w:tcBorders>
            <w:shd w:val="clear" w:color="auto" w:fill="auto"/>
            <w:vAlign w:val="bottom"/>
          </w:tcPr>
          <w:p w14:paraId="6A4CC479"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-4,7</w:t>
            </w:r>
          </w:p>
        </w:tc>
      </w:tr>
      <w:tr w:rsidR="00907B95" w:rsidRPr="0007074F" w14:paraId="64609815" w14:textId="77777777" w:rsidTr="002D6E55">
        <w:trPr>
          <w:trHeight w:val="193"/>
        </w:trPr>
        <w:tc>
          <w:tcPr>
            <w:tcW w:w="2484" w:type="pct"/>
            <w:tcBorders>
              <w:bottom w:val="single" w:sz="4" w:space="0" w:color="002060"/>
            </w:tcBorders>
            <w:shd w:val="clear" w:color="auto" w:fill="auto"/>
          </w:tcPr>
          <w:p w14:paraId="72F539BD" w14:textId="77777777" w:rsidR="00907B95" w:rsidRPr="0007074F" w:rsidRDefault="00907B95" w:rsidP="008527D6">
            <w:pPr>
              <w:rPr>
                <w:rFonts w:cstheme="minorHAnsi"/>
                <w:color w:val="002060"/>
                <w:sz w:val="18"/>
                <w:szCs w:val="18"/>
                <w:lang w:val="sr-Cyrl-CS"/>
              </w:rPr>
            </w:pPr>
            <w:r w:rsidRPr="0007074F">
              <w:rPr>
                <w:rFonts w:cstheme="minorHAnsi"/>
                <w:color w:val="002060"/>
                <w:sz w:val="18"/>
                <w:szCs w:val="18"/>
                <w:lang w:val="sr-Cyrl-CS"/>
              </w:rPr>
              <w:t>Инфлација, просек периода, %</w:t>
            </w:r>
          </w:p>
        </w:tc>
        <w:tc>
          <w:tcPr>
            <w:tcW w:w="498" w:type="pct"/>
            <w:tcBorders>
              <w:bottom w:val="single" w:sz="4" w:space="0" w:color="002060"/>
            </w:tcBorders>
            <w:shd w:val="clear" w:color="auto" w:fill="auto"/>
          </w:tcPr>
          <w:p w14:paraId="44B4EC70" w14:textId="77777777" w:rsidR="00907B95" w:rsidRPr="0007074F" w:rsidRDefault="00907B95" w:rsidP="008527D6">
            <w:pPr>
              <w:jc w:val="center"/>
              <w:rPr>
                <w:rFonts w:cstheme="minorHAnsi"/>
                <w:color w:val="002060"/>
                <w:sz w:val="18"/>
                <w:szCs w:val="18"/>
                <w:lang w:val="sr-Cyrl-CS"/>
              </w:rPr>
            </w:pPr>
            <w:r w:rsidRPr="0007074F">
              <w:rPr>
                <w:rFonts w:cstheme="minorHAnsi"/>
                <w:color w:val="002060"/>
                <w:sz w:val="18"/>
                <w:szCs w:val="18"/>
                <w:lang w:val="sr-Cyrl-CS"/>
              </w:rPr>
              <w:t>12,5</w:t>
            </w:r>
          </w:p>
        </w:tc>
        <w:tc>
          <w:tcPr>
            <w:tcW w:w="498" w:type="pct"/>
            <w:tcBorders>
              <w:top w:val="nil"/>
              <w:left w:val="nil"/>
              <w:bottom w:val="nil"/>
              <w:right w:val="nil"/>
            </w:tcBorders>
            <w:shd w:val="clear" w:color="auto" w:fill="auto"/>
          </w:tcPr>
          <w:p w14:paraId="6BDF6A5D" w14:textId="77777777" w:rsidR="00907B95" w:rsidRPr="0007074F" w:rsidRDefault="00907B95" w:rsidP="008527D6">
            <w:pPr>
              <w:jc w:val="center"/>
              <w:rPr>
                <w:rFonts w:cstheme="minorHAnsi"/>
                <w:color w:val="002060"/>
                <w:sz w:val="18"/>
                <w:szCs w:val="18"/>
                <w:lang w:val="sr-Cyrl-CS"/>
              </w:rPr>
            </w:pPr>
          </w:p>
        </w:tc>
        <w:tc>
          <w:tcPr>
            <w:tcW w:w="506" w:type="pct"/>
            <w:tcBorders>
              <w:top w:val="nil"/>
              <w:left w:val="nil"/>
              <w:bottom w:val="nil"/>
              <w:right w:val="nil"/>
            </w:tcBorders>
            <w:shd w:val="clear" w:color="auto" w:fill="auto"/>
          </w:tcPr>
          <w:p w14:paraId="75005E47" w14:textId="77777777" w:rsidR="00907B95" w:rsidRPr="0007074F" w:rsidRDefault="00907B95" w:rsidP="008527D6">
            <w:pPr>
              <w:jc w:val="center"/>
              <w:rPr>
                <w:color w:val="002060"/>
                <w:sz w:val="18"/>
                <w:lang w:val="sr-Cyrl-CS"/>
              </w:rPr>
            </w:pPr>
            <w:r w:rsidRPr="0007074F">
              <w:rPr>
                <w:color w:val="002060"/>
                <w:sz w:val="18"/>
                <w:lang w:val="sr-Cyrl-CS"/>
              </w:rPr>
              <w:t>4,9</w:t>
            </w:r>
          </w:p>
        </w:tc>
        <w:tc>
          <w:tcPr>
            <w:tcW w:w="506" w:type="pct"/>
            <w:tcBorders>
              <w:top w:val="nil"/>
              <w:left w:val="nil"/>
              <w:bottom w:val="nil"/>
              <w:right w:val="nil"/>
            </w:tcBorders>
            <w:shd w:val="clear" w:color="auto" w:fill="auto"/>
          </w:tcPr>
          <w:p w14:paraId="2A2DCA99" w14:textId="77777777" w:rsidR="00907B95" w:rsidRPr="0007074F" w:rsidRDefault="00907B95" w:rsidP="008527D6">
            <w:pPr>
              <w:jc w:val="center"/>
              <w:rPr>
                <w:color w:val="002060"/>
                <w:sz w:val="18"/>
                <w:lang w:val="sr-Cyrl-CS"/>
              </w:rPr>
            </w:pPr>
            <w:r w:rsidRPr="0007074F">
              <w:rPr>
                <w:color w:val="002060"/>
                <w:sz w:val="18"/>
                <w:lang w:val="sr-Cyrl-CS"/>
              </w:rPr>
              <w:t>3,5</w:t>
            </w:r>
          </w:p>
        </w:tc>
        <w:tc>
          <w:tcPr>
            <w:tcW w:w="507" w:type="pct"/>
            <w:tcBorders>
              <w:top w:val="nil"/>
              <w:left w:val="nil"/>
              <w:bottom w:val="nil"/>
              <w:right w:val="nil"/>
            </w:tcBorders>
            <w:shd w:val="clear" w:color="auto" w:fill="auto"/>
          </w:tcPr>
          <w:p w14:paraId="39C20C59" w14:textId="77777777" w:rsidR="00907B95" w:rsidRPr="0007074F" w:rsidRDefault="00907B95" w:rsidP="008527D6">
            <w:pPr>
              <w:jc w:val="center"/>
              <w:rPr>
                <w:color w:val="002060"/>
                <w:sz w:val="18"/>
                <w:lang w:val="sr-Cyrl-CS"/>
              </w:rPr>
            </w:pPr>
            <w:r w:rsidRPr="0007074F">
              <w:rPr>
                <w:color w:val="002060"/>
                <w:sz w:val="18"/>
                <w:lang w:val="sr-Cyrl-CS"/>
              </w:rPr>
              <w:t>3,0</w:t>
            </w:r>
          </w:p>
        </w:tc>
      </w:tr>
      <w:tr w:rsidR="00907B95" w:rsidRPr="0007074F" w14:paraId="21D9A7CA" w14:textId="77777777" w:rsidTr="002D6E55">
        <w:tc>
          <w:tcPr>
            <w:tcW w:w="2484" w:type="pct"/>
            <w:tcBorders>
              <w:top w:val="single" w:sz="4" w:space="0" w:color="002060"/>
            </w:tcBorders>
            <w:shd w:val="clear" w:color="auto" w:fill="auto"/>
          </w:tcPr>
          <w:p w14:paraId="68B75117" w14:textId="77777777" w:rsidR="00907B95" w:rsidRPr="0007074F" w:rsidRDefault="00907B95" w:rsidP="00FA6BD0">
            <w:pPr>
              <w:rPr>
                <w:rFonts w:cstheme="minorHAnsi"/>
                <w:sz w:val="16"/>
                <w:lang w:val="sr-Cyrl-CS"/>
              </w:rPr>
            </w:pPr>
            <w:r w:rsidRPr="0007074F">
              <w:rPr>
                <w:rFonts w:cstheme="minorHAnsi"/>
                <w:sz w:val="16"/>
                <w:lang w:val="sr-Cyrl-CS"/>
              </w:rPr>
              <w:t>Извор: Министарство финансија</w:t>
            </w:r>
          </w:p>
        </w:tc>
        <w:tc>
          <w:tcPr>
            <w:tcW w:w="498" w:type="pct"/>
            <w:tcBorders>
              <w:top w:val="single" w:sz="4" w:space="0" w:color="002060"/>
            </w:tcBorders>
            <w:shd w:val="clear" w:color="auto" w:fill="auto"/>
          </w:tcPr>
          <w:p w14:paraId="5BAEDC09" w14:textId="77777777" w:rsidR="00907B95" w:rsidRPr="0007074F" w:rsidRDefault="00907B95" w:rsidP="002D6E55">
            <w:pPr>
              <w:jc w:val="center"/>
              <w:rPr>
                <w:rFonts w:cstheme="minorHAnsi"/>
                <w:sz w:val="16"/>
                <w:lang w:val="sr-Cyrl-CS"/>
              </w:rPr>
            </w:pPr>
          </w:p>
        </w:tc>
        <w:tc>
          <w:tcPr>
            <w:tcW w:w="498" w:type="pct"/>
            <w:tcBorders>
              <w:top w:val="single" w:sz="4" w:space="0" w:color="002060"/>
            </w:tcBorders>
            <w:shd w:val="clear" w:color="auto" w:fill="auto"/>
          </w:tcPr>
          <w:p w14:paraId="5E3C28B3" w14:textId="77777777" w:rsidR="00907B95" w:rsidRPr="0007074F" w:rsidRDefault="00907B95" w:rsidP="002D6E55">
            <w:pPr>
              <w:jc w:val="center"/>
              <w:rPr>
                <w:rFonts w:cstheme="minorHAnsi"/>
                <w:sz w:val="16"/>
                <w:lang w:val="sr-Cyrl-CS"/>
              </w:rPr>
            </w:pPr>
          </w:p>
        </w:tc>
        <w:tc>
          <w:tcPr>
            <w:tcW w:w="506" w:type="pct"/>
            <w:tcBorders>
              <w:top w:val="single" w:sz="4" w:space="0" w:color="002060"/>
            </w:tcBorders>
            <w:shd w:val="clear" w:color="auto" w:fill="auto"/>
          </w:tcPr>
          <w:p w14:paraId="44F2364A" w14:textId="77777777" w:rsidR="00907B95" w:rsidRPr="0007074F" w:rsidRDefault="00907B95" w:rsidP="002D6E55">
            <w:pPr>
              <w:jc w:val="center"/>
              <w:rPr>
                <w:rFonts w:cstheme="minorHAnsi"/>
                <w:sz w:val="16"/>
                <w:lang w:val="sr-Cyrl-CS"/>
              </w:rPr>
            </w:pPr>
          </w:p>
        </w:tc>
        <w:tc>
          <w:tcPr>
            <w:tcW w:w="506" w:type="pct"/>
            <w:tcBorders>
              <w:top w:val="single" w:sz="4" w:space="0" w:color="002060"/>
            </w:tcBorders>
            <w:shd w:val="clear" w:color="auto" w:fill="auto"/>
          </w:tcPr>
          <w:p w14:paraId="1B1997DE" w14:textId="77777777" w:rsidR="00907B95" w:rsidRPr="0007074F" w:rsidRDefault="00907B95" w:rsidP="002D6E55">
            <w:pPr>
              <w:jc w:val="center"/>
              <w:rPr>
                <w:rFonts w:cstheme="minorHAnsi"/>
                <w:sz w:val="16"/>
                <w:lang w:val="sr-Cyrl-CS"/>
              </w:rPr>
            </w:pPr>
          </w:p>
        </w:tc>
        <w:tc>
          <w:tcPr>
            <w:tcW w:w="507" w:type="pct"/>
            <w:tcBorders>
              <w:top w:val="single" w:sz="4" w:space="0" w:color="002060"/>
            </w:tcBorders>
            <w:shd w:val="clear" w:color="auto" w:fill="auto"/>
          </w:tcPr>
          <w:p w14:paraId="3FE3D11A" w14:textId="77777777" w:rsidR="00907B95" w:rsidRPr="0007074F" w:rsidRDefault="00907B95" w:rsidP="002D6E55">
            <w:pPr>
              <w:jc w:val="center"/>
              <w:rPr>
                <w:rFonts w:cstheme="minorHAnsi"/>
                <w:sz w:val="16"/>
                <w:lang w:val="sr-Cyrl-CS"/>
              </w:rPr>
            </w:pPr>
          </w:p>
        </w:tc>
      </w:tr>
    </w:tbl>
    <w:p w14:paraId="3606C5F4" w14:textId="77777777" w:rsidR="00907B95" w:rsidRPr="0007074F" w:rsidRDefault="00907B95" w:rsidP="002D6E55">
      <w:pPr>
        <w:spacing w:after="0"/>
        <w:rPr>
          <w:rFonts w:cstheme="minorHAnsi"/>
          <w:bCs/>
          <w:sz w:val="16"/>
          <w:szCs w:val="72"/>
          <w:lang w:val="sr-Cyrl-CS"/>
        </w:rPr>
        <w:sectPr w:rsidR="00907B95" w:rsidRPr="0007074F" w:rsidSect="002D6E55">
          <w:type w:val="continuous"/>
          <w:pgSz w:w="12240" w:h="15840" w:code="1"/>
          <w:pgMar w:top="1440" w:right="1440" w:bottom="1440" w:left="1440" w:header="720" w:footer="720" w:gutter="0"/>
          <w:cols w:space="720"/>
          <w:docGrid w:linePitch="360"/>
        </w:sectPr>
      </w:pPr>
    </w:p>
    <w:p w14:paraId="3CE4E5C0" w14:textId="0C2F2A7A" w:rsidR="00907B95" w:rsidRPr="0007074F" w:rsidRDefault="00907B95" w:rsidP="008527D6">
      <w:pPr>
        <w:rPr>
          <w:rFonts w:cstheme="minorHAnsi"/>
          <w:bCs/>
          <w:szCs w:val="72"/>
          <w:lang w:val="sr-Cyrl-CS"/>
        </w:rPr>
      </w:pPr>
      <w:r w:rsidRPr="0007074F">
        <w:rPr>
          <w:rFonts w:cstheme="minorHAnsi"/>
          <w:bCs/>
          <w:szCs w:val="72"/>
          <w:lang w:val="sr-Cyrl-CS"/>
        </w:rPr>
        <w:t xml:space="preserve">Посматрано по агрегатима употребе раст БДП у 2024. години биће вођен домаћом тражњом, док ће нето извоз имати благо позитиван допринос. Очекивано повећање зарада, како у приватном тако и у јавном сектору, већа запосленост и даљи раст пензија, резултираће растом реалне личне потрошње од 3,5%. И даље присутне геополитичке тензије и аверзија инвеститора према ризику, уз заоштравање монетарне политике водећих централних банака одражавају се на расположење инвеститора, али се ипак очекује умерен раст инвестиција од 3,2%. Динамика инвестиционе активности биће опредељена </w:t>
      </w:r>
      <w:r w:rsidRPr="0007074F">
        <w:rPr>
          <w:rFonts w:cstheme="minorHAnsi"/>
          <w:bCs/>
          <w:szCs w:val="72"/>
          <w:lang w:val="sr-Cyrl-CS"/>
        </w:rPr>
        <w:t>приватним инвестицијама и даљим повећањем производних капацитета привреде, пре свега у секторима који производе разменљива добра и додатно подржан наставком реализације инфраструктурних пројеката и повећаних улагања у енергетски сектор. Благи позитиван допринос расту БДП у 2024. години од 0,2 п.п. доћи ће од државне потрошње.</w:t>
      </w:r>
      <w:r w:rsidRPr="0007074F">
        <w:rPr>
          <w:rFonts w:cstheme="minorHAnsi"/>
          <w:bCs/>
          <w:color w:val="A6A6A6" w:themeColor="background1" w:themeShade="A6"/>
          <w:szCs w:val="72"/>
          <w:lang w:val="sr-Cyrl-CS"/>
        </w:rPr>
        <w:t xml:space="preserve"> </w:t>
      </w:r>
      <w:r w:rsidRPr="0007074F">
        <w:rPr>
          <w:rFonts w:cstheme="minorHAnsi"/>
          <w:bCs/>
          <w:szCs w:val="72"/>
          <w:lang w:val="sr-Cyrl-CS"/>
        </w:rPr>
        <w:t>Постепени опоравак спољне тражње уз активирање нових извозно оријентисаних капацитета као рез</w:t>
      </w:r>
      <w:r w:rsidR="003C61F2" w:rsidRPr="0007074F">
        <w:rPr>
          <w:rFonts w:cstheme="minorHAnsi"/>
          <w:bCs/>
          <w:szCs w:val="72"/>
          <w:lang w:val="sr-Cyrl-CS"/>
        </w:rPr>
        <w:t>ултат ефектуирања СДИ</w:t>
      </w:r>
      <w:r w:rsidRPr="0007074F">
        <w:rPr>
          <w:rFonts w:cstheme="minorHAnsi"/>
          <w:bCs/>
          <w:szCs w:val="72"/>
          <w:lang w:val="sr-Cyrl-CS"/>
        </w:rPr>
        <w:t xml:space="preserve"> утицаће на бржи раст извоза од увоза.</w:t>
      </w:r>
    </w:p>
    <w:p w14:paraId="344ED4DC" w14:textId="77777777" w:rsidR="00907B95" w:rsidRPr="0007074F" w:rsidRDefault="00907B95" w:rsidP="008527D6">
      <w:pPr>
        <w:rPr>
          <w:rFonts w:cstheme="minorHAnsi"/>
          <w:bCs/>
          <w:szCs w:val="72"/>
          <w:lang w:val="sr-Cyrl-CS"/>
        </w:rPr>
        <w:sectPr w:rsidR="00907B95" w:rsidRPr="0007074F" w:rsidSect="002D6E55">
          <w:type w:val="continuous"/>
          <w:pgSz w:w="12240" w:h="15840" w:code="1"/>
          <w:pgMar w:top="1440" w:right="1440" w:bottom="1440" w:left="1440" w:header="720" w:footer="720" w:gutter="0"/>
          <w:cols w:num="2" w:space="720"/>
          <w:docGrid w:linePitch="360"/>
        </w:sectPr>
      </w:pPr>
    </w:p>
    <w:p w14:paraId="4F48DB28" w14:textId="77777777" w:rsidR="00907B95" w:rsidRPr="0007074F" w:rsidRDefault="00907B95" w:rsidP="008527D6">
      <w:pPr>
        <w:rPr>
          <w:rFonts w:cstheme="minorHAnsi"/>
          <w:bCs/>
          <w:szCs w:val="72"/>
          <w:lang w:val="sr-Cyrl-CS"/>
        </w:rPr>
      </w:pPr>
    </w:p>
    <w:p w14:paraId="390C6233" w14:textId="77777777" w:rsidR="00907B95" w:rsidRPr="0007074F" w:rsidRDefault="00907B95">
      <w:pPr>
        <w:jc w:val="left"/>
        <w:rPr>
          <w:rFonts w:cstheme="minorHAnsi"/>
          <w:bCs/>
          <w:szCs w:val="72"/>
          <w:lang w:val="sr-Cyrl-CS"/>
        </w:rPr>
      </w:pPr>
      <w:r w:rsidRPr="0007074F">
        <w:rPr>
          <w:rFonts w:cstheme="minorHAnsi"/>
          <w:bCs/>
          <w:szCs w:val="72"/>
          <w:lang w:val="sr-Cyrl-CS"/>
        </w:rPr>
        <w:br w:type="page"/>
      </w:r>
    </w:p>
    <w:p w14:paraId="2B20221C" w14:textId="77777777" w:rsidR="00907B95" w:rsidRPr="0007074F" w:rsidRDefault="00907B95" w:rsidP="002D6E55">
      <w:pPr>
        <w:spacing w:after="40"/>
        <w:rPr>
          <w:rFonts w:cstheme="minorHAnsi"/>
          <w:bCs/>
          <w:szCs w:val="72"/>
          <w:lang w:val="sr-Cyrl-CS"/>
        </w:rPr>
      </w:pPr>
      <w:r w:rsidRPr="0007074F">
        <w:rPr>
          <w:rFonts w:cstheme="minorHAnsi"/>
          <w:bCs/>
          <w:szCs w:val="72"/>
          <w:lang w:val="sr-Cyrl-CS"/>
        </w:rPr>
        <w:lastRenderedPageBreak/>
        <w:t>Посматрано са производне стране, повећање креиране БДВ очекује се код свих привредних сектора. Услужни сектор ће и у 2024. години имати улогу доминантног носиоца раста економске активности. Раст би требало да буде диверсификован и остварен у већини услужних делатности, а посебно у трговини и саобраћају, туризму и угоститељству, као и у ИКТ сектору. Индустрија ће наставити са растом и током 2024. године уз повећање од 3,6%, пре свега услед активирања нових производних капацитета, али и очекиваног опоравка спољне тражње. Процењује се да ће раст забележити и грађевинарство услед наставка извођења радова на изградњи путне и железничке инфраструктуре, већих улагања у енергетику, као и већег обима приватних инвестиција. За сектор пољопривреде, а под претпоставком просечних агрометеоролошких услова уз задржавање тренда повећања продуктивности, пројектован је раст од 0,9% у 2024. години.</w:t>
      </w:r>
    </w:p>
    <w:p w14:paraId="0AC94F03" w14:textId="77777777" w:rsidR="00907B95" w:rsidRPr="0007074F" w:rsidRDefault="00907B95" w:rsidP="002D6E55">
      <w:pPr>
        <w:pStyle w:val="NoSpacing"/>
        <w:spacing w:after="40"/>
        <w:jc w:val="center"/>
        <w:rPr>
          <w:rFonts w:cstheme="minorHAnsi"/>
          <w:color w:val="002060"/>
          <w:lang w:val="sr-Cyrl-CS"/>
        </w:rPr>
      </w:pPr>
      <w:r w:rsidRPr="0007074F">
        <w:rPr>
          <w:rFonts w:cstheme="minorHAnsi"/>
          <w:color w:val="002060"/>
          <w:lang w:val="sr-Cyrl-CS"/>
        </w:rPr>
        <w:t xml:space="preserve">Доприноси стопи реалног раста БДП, </w:t>
      </w:r>
      <w:r w:rsidRPr="0007074F">
        <w:rPr>
          <w:rFonts w:cstheme="minorHAnsi"/>
          <w:color w:val="002060"/>
          <w:lang w:val="sr-Cyrl-CS"/>
        </w:rPr>
        <w:br/>
        <w:t>расходни приступ, п.п.</w:t>
      </w:r>
    </w:p>
    <w:p w14:paraId="67E8DA76" w14:textId="77777777" w:rsidR="00907B95" w:rsidRPr="0007074F" w:rsidRDefault="00907B95" w:rsidP="008527D6">
      <w:pPr>
        <w:pStyle w:val="NoSpacing"/>
        <w:spacing w:after="80"/>
        <w:jc w:val="center"/>
        <w:rPr>
          <w:rFonts w:cstheme="minorHAnsi"/>
          <w:color w:val="44546A" w:themeColor="text2"/>
          <w:sz w:val="16"/>
          <w:lang w:val="sr-Cyrl-CS"/>
        </w:rPr>
      </w:pPr>
      <w:r w:rsidRPr="0007074F">
        <w:rPr>
          <w:noProof/>
        </w:rPr>
        <w:drawing>
          <wp:inline distT="0" distB="0" distL="0" distR="0" wp14:anchorId="119AE3CF" wp14:editId="7E2225EE">
            <wp:extent cx="2743200" cy="1908000"/>
            <wp:effectExtent l="0" t="0" r="0" b="0"/>
            <wp:docPr id="13" name="Chart 13">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6B11DFCB" w14:textId="77777777" w:rsidR="00907B95" w:rsidRPr="0007074F" w:rsidRDefault="00907B95" w:rsidP="002D6E55">
      <w:pPr>
        <w:pStyle w:val="NoSpacing"/>
        <w:spacing w:after="40"/>
        <w:jc w:val="center"/>
        <w:rPr>
          <w:rFonts w:cstheme="minorHAnsi"/>
          <w:color w:val="002060"/>
          <w:lang w:val="sr-Cyrl-CS"/>
        </w:rPr>
      </w:pPr>
      <w:r w:rsidRPr="0007074F">
        <w:rPr>
          <w:rFonts w:cstheme="minorHAnsi"/>
          <w:color w:val="002060"/>
          <w:lang w:val="sr-Cyrl-CS"/>
        </w:rPr>
        <w:t>Доприноси стопи реалног раста БДП, производни приступ, п.п.</w:t>
      </w:r>
    </w:p>
    <w:p w14:paraId="27C36369" w14:textId="77777777" w:rsidR="00907B95" w:rsidRPr="0007074F" w:rsidRDefault="00907B95" w:rsidP="002D6E55">
      <w:pPr>
        <w:spacing w:after="0"/>
        <w:rPr>
          <w:lang w:val="sr-Cyrl-CS"/>
        </w:rPr>
      </w:pPr>
      <w:r w:rsidRPr="0007074F">
        <w:rPr>
          <w:noProof/>
        </w:rPr>
        <w:drawing>
          <wp:inline distT="0" distB="0" distL="0" distR="0" wp14:anchorId="7F162254" wp14:editId="0F2FEEEC">
            <wp:extent cx="2743200" cy="1908000"/>
            <wp:effectExtent l="0" t="0" r="0" b="0"/>
            <wp:docPr id="14" name="Chart 14">
              <a:extLst xmlns:a="http://schemas.openxmlformats.org/drawingml/2006/main">
                <a:ext uri="{FF2B5EF4-FFF2-40B4-BE49-F238E27FC236}">
                  <a16:creationId xmlns:a16="http://schemas.microsoft.com/office/drawing/2014/main" id="{00000000-0008-0000-0A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0DC985F2" w14:textId="77777777" w:rsidR="00907B95" w:rsidRPr="0007074F" w:rsidRDefault="00907B95" w:rsidP="008217BC">
      <w:pPr>
        <w:rPr>
          <w:rFonts w:cstheme="minorHAnsi"/>
          <w:sz w:val="16"/>
          <w:lang w:val="sr-Cyrl-CS"/>
        </w:rPr>
      </w:pPr>
      <w:r w:rsidRPr="0007074F">
        <w:rPr>
          <w:rFonts w:cstheme="minorHAnsi"/>
          <w:sz w:val="16"/>
          <w:lang w:val="sr-Cyrl-CS"/>
        </w:rPr>
        <w:t>Извор: Министарство финансија</w:t>
      </w:r>
    </w:p>
    <w:p w14:paraId="07243D61" w14:textId="77777777" w:rsidR="00907B95" w:rsidRPr="0007074F" w:rsidRDefault="00907B95" w:rsidP="002D6E55">
      <w:pPr>
        <w:rPr>
          <w:rFonts w:cstheme="minorHAnsi"/>
          <w:bCs/>
          <w:szCs w:val="72"/>
          <w:lang w:val="sr-Cyrl-CS"/>
        </w:rPr>
      </w:pPr>
      <w:r w:rsidRPr="0007074F">
        <w:rPr>
          <w:rFonts w:cstheme="minorHAnsi"/>
          <w:bCs/>
          <w:szCs w:val="72"/>
          <w:lang w:val="sr-Cyrl-CS"/>
        </w:rPr>
        <w:t>Према средњорочној макроекономској пројекцији кумулативна стопа раста у периоду 2024–2026. године износиће 12,2% и биће вођена растом домаће тражње, а са опоравком глобалне трговине подржана и благим позитивним доприносом нето извоза. Овај извор раста је детерминисан како перманентним повећањем инвестиција, тако и растом потрошње домаћинстава услед раста реалне потрошње становништва. Просечно годишње, српска привреда ће расти по стопи од 3,9%. Повећање реалне потрошње становништва ће пратити раст економске активности и у просеку ће износити 3,6%. Очекује се стабилан раст фиксних инвестиција који ће у просеку износити 5,3% годишње. Са активирањем нових производних капацитета и опоравком спољне тражње повећаваће се и обим спољнотрговинске размене. Поред тога, ефектуирање СДИ из претходног периода допринеће повећању конкуренције и утицати на ефикасност домаћих произвођача, док ће са друге стране бити активирани нови канали продаје и отворене нове тржишне нише. Извоз ће у просеку годишње расти по стопи од 10,3%, што је брже од очекиваног годишњег раста увоза који ће у просеку износити 8,7%. Посматрано на страни понуде, услужни сектор и индустрија ће задржати улогу доминантних извора раста и повећавати креирану БДВ са просечним годишњим растом од 4,0% и 4,8%, респективно. Позитиван допринос ће доћи и од повећања грађевинске активности који ће у просеку износити 6,1%. Достизање европских стандарда и подизање конкурентности у пољопривреди, смањиће варијабилност производње овог сектора изазвану агрометеоролошким условима.</w:t>
      </w:r>
    </w:p>
    <w:p w14:paraId="14536904" w14:textId="77777777" w:rsidR="00907B95" w:rsidRPr="0007074F" w:rsidRDefault="00907B95" w:rsidP="008527D6">
      <w:pPr>
        <w:rPr>
          <w:rFonts w:cstheme="minorHAnsi"/>
          <w:bCs/>
          <w:szCs w:val="72"/>
          <w:lang w:val="sr-Cyrl-CS"/>
        </w:rPr>
      </w:pPr>
      <w:r w:rsidRPr="0007074F">
        <w:rPr>
          <w:rFonts w:cstheme="minorHAnsi"/>
          <w:bCs/>
          <w:szCs w:val="72"/>
          <w:lang w:val="sr-Cyrl-CS"/>
        </w:rPr>
        <w:t xml:space="preserve">Влада и овим трогодишњим сценариом остаје посвећена очувању модела привредног раста који се заснива на инвестицијама и извозу, а који је подржан растом приватне потрошње на реалним и здравим изворима. Убрзање свих административних процедура, пореско растерећење привреде са циљем подизања њене конкурентности, потписивање споразума којима се обезбеђује очување постојећих и отварање нових ино тржишта, интензивније и ефикасније извођење инфраструктурних радова, очување енергетске стабилности уз реализацију пројеката </w:t>
      </w:r>
      <w:r w:rsidRPr="0007074F">
        <w:rPr>
          <w:rFonts w:cstheme="minorHAnsi"/>
          <w:bCs/>
          <w:szCs w:val="72"/>
          <w:lang w:val="sr-Cyrl-CS"/>
        </w:rPr>
        <w:lastRenderedPageBreak/>
        <w:t>из зелене агенде само су неке од мера које треба да обезбеде здраве фундаменте за раст БДП у условима растућих геополитичких тензија. Дигитална трансформација и изградња дигиталног екосистема остаје стратешка оријентација Владе. Ефикаснији рад државне администрације, скраћивање процедура становништву и привреди са фокусом на дигитализацију убрзаће конвергенцију наше привреде ка развијеним земљама. Нови систем фискализације и измене царинских прописа, смањује учешће сиве економије у укупним привредним токовима обезбеђујући повољан привредни амбијент. Механизам подстицаја СДИ и даље ће имати за циљ њихову секторску и регионалну дисперзију како би биле обезбеђене претпоставке равномерног развоја и пуне искоришћености компаративних предности.</w:t>
      </w:r>
    </w:p>
    <w:p w14:paraId="5EF06976" w14:textId="77777777" w:rsidR="00907B95" w:rsidRPr="0007074F" w:rsidRDefault="00907B95" w:rsidP="008527D6">
      <w:pPr>
        <w:rPr>
          <w:rFonts w:cstheme="minorHAnsi"/>
          <w:bCs/>
          <w:szCs w:val="72"/>
          <w:lang w:val="sr-Cyrl-CS"/>
        </w:rPr>
      </w:pPr>
      <w:r w:rsidRPr="0007074F">
        <w:rPr>
          <w:rFonts w:cstheme="minorHAnsi"/>
          <w:bCs/>
          <w:szCs w:val="72"/>
          <w:lang w:val="sr-Cyrl-CS"/>
        </w:rPr>
        <w:t>Средњорочни сценарио кретања привредне</w:t>
      </w:r>
      <w:r w:rsidRPr="0007074F">
        <w:rPr>
          <w:rFonts w:cstheme="minorHAnsi"/>
          <w:bCs/>
          <w:color w:val="FF0000"/>
          <w:szCs w:val="72"/>
          <w:lang w:val="sr-Cyrl-CS"/>
        </w:rPr>
        <w:t xml:space="preserve"> </w:t>
      </w:r>
      <w:r w:rsidRPr="0007074F">
        <w:rPr>
          <w:rFonts w:cstheme="minorHAnsi"/>
          <w:bCs/>
          <w:szCs w:val="72"/>
          <w:lang w:val="sr-Cyrl-CS"/>
        </w:rPr>
        <w:t xml:space="preserve">активности Републике Србије је и даље под утицајем бројних ризика, пре свега из међународног окружења. Ризици макроекономског оквира у највећој мери потичу од неизвесности у погледу развоја међународних економских и политичких односа. Кретања цена енергената, глобална ограничења трговине, као и већа неизвесност у односу на тренутна очекивања могу имати значајно већи утицај на домаћу економију. Поред тога, смањење инфлације споријим темпом од оног предвиђеног у основном сценарију одразило би се негативно на агрегатну тражњу. У складу са тим креиран је и алтернативни сценарио који подразумева материјализацију ових ризика и последично мање стопе привредног раста, посебно у 2024. години. У том сценарију пошло се од претпоставке споријег опоравка спољне тражње, услед мање производне активности као последице евентуално нових шокова на тржишту енергената нарочито у зимском периоду. Поред тога, геополитичке напетости биле би оштрије него у основном сценарију, што би довело до додатних финансијских поремећаја и продубљивања неизвесности. Такође, алтернативни сценарио узима у обзир и већу стопу инфлације од очекиване. Материјализација ових ризика имала би за последицу мању стопу раста БДП за 1,75 п.п. у 2024. години од оне у основном сценарију, </w:t>
      </w:r>
      <w:r w:rsidRPr="0007074F">
        <w:rPr>
          <w:rFonts w:cstheme="minorHAnsi"/>
          <w:bCs/>
          <w:szCs w:val="72"/>
          <w:lang w:val="sr-Cyrl-CS"/>
        </w:rPr>
        <w:t>будући да би се наведени фактори у највећој мери одразили на мању извозну активност и инвестиције, као и на спорији раст приватне потрошње. У 2025. и 2026. години разлике у односу на првобитна очекивања биле би мање због постепеног прилагођавање економске активности на нове околности и ниже базе.</w:t>
      </w:r>
    </w:p>
    <w:p w14:paraId="480AB7BF" w14:textId="77777777" w:rsidR="00907B95" w:rsidRPr="0007074F" w:rsidRDefault="00907B95" w:rsidP="002D6E55">
      <w:pPr>
        <w:spacing w:after="0"/>
        <w:jc w:val="center"/>
        <w:rPr>
          <w:rFonts w:cstheme="minorHAnsi"/>
          <w:b/>
          <w:color w:val="002060"/>
          <w:lang w:val="sr-Cyrl-CS"/>
        </w:rPr>
      </w:pPr>
      <w:r w:rsidRPr="0007074F">
        <w:rPr>
          <w:rFonts w:cstheme="minorHAnsi"/>
          <w:b/>
          <w:color w:val="002060"/>
          <w:lang w:val="sr-Cyrl-CS"/>
        </w:rPr>
        <w:t>Пројекција кретања БДП, стопе раста, %</w:t>
      </w:r>
    </w:p>
    <w:p w14:paraId="5E37F918" w14:textId="77777777" w:rsidR="00907B95" w:rsidRPr="0007074F" w:rsidRDefault="00907B95" w:rsidP="00A40733">
      <w:pPr>
        <w:spacing w:after="60"/>
        <w:rPr>
          <w:rFonts w:cstheme="minorHAnsi"/>
          <w:sz w:val="16"/>
          <w:lang w:val="sr-Cyrl-CS"/>
        </w:rPr>
      </w:pPr>
      <w:r w:rsidRPr="0007074F">
        <w:rPr>
          <w:noProof/>
          <w:color w:val="FF0000"/>
        </w:rPr>
        <w:drawing>
          <wp:inline distT="0" distB="0" distL="0" distR="0" wp14:anchorId="3CED97B2" wp14:editId="01E157D7">
            <wp:extent cx="2743200" cy="1653235"/>
            <wp:effectExtent l="0" t="0" r="0" b="4445"/>
            <wp:docPr id="39" name="Chart 39">
              <a:extLst xmlns:a="http://schemas.openxmlformats.org/drawingml/2006/main">
                <a:ext uri="{FF2B5EF4-FFF2-40B4-BE49-F238E27FC236}">
                  <a16:creationId xmlns:a16="http://schemas.microsoft.com/office/drawing/2014/main" id="{00000000-0008-0000-09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245BFE57" w14:textId="77777777" w:rsidR="00907B95" w:rsidRPr="0007074F" w:rsidRDefault="00907B95" w:rsidP="002D6E55">
      <w:pPr>
        <w:rPr>
          <w:rFonts w:cstheme="minorHAnsi"/>
          <w:sz w:val="16"/>
          <w:lang w:val="sr-Cyrl-CS"/>
        </w:rPr>
      </w:pPr>
      <w:r w:rsidRPr="0007074F">
        <w:rPr>
          <w:rFonts w:cstheme="minorHAnsi"/>
          <w:sz w:val="16"/>
          <w:lang w:val="sr-Cyrl-CS"/>
        </w:rPr>
        <w:t>Извор: Министарство финансија</w:t>
      </w:r>
    </w:p>
    <w:p w14:paraId="7839034E" w14:textId="77777777" w:rsidR="00907B95" w:rsidRPr="0007074F" w:rsidRDefault="00907B95" w:rsidP="002D6E55">
      <w:pPr>
        <w:rPr>
          <w:rFonts w:cstheme="minorHAnsi"/>
          <w:bCs/>
          <w:szCs w:val="72"/>
          <w:lang w:val="sr-Cyrl-CS"/>
        </w:rPr>
      </w:pPr>
      <w:r w:rsidRPr="0007074F">
        <w:rPr>
          <w:rFonts w:cstheme="minorHAnsi"/>
          <w:bCs/>
          <w:szCs w:val="72"/>
          <w:lang w:val="sr-Cyrl-CS"/>
        </w:rPr>
        <w:t xml:space="preserve">Према централном сценарију, у средњорочном периоду очекује се наставак раста потенцијалног БДП, а са постепеним ишчезавањем негативних ефеката међународних економских односа и повратак на путању раста од 4,0%. Потенцијални БДП у периоду 2024–2026. година ће се постепено повећавати по просечној стопи од 3,8%. Реализације капиталних пројеката и наставак започетог инвестиционог циклуса подржани, како стабилним приливом СДИ, тако и домаћим иновативним активностима, обезбедиће све снажнији допринос капитала и факторске продуктивности расту потенцијалног БДП. Дигитализација ће значајно убрзати ове процесе и додатно подићи ефикасност искоришћености расположивих капацитета. Влада ће кроз значајна планирана улагања у енергетску инфраструктуру додатно утицати на подизање потенцијала привреде. Адекватна и синхронизована монетарна политика, даља унапређења финансијског система, подизање кредибилитета и атрактивности код инвеститора, трансфер знања и технологија из најразвијенијих земаља треба да обезбеде позитиван утицај на оба фактора производње. Са друге стране, јачање владавине закона, реформа законодавства из области привреде и пословања, убрзање процедура и подизање ефикасности администрације треба да обезбеде максимизацију факторске </w:t>
      </w:r>
      <w:r w:rsidRPr="0007074F">
        <w:rPr>
          <w:rFonts w:cstheme="minorHAnsi"/>
          <w:bCs/>
          <w:szCs w:val="72"/>
          <w:lang w:val="sr-Cyrl-CS"/>
        </w:rPr>
        <w:lastRenderedPageBreak/>
        <w:t>продуктивности у средњем року. Повољна кретања на тржишту рада ће такође допринети расту потенцијалног БДП.</w:t>
      </w:r>
    </w:p>
    <w:p w14:paraId="3E40ADEA" w14:textId="77777777" w:rsidR="00907B95" w:rsidRPr="0007074F" w:rsidRDefault="00907B95" w:rsidP="002D6E55">
      <w:pPr>
        <w:spacing w:after="40"/>
        <w:jc w:val="center"/>
        <w:rPr>
          <w:b/>
          <w:color w:val="002060"/>
          <w:lang w:val="sr-Cyrl-CS"/>
        </w:rPr>
      </w:pPr>
      <w:r w:rsidRPr="0007074F">
        <w:rPr>
          <w:b/>
          <w:color w:val="002060"/>
          <w:lang w:val="sr-Cyrl-CS"/>
        </w:rPr>
        <w:t>Доприноси фактора производње потенцијалној стопи раста БДП, п.п.</w:t>
      </w:r>
    </w:p>
    <w:p w14:paraId="525CB71C" w14:textId="77777777" w:rsidR="00907B95" w:rsidRPr="0007074F" w:rsidRDefault="00907B95" w:rsidP="002D6E55">
      <w:pPr>
        <w:spacing w:after="0"/>
        <w:rPr>
          <w:rFonts w:cstheme="minorHAnsi"/>
          <w:sz w:val="16"/>
          <w:lang w:val="sr-Cyrl-CS"/>
        </w:rPr>
      </w:pPr>
      <w:r w:rsidRPr="0007074F">
        <w:rPr>
          <w:noProof/>
        </w:rPr>
        <w:drawing>
          <wp:inline distT="0" distB="0" distL="0" distR="0" wp14:anchorId="3CF39438" wp14:editId="6789FC44">
            <wp:extent cx="2743200" cy="2127885"/>
            <wp:effectExtent l="0" t="0" r="0" b="5715"/>
            <wp:docPr id="16" name="Chart 16">
              <a:extLst xmlns:a="http://schemas.openxmlformats.org/drawingml/2006/main">
                <a:ext uri="{FF2B5EF4-FFF2-40B4-BE49-F238E27FC236}">
                  <a16:creationId xmlns:a16="http://schemas.microsoft.com/office/drawing/2014/main" id="{00000000-0008-0000-0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49E9837D" w14:textId="77777777" w:rsidR="00907B95" w:rsidRPr="0007074F" w:rsidRDefault="00907B95" w:rsidP="002D6E55">
      <w:pPr>
        <w:spacing w:after="240"/>
        <w:rPr>
          <w:lang w:val="sr-Cyrl-CS"/>
        </w:rPr>
      </w:pPr>
      <w:r w:rsidRPr="0007074F">
        <w:rPr>
          <w:rFonts w:cstheme="minorHAnsi"/>
          <w:sz w:val="16"/>
          <w:lang w:val="sr-Cyrl-CS"/>
        </w:rPr>
        <w:t>Извор: Министарство финансија</w:t>
      </w:r>
    </w:p>
    <w:p w14:paraId="1E6635D8" w14:textId="77777777" w:rsidR="00907B95" w:rsidRPr="0007074F" w:rsidRDefault="00907B95" w:rsidP="00161001">
      <w:pPr>
        <w:spacing w:before="40"/>
        <w:rPr>
          <w:rFonts w:cstheme="minorHAnsi"/>
          <w:bCs/>
          <w:color w:val="2F5496" w:themeColor="accent1" w:themeShade="BF"/>
          <w:szCs w:val="72"/>
          <w:lang w:val="sr-Cyrl-CS"/>
        </w:rPr>
      </w:pPr>
      <w:r w:rsidRPr="0007074F">
        <w:rPr>
          <w:rFonts w:cstheme="minorHAnsi"/>
          <w:b/>
          <w:color w:val="2F5496" w:themeColor="accent1" w:themeShade="BF"/>
          <w:sz w:val="22"/>
          <w:lang w:val="sr-Cyrl-CS"/>
        </w:rPr>
        <w:t>Тржиште рада</w:t>
      </w:r>
    </w:p>
    <w:p w14:paraId="522C545E" w14:textId="77777777" w:rsidR="00907B95" w:rsidRPr="0007074F" w:rsidRDefault="00907B95" w:rsidP="008527D6">
      <w:pPr>
        <w:rPr>
          <w:rFonts w:cstheme="minorHAnsi"/>
          <w:bCs/>
          <w:szCs w:val="72"/>
          <w:lang w:val="sr-Cyrl-CS"/>
        </w:rPr>
      </w:pPr>
      <w:r w:rsidRPr="0007074F">
        <w:rPr>
          <w:rFonts w:cstheme="minorHAnsi"/>
          <w:bCs/>
          <w:szCs w:val="72"/>
          <w:lang w:val="sr-Cyrl-CS"/>
        </w:rPr>
        <w:t>Захваљујући очуваној макроекономској стабилности, као и привредном расту, тржиште рада у великој мери остаје отпорно на изразито негативан утицај геополитичких догађања. Поред тога стабилна кретања на тржишту рада су резултат континуираног рада на побољшању услова рада, унапређивању институција тржишта рада, подстицању запошљавања и укључивања на тржиште рада теже запошљивих лица, као и подршке регионалној и локалној политици запошљавања.</w:t>
      </w:r>
    </w:p>
    <w:p w14:paraId="09AD7D22" w14:textId="59BDF066" w:rsidR="00907B95" w:rsidRPr="0007074F" w:rsidRDefault="00907B95" w:rsidP="008527D6">
      <w:pPr>
        <w:rPr>
          <w:rFonts w:cstheme="minorHAnsi"/>
          <w:bCs/>
          <w:szCs w:val="72"/>
          <w:lang w:val="sr-Cyrl-CS"/>
        </w:rPr>
      </w:pPr>
      <w:r w:rsidRPr="0007074F">
        <w:rPr>
          <w:rFonts w:cstheme="minorHAnsi"/>
          <w:bCs/>
          <w:szCs w:val="72"/>
          <w:lang w:val="sr-Cyrl-CS"/>
        </w:rPr>
        <w:t xml:space="preserve">Према подацима Анкете о радној снази у 2022. години, стопа незапослености (15 и више година) је износила 9,4%, што је ниже у поређењу са 2021. годином када је износила 11,0%, и то је њен најнижи годишњи ниво. Истовремено, стопа становништва ван радне снаге је смањена за 0,8 п.п, док је укупна запосленост била већа за 2,3%, при чему је раст формалне запослености износио 43,4 хиљада, а раст неформалне 21,3 хиљада лица. Поред значајног смањења стопе незапослености и раста укупног броја запослених, забележена су и структурна побољшања на тржишту рада. Побољшан је положај код осетљивијих категорија </w:t>
      </w:r>
      <w:r w:rsidRPr="0007074F">
        <w:rPr>
          <w:rFonts w:cstheme="minorHAnsi"/>
          <w:bCs/>
          <w:szCs w:val="72"/>
          <w:lang w:val="sr-Cyrl-CS"/>
        </w:rPr>
        <w:t>становништва, односно код популације младих и жена. Тако је смањена стопа незапослености младих са 26,4% на 24,4%, док је код женског дела становништва смањена са 12,1%, на 9,8%. Такође, смањена је стопа дугорочне незапослености за 1,2 п.п, на 4,3%. У истом периоду дошло је и до благог пораста стопе запослености у неформалном делу привреде за 0,4 п.п, на 13,6%.</w:t>
      </w:r>
    </w:p>
    <w:p w14:paraId="5FA632CD" w14:textId="37243F79" w:rsidR="00907B95" w:rsidRPr="0007074F" w:rsidRDefault="00907B95" w:rsidP="008527D6">
      <w:pPr>
        <w:rPr>
          <w:rFonts w:cstheme="minorHAnsi"/>
          <w:bCs/>
          <w:szCs w:val="72"/>
          <w:lang w:val="sr-Cyrl-CS"/>
        </w:rPr>
      </w:pPr>
      <w:r w:rsidRPr="0007074F">
        <w:rPr>
          <w:rFonts w:cstheme="minorHAnsi"/>
          <w:bCs/>
          <w:szCs w:val="72"/>
          <w:lang w:val="sr-Cyrl-CS"/>
        </w:rPr>
        <w:t>Почетком 2023. године настављена су позитивна кретања на тржишту рада која се пре свега одражавају кроз раст запослености и зарада у приватном сектору. Према подацима Централног регистра обавезног социјалног осигурања, у првом кварталу 2023. године, просечан број запослених био је већи за 3,1%, у поређењу са истим периодом претходне године, чему је пре свега допринео раст запослености у приватном сектору од 3,9%, односно за нешто више од 63 хиљаде лица, док је у јавном сектору раст износио 0,8%, односно око 5 хиљада</w:t>
      </w:r>
      <w:r w:rsidR="005106D7" w:rsidRPr="0007074F">
        <w:rPr>
          <w:rStyle w:val="FootnoteReference"/>
          <w:rFonts w:cstheme="minorHAnsi"/>
          <w:bCs/>
          <w:szCs w:val="72"/>
          <w:lang w:val="sr-Cyrl-CS"/>
        </w:rPr>
        <w:footnoteReference w:id="1"/>
      </w:r>
      <w:r w:rsidRPr="0007074F">
        <w:rPr>
          <w:rFonts w:cstheme="minorHAnsi"/>
          <w:bCs/>
          <w:szCs w:val="72"/>
          <w:lang w:val="sr-Cyrl-CS"/>
        </w:rPr>
        <w:t>. У овом периоду, најснажнији секторски допринос расту запослености долази од ИКТ, научно-техничких, административно-услужних делатности и трговине. Према подацима Националне службе за запошљавање, у истом периоду, број лица која активно траже запослење смањен је за 10,4%.</w:t>
      </w:r>
    </w:p>
    <w:p w14:paraId="05F7DE2F" w14:textId="77777777" w:rsidR="00907B95" w:rsidRPr="0007074F" w:rsidRDefault="00907B95" w:rsidP="00642143">
      <w:pPr>
        <w:spacing w:after="120"/>
        <w:rPr>
          <w:rFonts w:cstheme="minorHAnsi"/>
          <w:bCs/>
          <w:szCs w:val="72"/>
          <w:lang w:val="sr-Cyrl-CS"/>
        </w:rPr>
      </w:pPr>
      <w:r w:rsidRPr="0007074F">
        <w:rPr>
          <w:rFonts w:cstheme="minorHAnsi"/>
          <w:bCs/>
          <w:szCs w:val="72"/>
          <w:lang w:val="sr-Cyrl-CS"/>
        </w:rPr>
        <w:t>У прва два месеца просечна нето зарада је износила 82.062 динара, и била је благо реално повећана за 0,1%, у поређењу са истим периодом претходне године. Под утицајем високе инфлације ово је значајно спорији раст у поређењу са претходним периодом. Раст зарада у овом периоду био је у потпуности опредељен реалним растом зарада у приватном сектору, који је износио 1,8%. Истовремено, и поред повећања зарада у јавном сектору одлуком Владе с почетка године од 12,5%, њихов номинални раст у потпуности је био неутралисан растом инфлације, тако да је у реалним вредностима забележено смањење од 3,9%.</w:t>
      </w:r>
      <w:r w:rsidRPr="0007074F">
        <w:rPr>
          <w:lang w:val="sr-Cyrl-CS"/>
        </w:rPr>
        <w:t xml:space="preserve"> Од 2023. године повећана је минимална цена рада за 14,3% на 230 динара по радном часу. </w:t>
      </w:r>
      <w:r w:rsidRPr="0007074F">
        <w:rPr>
          <w:rFonts w:cstheme="minorHAnsi"/>
          <w:bCs/>
          <w:szCs w:val="72"/>
          <w:lang w:val="sr-Cyrl-CS"/>
        </w:rPr>
        <w:t>Посматрано по делатностима, значајнији раст зарада бележе области прерађивачке индустрије и трговине.</w:t>
      </w:r>
    </w:p>
    <w:p w14:paraId="11136048" w14:textId="77777777" w:rsidR="00907B95" w:rsidRPr="0007074F" w:rsidRDefault="00907B95" w:rsidP="00642143">
      <w:pPr>
        <w:spacing w:after="120"/>
        <w:rPr>
          <w:rFonts w:cstheme="minorHAnsi"/>
          <w:bCs/>
          <w:szCs w:val="72"/>
          <w:lang w:val="sr-Cyrl-CS"/>
        </w:rPr>
        <w:sectPr w:rsidR="00907B95" w:rsidRPr="0007074F" w:rsidSect="002D6E55">
          <w:type w:val="continuous"/>
          <w:pgSz w:w="12240" w:h="15840" w:code="1"/>
          <w:pgMar w:top="1440" w:right="1440" w:bottom="1440" w:left="1440" w:header="720" w:footer="720" w:gutter="0"/>
          <w:cols w:num="2" w:space="720"/>
          <w:docGrid w:linePitch="360"/>
          <w15:footnoteColumns w:val="1"/>
        </w:sectPr>
      </w:pPr>
    </w:p>
    <w:p w14:paraId="47D004D0" w14:textId="77777777" w:rsidR="00907B95" w:rsidRPr="0007074F" w:rsidRDefault="00907B95" w:rsidP="00642143">
      <w:pPr>
        <w:pStyle w:val="Caption"/>
        <w:keepNext/>
        <w:spacing w:after="80"/>
        <w:rPr>
          <w:rFonts w:cstheme="minorHAnsi"/>
          <w:b w:val="0"/>
          <w:i/>
          <w:iCs w:val="0"/>
          <w:szCs w:val="22"/>
          <w:lang w:val="sr-Cyrl-CS"/>
        </w:rPr>
      </w:pPr>
      <w:r w:rsidRPr="0007074F">
        <w:rPr>
          <w:rFonts w:cstheme="minorHAnsi"/>
          <w:iCs w:val="0"/>
          <w:szCs w:val="22"/>
          <w:lang w:val="sr-Cyrl-CS"/>
        </w:rPr>
        <w:lastRenderedPageBreak/>
        <w:t>Кретање основних показатеља тржишта рада</w:t>
      </w:r>
    </w:p>
    <w:p w14:paraId="12557ECD" w14:textId="77777777" w:rsidR="00907B95" w:rsidRPr="0007074F" w:rsidRDefault="00907B95" w:rsidP="0074685C">
      <w:pPr>
        <w:spacing w:after="0"/>
        <w:rPr>
          <w:rFonts w:cstheme="minorHAnsi"/>
          <w:bCs/>
          <w:szCs w:val="72"/>
          <w:lang w:val="sr-Cyrl-CS"/>
        </w:rPr>
      </w:pPr>
      <w:r w:rsidRPr="0007074F">
        <w:rPr>
          <w:noProof/>
        </w:rPr>
        <w:drawing>
          <wp:inline distT="0" distB="0" distL="0" distR="0" wp14:anchorId="339F97F8" wp14:editId="0C95C1B7">
            <wp:extent cx="2743200" cy="1760400"/>
            <wp:effectExtent l="0" t="0" r="0" b="0"/>
            <wp:docPr id="19" name="Chart 19">
              <a:extLst xmlns:a="http://schemas.openxmlformats.org/drawingml/2006/main">
                <a:ext uri="{FF2B5EF4-FFF2-40B4-BE49-F238E27FC236}">
                  <a16:creationId xmlns:a16="http://schemas.microsoft.com/office/drawing/2014/main" id="{00000000-0008-0000-0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74EE2CC7" w14:textId="77777777" w:rsidR="00907B95" w:rsidRPr="0007074F" w:rsidRDefault="00907B95" w:rsidP="0074685C">
      <w:pPr>
        <w:spacing w:before="40"/>
        <w:rPr>
          <w:rFonts w:cstheme="minorHAnsi"/>
          <w:bCs/>
          <w:szCs w:val="72"/>
          <w:lang w:val="sr-Cyrl-CS"/>
        </w:rPr>
      </w:pPr>
      <w:r w:rsidRPr="0007074F">
        <w:rPr>
          <w:rFonts w:cstheme="minorHAnsi"/>
          <w:bCs/>
          <w:sz w:val="16"/>
          <w:szCs w:val="72"/>
          <w:lang w:val="sr-Cyrl-CS"/>
        </w:rPr>
        <w:t>Извор: РЗС</w:t>
      </w:r>
    </w:p>
    <w:p w14:paraId="7038B1DF" w14:textId="59A51DB0" w:rsidR="00907B95" w:rsidRPr="0007074F" w:rsidRDefault="00907B95" w:rsidP="00C130D2">
      <w:pPr>
        <w:rPr>
          <w:rFonts w:cstheme="minorHAnsi"/>
          <w:bCs/>
          <w:szCs w:val="72"/>
          <w:lang w:val="sr-Cyrl-CS"/>
        </w:rPr>
      </w:pPr>
      <w:r w:rsidRPr="0007074F">
        <w:rPr>
          <w:rFonts w:cstheme="minorHAnsi"/>
          <w:bCs/>
          <w:szCs w:val="72"/>
          <w:lang w:val="sr-Cyrl-CS"/>
        </w:rPr>
        <w:t xml:space="preserve">Очекује се да ће тржиште рада остати на позитивној путањи раста и у наредном периоду. Креатори јавних политика континуирано доносе мере усмерене на унапређивање радне снаге у погледу квалитета, као и на улагање у људски капитал, све у циљу лакшег општег запошљавања, а нарочито у оном делу привреде који има већу додату вредност. Досадашњу успешност ових мера потврђују подаци о порасту броја запослених у периоду од 2014. до 2022. године у сектору ИКТ за 42.863 и научно-техничким делатностима за 33.592 лица. Наставиће се са политикама које имају за циљ смањивање броја запослених у сивој зони и њихово превођење у контингент формално запослених, чиме би њихови услови рада били побољшани, а позитиван ефекат би се одразио и на приходе буџета. У средњорочном периоду очекују се позитивни резултати </w:t>
      </w:r>
      <w:r w:rsidR="005106D7" w:rsidRPr="0007074F">
        <w:rPr>
          <w:rFonts w:cstheme="minorHAnsi"/>
          <w:bCs/>
          <w:szCs w:val="72"/>
          <w:lang w:val="sr-Cyrl-CS"/>
        </w:rPr>
        <w:t>спровођења мера активне политике запошљавања</w:t>
      </w:r>
      <w:r w:rsidRPr="0007074F">
        <w:rPr>
          <w:rFonts w:cstheme="minorHAnsi"/>
          <w:bCs/>
          <w:szCs w:val="72"/>
          <w:lang w:val="sr-Cyrl-CS"/>
        </w:rPr>
        <w:t>, преквалификација и подршке социјалном предузетништву, чиме ће се олакшати доступност радних места социјално рањивим категоријама друштва и тиме додатно обезбедити инклузивност привредног раста. Такође, планирано је повећање обухвата образовања базирано на дуалном моделу. Узимајући у обзир све наведено, у средњем року се пројектује смањивање стопе незапослености и раст зарада, али под утицајем тренутних геополитичких неизвесности изазваних кризом у Украјини, очекује се да то буде по успоренијој динамици. Ради економске одрживости, раст зарада треба да буде заснован на расту продуктивности.</w:t>
      </w:r>
    </w:p>
    <w:p w14:paraId="4A0CA149" w14:textId="77777777" w:rsidR="00907B95" w:rsidRPr="0007074F" w:rsidRDefault="00907B95" w:rsidP="008527D6">
      <w:pPr>
        <w:rPr>
          <w:rFonts w:cstheme="minorHAnsi"/>
          <w:b/>
          <w:color w:val="2F5496" w:themeColor="accent1" w:themeShade="BF"/>
          <w:sz w:val="22"/>
          <w:lang w:val="sr-Cyrl-CS"/>
        </w:rPr>
      </w:pPr>
      <w:r w:rsidRPr="0007074F">
        <w:rPr>
          <w:rFonts w:cstheme="minorHAnsi"/>
          <w:b/>
          <w:color w:val="2F5496" w:themeColor="accent1" w:themeShade="BF"/>
          <w:sz w:val="22"/>
          <w:lang w:val="sr-Cyrl-CS"/>
        </w:rPr>
        <w:br w:type="column"/>
      </w:r>
      <w:r w:rsidRPr="0007074F">
        <w:rPr>
          <w:rFonts w:cstheme="minorHAnsi"/>
          <w:b/>
          <w:color w:val="2F5496" w:themeColor="accent1" w:themeShade="BF"/>
          <w:sz w:val="22"/>
          <w:lang w:val="sr-Cyrl-CS"/>
        </w:rPr>
        <w:t>Монетарна кретања</w:t>
      </w:r>
    </w:p>
    <w:p w14:paraId="789676A8" w14:textId="0D8D468E" w:rsidR="00876CFE" w:rsidRPr="0007074F" w:rsidRDefault="00876CFE" w:rsidP="00871703">
      <w:pPr>
        <w:rPr>
          <w:lang w:val="sr-Cyrl-CS"/>
        </w:rPr>
      </w:pPr>
      <w:r w:rsidRPr="0007074F">
        <w:rPr>
          <w:lang w:val="sr-Cyrl-CS"/>
        </w:rPr>
        <w:t>Међугодишња инфлација у Србији, као и у већини других земаља, остала је повишена и током првог квартала и кретала се на нивоу од око 16% међугодишње. Такво кретање инфлације определили су повећани доприноси цена хране и очекиване корекције регулисаних цена, док је у супротном смеру деловао нижи допринос цена нафтних деривата. Као и у претходном периоду, базна инфлација (мерена променом индекса потрошачких цена по искључењу хране, енергије, алкохола и цигарета), која се током првог квартала кретала на нивоу од око 11% међугодишње, остала је значајно испод укупне инфлације, чему је наставила да доприноси очувана релативна стабилност курса динара према евру.</w:t>
      </w:r>
    </w:p>
    <w:p w14:paraId="11B31863" w14:textId="2B32393F" w:rsidR="00907B95" w:rsidRPr="0007074F" w:rsidRDefault="00876CFE" w:rsidP="00871703">
      <w:pPr>
        <w:rPr>
          <w:lang w:val="sr-Cyrl-CS"/>
        </w:rPr>
      </w:pPr>
      <w:r w:rsidRPr="0007074F">
        <w:rPr>
          <w:lang w:val="sr-Cyrl-CS"/>
        </w:rPr>
        <w:t>У складу са проценама, у априлу се инфлација нашла на опадајућој путањи, а знатнији пад се очекује у другој половини године, тако да ће на крају ове године инфлација бити двоструко нижа него што је била током првог тромесечја. Повратак инфлације у границе циља очекује се средином 2024. године, захваљујући пре свега заоштравању монетарних услова, слабљењу ефеката глобалних фактора који су водили раст цена енергената и хране у претходном периоду, успоравању увозне инфлације, као и услед ефекта високе базе.</w:t>
      </w:r>
    </w:p>
    <w:p w14:paraId="1C861F21" w14:textId="77777777" w:rsidR="00D31E71" w:rsidRPr="0007074F" w:rsidRDefault="00D31E71" w:rsidP="00D31E71">
      <w:pPr>
        <w:rPr>
          <w:lang w:val="sr-Cyrl-CS"/>
        </w:rPr>
      </w:pPr>
      <w:r w:rsidRPr="0007074F">
        <w:rPr>
          <w:lang w:val="sr-Cyrl-CS"/>
        </w:rPr>
        <w:t>Како би се раст цена зауставио, а затим нашао на опадајућој путањи, али и да инфлациона очекивања не би порасла, НБС је почев од октобра 2021. године постепено</w:t>
      </w:r>
      <w:r w:rsidRPr="0007074F">
        <w:rPr>
          <w:b/>
          <w:bCs/>
          <w:lang w:val="sr-Cyrl-CS"/>
        </w:rPr>
        <w:t xml:space="preserve"> </w:t>
      </w:r>
      <w:r w:rsidRPr="0007074F">
        <w:rPr>
          <w:lang w:val="sr-Cyrl-CS"/>
        </w:rPr>
        <w:t>повећавала просечне пондерисане каматне стопе на једнонедељним реверзним репо аукцијама на којима се повлаче вишкови динарске ликвидности из банкарског система, а</w:t>
      </w:r>
      <w:r w:rsidRPr="0007074F">
        <w:rPr>
          <w:b/>
          <w:bCs/>
          <w:lang w:val="sr-Cyrl-CS"/>
        </w:rPr>
        <w:t xml:space="preserve"> </w:t>
      </w:r>
      <w:r w:rsidRPr="0007074F">
        <w:rPr>
          <w:lang w:val="sr-Cyrl-CS"/>
        </w:rPr>
        <w:t>од априла 2022. године почела је да повећава и референтну каматну стопу</w:t>
      </w:r>
      <w:r w:rsidR="00076F01" w:rsidRPr="0007074F">
        <w:rPr>
          <w:lang w:val="sr-Cyrl-CS"/>
        </w:rPr>
        <w:t xml:space="preserve">. </w:t>
      </w:r>
      <w:r w:rsidRPr="0007074F">
        <w:rPr>
          <w:lang w:val="sr-Cyrl-CS"/>
        </w:rPr>
        <w:t xml:space="preserve">Референтна каматна стопа повећана је за укупно 5,0 процентних поена, са 1,0% на 6,0% колико је износила у априлу и на ком нивоу је задржана у мају 2023. године. Значајан допринос ублажавању инфлаторних притисака имала је релативна стабилност курса динара према евру, која је очувана у периоду избијања сукоба у Украјини захваљујући правовременим девизним интервенцијама Народне банке Србије и добро вођеном макроекономском политиком. Од маја 2022. године присутни су претежно </w:t>
      </w:r>
      <w:r w:rsidRPr="0007074F">
        <w:rPr>
          <w:lang w:val="sr-Cyrl-CS"/>
        </w:rPr>
        <w:lastRenderedPageBreak/>
        <w:t>апрецијацијски притисци на домаћем девизном тржишту, уз интервенције Народне банке Србије на страни куповине девиза ради очувања релативне стабилности девизног курса, што је допринело увећању девизних резерви земље.</w:t>
      </w:r>
    </w:p>
    <w:p w14:paraId="143FB5E5" w14:textId="746D348E" w:rsidR="00907B95" w:rsidRPr="0007074F" w:rsidRDefault="00907B95" w:rsidP="00D31E71">
      <w:pPr>
        <w:rPr>
          <w:rFonts w:cstheme="minorHAnsi"/>
          <w:b/>
          <w:iCs/>
          <w:lang w:val="sr-Cyrl-CS"/>
        </w:rPr>
      </w:pPr>
      <w:r w:rsidRPr="0007074F">
        <w:rPr>
          <w:rFonts w:cstheme="minorHAnsi"/>
          <w:lang w:val="sr-Cyrl-CS"/>
        </w:rPr>
        <w:t>Инфлација и референтна каматна стопа, %</w:t>
      </w:r>
    </w:p>
    <w:p w14:paraId="6B31C1EB" w14:textId="77777777" w:rsidR="00907B95" w:rsidRPr="0007074F" w:rsidRDefault="00907B95" w:rsidP="00871703">
      <w:pPr>
        <w:spacing w:after="40"/>
        <w:rPr>
          <w:rFonts w:cstheme="minorHAnsi"/>
          <w:bCs/>
          <w:szCs w:val="72"/>
          <w:highlight w:val="darkYellow"/>
          <w:lang w:val="sr-Cyrl-CS"/>
        </w:rPr>
      </w:pPr>
      <w:r w:rsidRPr="0007074F">
        <w:rPr>
          <w:noProof/>
        </w:rPr>
        <w:drawing>
          <wp:inline distT="0" distB="0" distL="0" distR="0" wp14:anchorId="68353AEE" wp14:editId="5D22B82B">
            <wp:extent cx="2743200" cy="1722120"/>
            <wp:effectExtent l="0" t="0" r="0" b="0"/>
            <wp:docPr id="384647522" name="Chart 1">
              <a:extLst xmlns:a="http://schemas.openxmlformats.org/drawingml/2006/main">
                <a:ext uri="{FF2B5EF4-FFF2-40B4-BE49-F238E27FC236}">
                  <a16:creationId xmlns:a16="http://schemas.microsoft.com/office/drawing/2014/main" id="{00000000-0008-0000-1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6EE94942" w14:textId="77777777" w:rsidR="00907B95" w:rsidRPr="0007074F" w:rsidRDefault="00907B95" w:rsidP="00871703">
      <w:pPr>
        <w:rPr>
          <w:rFonts w:cstheme="minorHAnsi"/>
          <w:bCs/>
          <w:szCs w:val="72"/>
          <w:lang w:val="sr-Cyrl-CS"/>
        </w:rPr>
      </w:pPr>
      <w:r w:rsidRPr="0007074F">
        <w:rPr>
          <w:rFonts w:cstheme="minorHAnsi"/>
          <w:bCs/>
          <w:sz w:val="16"/>
          <w:szCs w:val="72"/>
          <w:lang w:val="sr-Cyrl-CS"/>
        </w:rPr>
        <w:t>Извор: РЗС и НБС</w:t>
      </w:r>
    </w:p>
    <w:p w14:paraId="06AC509B" w14:textId="77777777" w:rsidR="00907B95" w:rsidRPr="0007074F" w:rsidRDefault="00907B95" w:rsidP="00D651FB">
      <w:pPr>
        <w:rPr>
          <w:lang w:val="sr-Cyrl-CS"/>
        </w:rPr>
      </w:pPr>
      <w:r w:rsidRPr="0007074F">
        <w:rPr>
          <w:lang w:val="sr-Cyrl-CS"/>
        </w:rPr>
        <w:t>Са циљем смиривања инфлације и негативних социјалних и економских ефеката раста светских цена хране и енергената, Влада је предузела низ мера административног ограничавања цена и мањим делом фискалних мера у виду смањења акцизе на деривате нафте. Ограничене су цене основних животних намирница (сунцокретово уље, брашно тип 400 и 500). Уредба је последњи пут продужена до 31. маја 2023. године. Уредбом о привременој мери ограничења цена гаса утврђује се цена гаса за даљу продају и право на надокнаду разлике у цени гаса набављеног из увоза или произведеног у земљи.</w:t>
      </w:r>
      <w:r w:rsidRPr="0007074F">
        <w:rPr>
          <w:color w:val="1F4E79" w:themeColor="accent5" w:themeShade="80"/>
          <w:lang w:val="sr-Cyrl-CS"/>
        </w:rPr>
        <w:t xml:space="preserve"> </w:t>
      </w:r>
      <w:r w:rsidRPr="0007074F">
        <w:rPr>
          <w:lang w:val="sr-Cyrl-CS"/>
        </w:rPr>
        <w:t>Уредбом о ограничењу висине цена нафтних деривата прописује се начин обрачуна највиших цена нафтних деривата у малопродаји, евродизела и европремијума БМБ 95. Посебно је ограничена цена деривата за пољопривреднике.</w:t>
      </w:r>
      <w:r w:rsidRPr="0007074F">
        <w:rPr>
          <w:rFonts w:cstheme="minorHAnsi"/>
          <w:spacing w:val="-2"/>
          <w:lang w:val="sr-Cyrl-CS"/>
        </w:rPr>
        <w:t xml:space="preserve"> Уз ову уредбу Влада је донела и одлуку о смањењу акциза на деривате нафте која је важила до 30. априла 2023. године. Циљ ових мера је било смањење инфлаторних притисака и инфлационих очекивања, као и редовно и несметано снабдевање тржишта храном и енергентима.</w:t>
      </w:r>
    </w:p>
    <w:p w14:paraId="1B9D05E1" w14:textId="5AD2E194" w:rsidR="00907B95" w:rsidRPr="0007074F" w:rsidRDefault="00907B95" w:rsidP="002D6E55">
      <w:pPr>
        <w:pStyle w:val="Caption"/>
        <w:jc w:val="both"/>
        <w:rPr>
          <w:rFonts w:cstheme="minorHAnsi"/>
          <w:b w:val="0"/>
          <w:iCs w:val="0"/>
          <w:color w:val="44546A" w:themeColor="text2"/>
          <w:spacing w:val="-2"/>
          <w:szCs w:val="22"/>
          <w:lang w:val="sr-Cyrl-CS"/>
        </w:rPr>
      </w:pPr>
      <w:r w:rsidRPr="0007074F">
        <w:rPr>
          <w:rFonts w:cstheme="minorHAnsi"/>
          <w:b w:val="0"/>
          <w:iCs w:val="0"/>
          <w:color w:val="44546A" w:themeColor="text2"/>
          <w:spacing w:val="-2"/>
          <w:szCs w:val="22"/>
          <w:lang w:val="sr-Cyrl-CS"/>
        </w:rPr>
        <w:t xml:space="preserve">И поред постепеног раста каматних стопа, како на домаћем тако и на међународном тржишту, а које је последица заоштравања монетарне политике ЕЦБ и Народне банке Србије, кредитна активност наставља да бележи раст почетком 2023. године, </w:t>
      </w:r>
      <w:r w:rsidRPr="0007074F">
        <w:rPr>
          <w:rFonts w:cstheme="minorHAnsi"/>
          <w:b w:val="0"/>
          <w:iCs w:val="0"/>
          <w:color w:val="44546A" w:themeColor="text2"/>
          <w:spacing w:val="-2"/>
          <w:szCs w:val="22"/>
          <w:lang w:val="sr-Cyrl-CS"/>
        </w:rPr>
        <w:t>али успореније него претходне године. На спорији раст кредитне активности поред раста каматних стопа, утицали су и ефекти високе базе и доспеће кредита из гарантне шеме. Позитиван допринос расту кредита на крају првог квартала 2023. године долази највећим делом од кредита становништву, а у мањој мери од кредита привреди. Повољна је структура кредита и код привреде је била претежно доминантна улога кредита за обртна средства и инвестиције, док је код становништва најзначајнија улога стамбених кредита. Крајем марта 2023. године регистрован је номинални раст укупних кредита за 2,7% мг</w:t>
      </w:r>
      <w:r w:rsidR="00EF5691" w:rsidRPr="0007074F">
        <w:rPr>
          <w:rFonts w:cstheme="minorHAnsi"/>
          <w:b w:val="0"/>
          <w:iCs w:val="0"/>
          <w:color w:val="44546A" w:themeColor="text2"/>
          <w:spacing w:val="-2"/>
          <w:szCs w:val="22"/>
          <w:lang w:val="sr-Cyrl-CS"/>
        </w:rPr>
        <w:t>.</w:t>
      </w:r>
      <w:r w:rsidRPr="0007074F">
        <w:rPr>
          <w:rFonts w:cstheme="minorHAnsi"/>
          <w:b w:val="0"/>
          <w:iCs w:val="0"/>
          <w:color w:val="44546A" w:themeColor="text2"/>
          <w:spacing w:val="-2"/>
          <w:szCs w:val="22"/>
          <w:lang w:val="sr-Cyrl-CS"/>
        </w:rPr>
        <w:t xml:space="preserve">, при чему су кредити привреди забележили раст од 1,4%, док су кредити становништву били већи за 4,3%. </w:t>
      </w:r>
      <w:r w:rsidR="00DB4DC3" w:rsidRPr="0007074F">
        <w:rPr>
          <w:rFonts w:cstheme="minorHAnsi"/>
          <w:b w:val="0"/>
          <w:iCs w:val="0"/>
          <w:color w:val="44546A" w:themeColor="text2"/>
          <w:spacing w:val="-2"/>
          <w:szCs w:val="22"/>
          <w:lang w:val="sr-Cyrl-CS"/>
        </w:rPr>
        <w:t>Стабилност банкарског сектора је очувана и додатно ојачана и забележено је смањење удела проблематичних кредита, који су износили 3,00% крајем марта 2023. године</w:t>
      </w:r>
      <w:r w:rsidRPr="0007074F">
        <w:rPr>
          <w:rFonts w:cstheme="minorHAnsi"/>
          <w:b w:val="0"/>
          <w:iCs w:val="0"/>
          <w:color w:val="44546A" w:themeColor="text2"/>
          <w:spacing w:val="-2"/>
          <w:szCs w:val="22"/>
          <w:lang w:val="sr-Cyrl-CS"/>
        </w:rPr>
        <w:t>.</w:t>
      </w:r>
      <w:r w:rsidR="00DB4DC3" w:rsidRPr="0007074F">
        <w:rPr>
          <w:rFonts w:cstheme="minorHAnsi"/>
          <w:b w:val="0"/>
          <w:iCs w:val="0"/>
          <w:color w:val="44546A" w:themeColor="text2"/>
          <w:spacing w:val="-2"/>
          <w:szCs w:val="22"/>
          <w:lang w:val="sr-Cyrl-CS"/>
        </w:rPr>
        <w:t xml:space="preserve"> </w:t>
      </w:r>
      <w:r w:rsidR="00D31E71" w:rsidRPr="0007074F">
        <w:rPr>
          <w:rFonts w:cstheme="minorHAnsi"/>
          <w:b w:val="0"/>
          <w:iCs w:val="0"/>
          <w:color w:val="44546A" w:themeColor="text2"/>
          <w:spacing w:val="-2"/>
          <w:szCs w:val="22"/>
          <w:lang w:val="sr-Cyrl-CS"/>
        </w:rPr>
        <w:t>Евентуални наставак заоштравања монетарних услова утицао би на даљи раст каматних стопа, што би се могло одразити и на даље успоравање раста кредитне активности.</w:t>
      </w:r>
    </w:p>
    <w:p w14:paraId="71F74BB9" w14:textId="77777777" w:rsidR="00907B95" w:rsidRPr="0007074F" w:rsidRDefault="00907B95" w:rsidP="008527D6">
      <w:pPr>
        <w:pStyle w:val="Caption"/>
        <w:keepNext/>
        <w:rPr>
          <w:rFonts w:cstheme="minorHAnsi"/>
          <w:b w:val="0"/>
          <w:i/>
          <w:iCs w:val="0"/>
          <w:szCs w:val="22"/>
          <w:lang w:val="sr-Cyrl-CS"/>
        </w:rPr>
      </w:pPr>
      <w:r w:rsidRPr="0007074F">
        <w:rPr>
          <w:rFonts w:cstheme="minorHAnsi"/>
          <w:iCs w:val="0"/>
          <w:szCs w:val="22"/>
          <w:lang w:val="sr-Cyrl-CS"/>
        </w:rPr>
        <w:t>Проблематични кредити, млрд РСД</w:t>
      </w:r>
    </w:p>
    <w:p w14:paraId="3720E0E2" w14:textId="77777777" w:rsidR="00907B95" w:rsidRPr="0007074F" w:rsidRDefault="00907B95" w:rsidP="0021538A">
      <w:pPr>
        <w:spacing w:after="40"/>
        <w:rPr>
          <w:rFonts w:cstheme="minorHAnsi"/>
          <w:bCs/>
          <w:szCs w:val="72"/>
          <w:highlight w:val="yellow"/>
          <w:lang w:val="sr-Cyrl-CS"/>
        </w:rPr>
      </w:pPr>
      <w:r w:rsidRPr="0007074F">
        <w:rPr>
          <w:noProof/>
        </w:rPr>
        <w:drawing>
          <wp:inline distT="0" distB="0" distL="0" distR="0" wp14:anchorId="18001F31" wp14:editId="57B95EE9">
            <wp:extent cx="2743200" cy="1630045"/>
            <wp:effectExtent l="0" t="0" r="0" b="8255"/>
            <wp:docPr id="1569553083" name="Chart 1">
              <a:extLst xmlns:a="http://schemas.openxmlformats.org/drawingml/2006/main">
                <a:ext uri="{FF2B5EF4-FFF2-40B4-BE49-F238E27FC236}">
                  <a16:creationId xmlns:a16="http://schemas.microsoft.com/office/drawing/2014/main" id="{00000000-0008-0000-1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03600E81" w14:textId="77777777" w:rsidR="00907B95" w:rsidRPr="0007074F" w:rsidRDefault="00907B95" w:rsidP="0021538A">
      <w:pPr>
        <w:spacing w:after="120"/>
        <w:rPr>
          <w:rFonts w:cstheme="minorHAnsi"/>
          <w:lang w:val="sr-Cyrl-CS"/>
        </w:rPr>
      </w:pPr>
      <w:r w:rsidRPr="0007074F">
        <w:rPr>
          <w:rFonts w:cstheme="minorHAnsi"/>
          <w:bCs/>
          <w:sz w:val="16"/>
          <w:szCs w:val="72"/>
          <w:lang w:val="sr-Cyrl-CS"/>
        </w:rPr>
        <w:t>Извор: НБС</w:t>
      </w:r>
    </w:p>
    <w:p w14:paraId="17191A85" w14:textId="5D93056C" w:rsidR="00907B95" w:rsidRPr="0007074F" w:rsidRDefault="006A76EC" w:rsidP="00F762CA">
      <w:pPr>
        <w:rPr>
          <w:rFonts w:cstheme="minorHAnsi"/>
          <w:bCs/>
          <w:spacing w:val="-2"/>
          <w:szCs w:val="72"/>
          <w:lang w:val="sr-Cyrl-CS"/>
        </w:rPr>
      </w:pPr>
      <w:r w:rsidRPr="0007074F">
        <w:rPr>
          <w:rFonts w:cstheme="minorHAnsi"/>
          <w:bCs/>
          <w:szCs w:val="72"/>
          <w:lang w:val="sr-Cyrl-CS"/>
        </w:rPr>
        <w:t xml:space="preserve">Први квартал 2023. године обележила су релативно стабилна кретања на девизном тржишту. Почев од фебруара 2023. године било је присутно јачање апрецијацијских притисака. Ово </w:t>
      </w:r>
      <w:r w:rsidR="002D6E55" w:rsidRPr="0007074F">
        <w:rPr>
          <w:rFonts w:cstheme="minorHAnsi"/>
          <w:bCs/>
          <w:szCs w:val="72"/>
          <w:lang w:val="sr-Cyrl-CS"/>
        </w:rPr>
        <w:t>је</w:t>
      </w:r>
      <w:r w:rsidR="00FD3F0B" w:rsidRPr="0007074F">
        <w:rPr>
          <w:rFonts w:cstheme="minorHAnsi"/>
          <w:bCs/>
          <w:szCs w:val="72"/>
          <w:lang w:val="sr-Cyrl-CS"/>
        </w:rPr>
        <w:t xml:space="preserve"> поред стабилности на домаћем девизном тржишту,</w:t>
      </w:r>
      <w:r w:rsidR="002D6E55" w:rsidRPr="0007074F">
        <w:rPr>
          <w:rFonts w:cstheme="minorHAnsi"/>
          <w:bCs/>
          <w:szCs w:val="72"/>
          <w:lang w:val="sr-Cyrl-CS"/>
        </w:rPr>
        <w:t xml:space="preserve"> резултат</w:t>
      </w:r>
      <w:r w:rsidRPr="0007074F">
        <w:rPr>
          <w:rFonts w:cstheme="minorHAnsi"/>
          <w:bCs/>
          <w:szCs w:val="72"/>
          <w:lang w:val="sr-Cyrl-CS"/>
        </w:rPr>
        <w:t xml:space="preserve"> већ</w:t>
      </w:r>
      <w:r w:rsidR="002D6E55" w:rsidRPr="0007074F">
        <w:rPr>
          <w:rFonts w:cstheme="minorHAnsi"/>
          <w:bCs/>
          <w:szCs w:val="72"/>
          <w:lang w:val="sr-Cyrl-CS"/>
        </w:rPr>
        <w:t>е</w:t>
      </w:r>
      <w:r w:rsidRPr="0007074F">
        <w:rPr>
          <w:rFonts w:cstheme="minorHAnsi"/>
          <w:bCs/>
          <w:szCs w:val="72"/>
          <w:lang w:val="sr-Cyrl-CS"/>
        </w:rPr>
        <w:t xml:space="preserve"> понуд</w:t>
      </w:r>
      <w:r w:rsidR="002D6E55" w:rsidRPr="0007074F">
        <w:rPr>
          <w:rFonts w:cstheme="minorHAnsi"/>
          <w:bCs/>
          <w:szCs w:val="72"/>
          <w:lang w:val="sr-Cyrl-CS"/>
        </w:rPr>
        <w:t>е</w:t>
      </w:r>
      <w:r w:rsidRPr="0007074F">
        <w:rPr>
          <w:rFonts w:cstheme="minorHAnsi"/>
          <w:bCs/>
          <w:szCs w:val="72"/>
          <w:lang w:val="sr-Cyrl-CS"/>
        </w:rPr>
        <w:t xml:space="preserve"> од тражње за девизама на међубанкарском девизном тржишту, захваљујући пре свега минималном оствареном дефициту</w:t>
      </w:r>
      <w:r w:rsidR="00C7569D" w:rsidRPr="0007074F">
        <w:rPr>
          <w:rFonts w:cstheme="minorHAnsi"/>
          <w:bCs/>
          <w:szCs w:val="72"/>
          <w:lang w:val="sr-Cyrl-CS"/>
        </w:rPr>
        <w:t xml:space="preserve"> текућег рачуна платног биланса и </w:t>
      </w:r>
      <w:r w:rsidRPr="0007074F">
        <w:rPr>
          <w:rFonts w:cstheme="minorHAnsi"/>
          <w:bCs/>
          <w:szCs w:val="72"/>
          <w:lang w:val="sr-Cyrl-CS"/>
        </w:rPr>
        <w:t xml:space="preserve"> високом приливу СДИ. С обзиром на већу понуду девиза од тражње, НБС је у првом кварталу 2023. године била нето купац девиза у износу од 465 мил. евра. У марту 2023. године динар је на </w:t>
      </w:r>
      <w:r w:rsidRPr="0007074F">
        <w:rPr>
          <w:rFonts w:cstheme="minorHAnsi"/>
          <w:bCs/>
          <w:szCs w:val="72"/>
          <w:lang w:val="sr-Cyrl-CS"/>
        </w:rPr>
        <w:lastRenderedPageBreak/>
        <w:t>међугодишњем нивоу у просеку забележио номиналну апрецијацију од 0,3%, а реалну од 10,2%. Слична кретања настављена су и у другом тромесечју.</w:t>
      </w:r>
    </w:p>
    <w:p w14:paraId="391B27E0" w14:textId="77777777" w:rsidR="00907B95" w:rsidRPr="0007074F" w:rsidRDefault="00907B95" w:rsidP="005516BC">
      <w:pPr>
        <w:pStyle w:val="Caption"/>
        <w:keepNext/>
        <w:spacing w:after="0"/>
        <w:rPr>
          <w:rFonts w:cstheme="minorHAnsi"/>
          <w:b w:val="0"/>
          <w:i/>
          <w:iCs w:val="0"/>
          <w:szCs w:val="22"/>
          <w:lang w:val="sr-Cyrl-CS"/>
        </w:rPr>
      </w:pPr>
      <w:r w:rsidRPr="0007074F">
        <w:rPr>
          <w:rFonts w:cstheme="minorHAnsi"/>
          <w:iCs w:val="0"/>
          <w:szCs w:val="22"/>
          <w:lang w:val="sr-Cyrl-CS"/>
        </w:rPr>
        <w:t>Девизни курс и интервенције НБС на девизном тржишту</w:t>
      </w:r>
    </w:p>
    <w:p w14:paraId="61D581C2" w14:textId="77777777" w:rsidR="00907B95" w:rsidRPr="0007074F" w:rsidRDefault="00907B95" w:rsidP="00F762CA">
      <w:pPr>
        <w:spacing w:after="20"/>
        <w:rPr>
          <w:rFonts w:cstheme="minorHAnsi"/>
          <w:bCs/>
          <w:szCs w:val="72"/>
          <w:highlight w:val="darkYellow"/>
          <w:lang w:val="sr-Cyrl-CS"/>
        </w:rPr>
      </w:pPr>
      <w:r w:rsidRPr="0007074F">
        <w:rPr>
          <w:noProof/>
        </w:rPr>
        <w:drawing>
          <wp:inline distT="0" distB="0" distL="0" distR="0" wp14:anchorId="7D7AEEC0" wp14:editId="70264158">
            <wp:extent cx="2743200" cy="1661160"/>
            <wp:effectExtent l="0" t="0" r="0" b="0"/>
            <wp:docPr id="1542308828" name="Chart 1">
              <a:extLst xmlns:a="http://schemas.openxmlformats.org/drawingml/2006/main">
                <a:ext uri="{FF2B5EF4-FFF2-40B4-BE49-F238E27FC236}">
                  <a16:creationId xmlns:a16="http://schemas.microsoft.com/office/drawing/2014/main" id="{00000000-0008-0000-1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56DFD0F5" w14:textId="77777777" w:rsidR="00907B95" w:rsidRPr="0007074F" w:rsidRDefault="00907B95" w:rsidP="00852421">
      <w:pPr>
        <w:spacing w:after="120"/>
        <w:rPr>
          <w:rFonts w:cstheme="minorHAnsi"/>
          <w:bCs/>
          <w:szCs w:val="72"/>
          <w:lang w:val="sr-Cyrl-CS"/>
        </w:rPr>
      </w:pPr>
      <w:r w:rsidRPr="0007074F">
        <w:rPr>
          <w:rFonts w:cstheme="minorHAnsi"/>
          <w:bCs/>
          <w:sz w:val="16"/>
          <w:szCs w:val="72"/>
          <w:lang w:val="sr-Cyrl-CS"/>
        </w:rPr>
        <w:t>Извор: НБС</w:t>
      </w:r>
    </w:p>
    <w:p w14:paraId="63602CE8" w14:textId="7079657D" w:rsidR="00907B95" w:rsidRPr="0007074F" w:rsidRDefault="00B349CD" w:rsidP="00F762CA">
      <w:pPr>
        <w:rPr>
          <w:rFonts w:cstheme="minorHAnsi"/>
          <w:bCs/>
          <w:szCs w:val="72"/>
          <w:lang w:val="sr-Cyrl-CS"/>
        </w:rPr>
      </w:pPr>
      <w:r w:rsidRPr="0007074F">
        <w:rPr>
          <w:rFonts w:cstheme="minorHAnsi"/>
          <w:bCs/>
          <w:szCs w:val="72"/>
          <w:lang w:val="sr-Cyrl-CS"/>
        </w:rPr>
        <w:t>Бруто</w:t>
      </w:r>
      <w:r w:rsidRPr="0007074F">
        <w:rPr>
          <w:rFonts w:cstheme="minorHAnsi"/>
          <w:b/>
          <w:bCs/>
          <w:szCs w:val="72"/>
          <w:lang w:val="sr-Cyrl-CS"/>
        </w:rPr>
        <w:t xml:space="preserve"> </w:t>
      </w:r>
      <w:r w:rsidRPr="0007074F">
        <w:rPr>
          <w:rFonts w:cstheme="minorHAnsi"/>
          <w:bCs/>
          <w:szCs w:val="72"/>
          <w:lang w:val="sr-Cyrl-CS"/>
        </w:rPr>
        <w:t>девизне резерве су задржане на високом нивоу и у априлу 2023. године износиле су 21,6 млрд евра, што је највиши ниво од када се прате на овај начин (од 2000. године)</w:t>
      </w:r>
      <w:r w:rsidR="00907B95" w:rsidRPr="0007074F">
        <w:rPr>
          <w:rFonts w:cstheme="minorHAnsi"/>
          <w:bCs/>
          <w:szCs w:val="72"/>
          <w:lang w:val="sr-Cyrl-CS"/>
        </w:rPr>
        <w:t>. То је било довољно за покривеност новчане масе М1 од 176% и 5,</w:t>
      </w:r>
      <w:r w:rsidR="000A47A1" w:rsidRPr="0007074F">
        <w:rPr>
          <w:rFonts w:cstheme="minorHAnsi"/>
          <w:bCs/>
          <w:szCs w:val="72"/>
          <w:lang w:val="sr-Cyrl-CS"/>
        </w:rPr>
        <w:t>7</w:t>
      </w:r>
      <w:r w:rsidR="00907B95" w:rsidRPr="0007074F">
        <w:rPr>
          <w:rFonts w:cstheme="minorHAnsi"/>
          <w:bCs/>
          <w:szCs w:val="72"/>
          <w:lang w:val="sr-Cyrl-CS"/>
        </w:rPr>
        <w:t xml:space="preserve"> месеци увоза робе и услуга. Повећање девизних резерви у </w:t>
      </w:r>
      <w:r w:rsidR="000A47A1" w:rsidRPr="0007074F">
        <w:rPr>
          <w:rFonts w:cstheme="minorHAnsi"/>
          <w:bCs/>
          <w:szCs w:val="72"/>
          <w:lang w:val="sr-Cyrl-CS"/>
        </w:rPr>
        <w:t>април</w:t>
      </w:r>
      <w:r w:rsidR="00907B95" w:rsidRPr="0007074F">
        <w:rPr>
          <w:rFonts w:cstheme="minorHAnsi"/>
          <w:bCs/>
          <w:szCs w:val="72"/>
          <w:lang w:val="sr-Cyrl-CS"/>
        </w:rPr>
        <w:t xml:space="preserve">у првенствено је резултат интервенција НБС на домаћем девизном тржишту куповином девиза, као и </w:t>
      </w:r>
      <w:r w:rsidR="000A47A1" w:rsidRPr="0007074F">
        <w:rPr>
          <w:rFonts w:cstheme="minorHAnsi"/>
          <w:bCs/>
          <w:szCs w:val="72"/>
          <w:lang w:val="sr-Cyrl-CS"/>
        </w:rPr>
        <w:t>по оствареном приливу по основу донација и управљања девизним резервама.</w:t>
      </w:r>
    </w:p>
    <w:p w14:paraId="7BA79B51" w14:textId="77777777" w:rsidR="00907B95" w:rsidRPr="0007074F" w:rsidRDefault="00907B95" w:rsidP="00F762CA">
      <w:pPr>
        <w:spacing w:after="40"/>
        <w:jc w:val="center"/>
        <w:rPr>
          <w:rFonts w:cstheme="minorHAnsi"/>
          <w:b/>
          <w:i/>
          <w:iCs/>
          <w:color w:val="002060"/>
          <w:lang w:val="sr-Cyrl-CS"/>
        </w:rPr>
      </w:pPr>
      <w:r w:rsidRPr="0007074F">
        <w:rPr>
          <w:rFonts w:cstheme="minorHAnsi"/>
          <w:b/>
          <w:color w:val="002060"/>
          <w:lang w:val="sr-Cyrl-CS"/>
        </w:rPr>
        <w:t>Девизне резерве и девизна штедња, млрд евра</w:t>
      </w:r>
    </w:p>
    <w:p w14:paraId="67FE66DD" w14:textId="758CC797" w:rsidR="00907B95" w:rsidRPr="0007074F" w:rsidRDefault="00427786" w:rsidP="008A5B9A">
      <w:pPr>
        <w:spacing w:after="0"/>
        <w:rPr>
          <w:rFonts w:cstheme="minorHAnsi"/>
          <w:bCs/>
          <w:szCs w:val="72"/>
          <w:highlight w:val="darkYellow"/>
          <w:lang w:val="sr-Cyrl-CS"/>
        </w:rPr>
      </w:pPr>
      <w:r w:rsidRPr="0007074F">
        <w:rPr>
          <w:noProof/>
        </w:rPr>
        <w:drawing>
          <wp:inline distT="0" distB="0" distL="0" distR="0" wp14:anchorId="369E43A0" wp14:editId="5B259C28">
            <wp:extent cx="2743200" cy="1742400"/>
            <wp:effectExtent l="0" t="0" r="0" b="0"/>
            <wp:docPr id="43" name="Chart 43">
              <a:extLst xmlns:a="http://schemas.openxmlformats.org/drawingml/2006/main">
                <a:ext uri="{FF2B5EF4-FFF2-40B4-BE49-F238E27FC236}">
                  <a16:creationId xmlns:a16="http://schemas.microsoft.com/office/drawing/2014/main" id="{00000000-0008-0000-1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25BD109E" w14:textId="77777777" w:rsidR="00907B95" w:rsidRPr="0007074F" w:rsidRDefault="00907B95" w:rsidP="008A5B9A">
      <w:pPr>
        <w:spacing w:after="120"/>
        <w:rPr>
          <w:rFonts w:cstheme="minorHAnsi"/>
          <w:bCs/>
          <w:szCs w:val="72"/>
          <w:lang w:val="sr-Cyrl-CS"/>
        </w:rPr>
      </w:pPr>
      <w:r w:rsidRPr="0007074F">
        <w:rPr>
          <w:rFonts w:cstheme="minorHAnsi"/>
          <w:bCs/>
          <w:sz w:val="16"/>
          <w:szCs w:val="72"/>
          <w:lang w:val="sr-Cyrl-CS"/>
        </w:rPr>
        <w:t>Извор: НБС</w:t>
      </w:r>
    </w:p>
    <w:p w14:paraId="61333931" w14:textId="4FD0750A" w:rsidR="00907B95" w:rsidRPr="0007074F" w:rsidRDefault="00907B95" w:rsidP="00F762CA">
      <w:pPr>
        <w:spacing w:after="120"/>
        <w:rPr>
          <w:rFonts w:cstheme="minorHAnsi"/>
          <w:bCs/>
          <w:szCs w:val="72"/>
          <w:lang w:val="sr-Cyrl-CS"/>
        </w:rPr>
      </w:pPr>
      <w:r w:rsidRPr="0007074F">
        <w:rPr>
          <w:rFonts w:cstheme="minorHAnsi"/>
          <w:bCs/>
          <w:szCs w:val="72"/>
          <w:lang w:val="sr-Cyrl-CS"/>
        </w:rPr>
        <w:t xml:space="preserve">Услед постепеног слабљења негативног утицаја глобалних трошковних притисака који су утицали на раст цена енергената и прехрамбених производа, </w:t>
      </w:r>
      <w:r w:rsidR="00876A03" w:rsidRPr="0007074F">
        <w:rPr>
          <w:rFonts w:cstheme="minorHAnsi"/>
          <w:bCs/>
          <w:szCs w:val="72"/>
          <w:lang w:val="sr-Cyrl-CS"/>
        </w:rPr>
        <w:t>од другог тромесечја инфлација ће се наћи на опадајућој путањи, уз знатнији пад у другој половини текуће године</w:t>
      </w:r>
      <w:r w:rsidRPr="0007074F">
        <w:rPr>
          <w:rFonts w:cstheme="minorHAnsi"/>
          <w:bCs/>
          <w:szCs w:val="72"/>
          <w:lang w:val="sr-Cyrl-CS"/>
        </w:rPr>
        <w:t xml:space="preserve">. На смиривање </w:t>
      </w:r>
      <w:r w:rsidRPr="0007074F">
        <w:rPr>
          <w:rFonts w:cstheme="minorHAnsi"/>
          <w:bCs/>
          <w:szCs w:val="72"/>
          <w:lang w:val="sr-Cyrl-CS"/>
        </w:rPr>
        <w:t>инфлације деловаће и ефекти досадашњег заоштравања монетарних услова, али и ефекти економских мера Владе усмерених на цене основних животних намирница и енергената на домаћем тржишту. Очекује се повратак инфлације у границе циља средином 2024. године. Кључни ризици остварења пројекције инфлације потичу, пре свега из међународног окружења.</w:t>
      </w:r>
    </w:p>
    <w:p w14:paraId="0525E4B2" w14:textId="77777777" w:rsidR="00907B95" w:rsidRPr="0007074F" w:rsidRDefault="00907B95" w:rsidP="002D6E55">
      <w:pPr>
        <w:pStyle w:val="Caption"/>
        <w:keepNext/>
        <w:spacing w:after="40"/>
        <w:rPr>
          <w:rFonts w:cstheme="minorHAnsi"/>
          <w:iCs w:val="0"/>
          <w:szCs w:val="22"/>
          <w:lang w:val="sr-Cyrl-CS"/>
        </w:rPr>
      </w:pPr>
      <w:r w:rsidRPr="0007074F">
        <w:rPr>
          <w:rFonts w:cstheme="minorHAnsi"/>
          <w:iCs w:val="0"/>
          <w:szCs w:val="22"/>
          <w:lang w:val="sr-Cyrl-CS"/>
        </w:rPr>
        <w:t>Пројекција инфлације, %</w:t>
      </w:r>
    </w:p>
    <w:p w14:paraId="19C3369D" w14:textId="77777777" w:rsidR="00907B95" w:rsidRPr="0007074F" w:rsidRDefault="00907B95" w:rsidP="00A40733">
      <w:pPr>
        <w:spacing w:after="40"/>
        <w:rPr>
          <w:rFonts w:cstheme="minorHAnsi"/>
          <w:sz w:val="16"/>
          <w:szCs w:val="16"/>
          <w:lang w:val="sr-Cyrl-CS"/>
        </w:rPr>
      </w:pPr>
      <w:r w:rsidRPr="0007074F">
        <w:rPr>
          <w:noProof/>
        </w:rPr>
        <w:drawing>
          <wp:inline distT="0" distB="0" distL="0" distR="0" wp14:anchorId="1B9EDFBB" wp14:editId="38F9B990">
            <wp:extent cx="2743200" cy="1637030"/>
            <wp:effectExtent l="0" t="0" r="0" b="1270"/>
            <wp:docPr id="981873623" name="Chart 1">
              <a:extLst xmlns:a="http://schemas.openxmlformats.org/drawingml/2006/main">
                <a:ext uri="{FF2B5EF4-FFF2-40B4-BE49-F238E27FC236}">
                  <a16:creationId xmlns:a16="http://schemas.microsoft.com/office/drawing/2014/main" id="{00000000-0008-0000-1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7112F67B" w14:textId="77777777" w:rsidR="00907B95" w:rsidRPr="0007074F" w:rsidRDefault="00907B95" w:rsidP="00A40733">
      <w:pPr>
        <w:spacing w:after="200"/>
        <w:rPr>
          <w:rFonts w:cstheme="minorHAnsi"/>
          <w:bCs/>
          <w:sz w:val="16"/>
          <w:szCs w:val="72"/>
          <w:lang w:val="sr-Cyrl-CS"/>
        </w:rPr>
      </w:pPr>
      <w:r w:rsidRPr="0007074F">
        <w:rPr>
          <w:rFonts w:cstheme="minorHAnsi"/>
          <w:bCs/>
          <w:sz w:val="16"/>
          <w:szCs w:val="72"/>
          <w:lang w:val="sr-Cyrl-CS"/>
        </w:rPr>
        <w:t>Изв</w:t>
      </w:r>
      <w:bookmarkStart w:id="11" w:name="_Toc23342463"/>
      <w:r w:rsidRPr="0007074F">
        <w:rPr>
          <w:rFonts w:cstheme="minorHAnsi"/>
          <w:bCs/>
          <w:sz w:val="16"/>
          <w:szCs w:val="72"/>
          <w:lang w:val="sr-Cyrl-CS"/>
        </w:rPr>
        <w:t>ор: Министарство финансија</w:t>
      </w:r>
      <w:bookmarkEnd w:id="11"/>
    </w:p>
    <w:p w14:paraId="7F86B787" w14:textId="77777777" w:rsidR="00907B95" w:rsidRPr="0007074F" w:rsidRDefault="00907B95" w:rsidP="002D6E55">
      <w:pPr>
        <w:jc w:val="left"/>
        <w:rPr>
          <w:rFonts w:cstheme="minorHAnsi"/>
          <w:b/>
          <w:color w:val="2F5496" w:themeColor="accent1" w:themeShade="BF"/>
          <w:sz w:val="22"/>
          <w:lang w:val="sr-Cyrl-CS"/>
        </w:rPr>
      </w:pPr>
      <w:bookmarkStart w:id="12" w:name="_Toc530041993"/>
      <w:r w:rsidRPr="0007074F">
        <w:rPr>
          <w:rFonts w:cstheme="minorHAnsi"/>
          <w:b/>
          <w:color w:val="2F5496" w:themeColor="accent1" w:themeShade="BF"/>
          <w:sz w:val="22"/>
          <w:lang w:val="sr-Cyrl-CS"/>
        </w:rPr>
        <w:t>Екстерни сектор</w:t>
      </w:r>
    </w:p>
    <w:p w14:paraId="6E3BB724" w14:textId="77777777" w:rsidR="00907B95" w:rsidRPr="0007074F" w:rsidRDefault="00907B95" w:rsidP="002D6E55">
      <w:pPr>
        <w:rPr>
          <w:rFonts w:cstheme="minorHAnsi"/>
          <w:szCs w:val="20"/>
          <w:lang w:val="sr-Cyrl-CS"/>
        </w:rPr>
      </w:pPr>
      <w:r w:rsidRPr="0007074F">
        <w:rPr>
          <w:rFonts w:eastAsia="Times New Roman" w:cstheme="minorHAnsi"/>
          <w:szCs w:val="24"/>
          <w:lang w:val="sr-Cyrl-CS"/>
        </w:rPr>
        <w:t xml:space="preserve">Након потпуног опоравка спољнотрговинске робне размене у 2021. години од шока изазваног пандемијом, настављен је снажан раст и у 2022. години. Томе је допринело више фактора, пре свега опоравак економија најзначајнијих трговинских партнера Србије и последично повећана екстерна тражња, побољшана структура домаће економије и активирање нових привредних капацитета. Укупан обим спољнотрговинске робне размене у 2022. години износио је 66,6 млрд евра, и био је за 31,1% већи него у 2021. години. Висок раст вредности извоза и увоза у значајној мери је последица повећања светских цена, при чему су односи размене погоршани у 2022. години, услед бржег раста увозних од извозних цена (пре свега због снажног раста цена енергената у првој половини претходне године), што је довело до значајног раста спољнотрговинског дефицита. Глобална енергетска криза изазвана конфликтом у Украјини условила је раст цена енергената што је, уз проблеме у домаћем електроенергетском систему и потребу за формирање стратешких резерви енергената у условима растуће неизвесности у међународном окружењу, за последицу имало раст увезених количина по значајно вишим </w:t>
      </w:r>
      <w:r w:rsidRPr="0007074F">
        <w:rPr>
          <w:rFonts w:eastAsia="Times New Roman" w:cstheme="minorHAnsi"/>
          <w:szCs w:val="24"/>
          <w:lang w:val="sr-Cyrl-CS"/>
        </w:rPr>
        <w:lastRenderedPageBreak/>
        <w:t>ценама. Дефицит у размени енергентима допринео је расту укупног дефицита спољнотрговинске размене са нешто преко 3/4.</w:t>
      </w:r>
    </w:p>
    <w:p w14:paraId="03EDDF16" w14:textId="6FD43038" w:rsidR="00907B95" w:rsidRPr="0007074F" w:rsidRDefault="00907B95" w:rsidP="002D6E55">
      <w:pPr>
        <w:rPr>
          <w:rFonts w:eastAsia="Times New Roman" w:cstheme="minorHAnsi"/>
          <w:szCs w:val="24"/>
          <w:lang w:val="sr-Cyrl-CS"/>
        </w:rPr>
      </w:pPr>
      <w:r w:rsidRPr="0007074F">
        <w:rPr>
          <w:rFonts w:eastAsia="Times New Roman" w:cstheme="minorHAnsi"/>
          <w:szCs w:val="24"/>
          <w:lang w:val="sr-Cyrl-CS"/>
        </w:rPr>
        <w:t>Током првог квартала 2023. године, извезено је робе у укупној вредности од 7,3 млрд евра, што представља повећање у односу на исти период у прошлој години од 15,8%. Висок раст извоза условљен је, с једне стране, благим растом екстерне тражње, а са друге, активирањем нових извозно оријентисаних капацитета, услед високог прилива СДИ из претходног периода, које су у значајном обиму биле усмерене у разменљиве секторе. Извоз прерађивачке индустрије, која је и главни генератор раста извоза, већи је за 651,2 мил. евра или 12,0% у односу на прва три месеца 2022. године, при чему је у оквиру ње остварен раст у 19 од 23 области.</w:t>
      </w:r>
      <w:r w:rsidRPr="0007074F">
        <w:rPr>
          <w:rFonts w:cstheme="minorHAnsi"/>
          <w:szCs w:val="20"/>
          <w:lang w:val="sr-Cyrl-CS"/>
        </w:rPr>
        <w:t xml:space="preserve"> </w:t>
      </w:r>
      <w:r w:rsidRPr="0007074F">
        <w:rPr>
          <w:rFonts w:eastAsia="Times New Roman" w:cstheme="minorHAnsi"/>
          <w:szCs w:val="24"/>
          <w:lang w:val="sr-Cyrl-CS"/>
        </w:rPr>
        <w:t>Расту извоза прерађивачке индустрије највише је допринео раст извоза у електронској, аутомобилској и машинској индустрији. Поред прерађивачке индустрије, значајан допринос расту извоза долази и од извоза електричне енергије чија је вредност скоро 3,5 пута већа у односу на исти квартал претходне године, као и од рударства, и то највећим делом од експлоатације руда метала, која наставља да бележи веома високе вредности оствареног извоза (29,6% мг.). Пољопривреда је, са друге стране, забележила пад од 27,6%, услед слабије пољопривредне сезоне у претходној години и пада цена пољопривредних производа на светском тржишту.</w:t>
      </w:r>
    </w:p>
    <w:p w14:paraId="405B8CF1" w14:textId="77777777" w:rsidR="00C57089" w:rsidRPr="0007074F" w:rsidRDefault="00C57089" w:rsidP="00C57089">
      <w:pPr>
        <w:pStyle w:val="NoSpacing"/>
        <w:jc w:val="center"/>
        <w:rPr>
          <w:rFonts w:cstheme="minorHAnsi"/>
          <w:color w:val="002060"/>
          <w:lang w:val="sr-Cyrl-CS"/>
        </w:rPr>
      </w:pPr>
      <w:r w:rsidRPr="0007074F">
        <w:rPr>
          <w:rFonts w:cstheme="minorHAnsi"/>
          <w:color w:val="002060"/>
          <w:lang w:val="sr-Cyrl-CS"/>
        </w:rPr>
        <w:t>Доприноси стопи раста увоза, економска намена, п.п.</w:t>
      </w:r>
    </w:p>
    <w:p w14:paraId="133ABE6A" w14:textId="77777777" w:rsidR="00C57089" w:rsidRPr="0007074F" w:rsidRDefault="00C57089" w:rsidP="00C57089">
      <w:pPr>
        <w:pStyle w:val="NoSpacing"/>
        <w:jc w:val="center"/>
        <w:rPr>
          <w:rFonts w:cstheme="minorHAnsi"/>
          <w:color w:val="44546A" w:themeColor="text2"/>
          <w:lang w:val="sr-Cyrl-CS"/>
        </w:rPr>
      </w:pPr>
      <w:r w:rsidRPr="0007074F">
        <w:rPr>
          <w:noProof/>
        </w:rPr>
        <w:drawing>
          <wp:inline distT="0" distB="0" distL="0" distR="0" wp14:anchorId="6BAD8900" wp14:editId="7B6DC3C6">
            <wp:extent cx="2743200" cy="1976755"/>
            <wp:effectExtent l="0" t="0" r="0" b="4445"/>
            <wp:docPr id="21" name="Chart 21">
              <a:extLst xmlns:a="http://schemas.openxmlformats.org/drawingml/2006/main">
                <a:ext uri="{FF2B5EF4-FFF2-40B4-BE49-F238E27FC236}">
                  <a16:creationId xmlns:a16="http://schemas.microsoft.com/office/drawing/2014/main" id="{00000000-0008-0000-1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4FA79936" w14:textId="77777777" w:rsidR="00C57089" w:rsidRPr="0007074F" w:rsidRDefault="00C57089" w:rsidP="00C57089">
      <w:pPr>
        <w:spacing w:before="120"/>
        <w:rPr>
          <w:rFonts w:cstheme="minorHAnsi"/>
          <w:bCs/>
          <w:szCs w:val="72"/>
          <w:lang w:val="sr-Cyrl-CS"/>
        </w:rPr>
      </w:pPr>
      <w:r w:rsidRPr="0007074F">
        <w:rPr>
          <w:rFonts w:cstheme="minorHAnsi"/>
          <w:bCs/>
          <w:sz w:val="16"/>
          <w:szCs w:val="72"/>
          <w:lang w:val="sr-Cyrl-CS"/>
        </w:rPr>
        <w:t>Извор: РЗС</w:t>
      </w:r>
    </w:p>
    <w:p w14:paraId="5793FDF9" w14:textId="77777777" w:rsidR="00907B95" w:rsidRPr="0007074F" w:rsidRDefault="00907B95" w:rsidP="002D6E55">
      <w:pPr>
        <w:rPr>
          <w:rFonts w:eastAsia="Times New Roman" w:cstheme="minorHAnsi"/>
          <w:lang w:val="sr-Cyrl-CS"/>
        </w:rPr>
      </w:pPr>
      <w:r w:rsidRPr="0007074F">
        <w:rPr>
          <w:rFonts w:eastAsia="Times New Roman" w:cstheme="minorHAnsi"/>
          <w:szCs w:val="24"/>
          <w:lang w:val="sr-Cyrl-CS"/>
        </w:rPr>
        <w:t>У прва три месеца 2023. године, увоз робе износио је 9,4 милијарди евра, што је раст од 0,7% у односу на исти период претходне године. Успоравање раста робног увоза у великој мери последица је значајног пада цена енергената на светском тржишту у односу на први квартал претходне године. Позитиван допринос расту увоза потиче од раста увоза потрошне робе и опреме, док је у супротном смеру деловао пад увоза репроматеријала. Увоз потрошне робе и опреме забележио је раст од 10,6% и 7,4%, респективно (прираст од 165,6 и 73,0 мил. евра). Са друге стране, увоз репроматеријала је смањен за 5,9%, односно 343,9 мил. евра, што је у значајној мери узроковано падом цена енергената.</w:t>
      </w:r>
    </w:p>
    <w:p w14:paraId="6A762086" w14:textId="77777777" w:rsidR="00907B95" w:rsidRPr="0007074F" w:rsidRDefault="00907B95" w:rsidP="002D6E55">
      <w:pPr>
        <w:rPr>
          <w:rFonts w:eastAsia="Times New Roman" w:cstheme="minorHAnsi"/>
          <w:szCs w:val="24"/>
          <w:lang w:val="sr-Cyrl-CS"/>
        </w:rPr>
      </w:pPr>
      <w:r w:rsidRPr="0007074F">
        <w:rPr>
          <w:rFonts w:eastAsia="Times New Roman" w:cstheme="minorHAnsi"/>
          <w:szCs w:val="24"/>
          <w:lang w:val="sr-Cyrl-CS"/>
        </w:rPr>
        <w:t>Оваква кретања у спољнотрговинској размени резултирала су падом спољнотрговинског дефицита током прва три месеца 2023. године за 931,2 мил. евра, уз раст покривености увоза извозом ‒ са 67,5% на 77,7%.</w:t>
      </w:r>
    </w:p>
    <w:p w14:paraId="50CAAFB6" w14:textId="77777777" w:rsidR="00907B95" w:rsidRPr="0007074F" w:rsidRDefault="00907B95" w:rsidP="002D6E55">
      <w:pPr>
        <w:pStyle w:val="NoSpacing"/>
        <w:jc w:val="center"/>
        <w:rPr>
          <w:rFonts w:cstheme="minorHAnsi"/>
          <w:color w:val="002060"/>
          <w:lang w:val="sr-Cyrl-CS"/>
        </w:rPr>
      </w:pPr>
      <w:r w:rsidRPr="0007074F">
        <w:rPr>
          <w:rFonts w:cstheme="minorHAnsi"/>
          <w:color w:val="002060"/>
          <w:lang w:val="sr-Cyrl-CS"/>
        </w:rPr>
        <w:t>Робна размена, мил. ЕУР</w:t>
      </w:r>
    </w:p>
    <w:p w14:paraId="0AC3BCB3" w14:textId="77777777" w:rsidR="00907B95" w:rsidRPr="0007074F" w:rsidRDefault="00907B95" w:rsidP="002D6E55">
      <w:pPr>
        <w:pStyle w:val="NoSpacing"/>
        <w:jc w:val="center"/>
        <w:rPr>
          <w:rFonts w:cstheme="minorHAnsi"/>
          <w:b w:val="0"/>
          <w:color w:val="44546A" w:themeColor="text2"/>
          <w:lang w:val="sr-Cyrl-CS"/>
        </w:rPr>
      </w:pPr>
      <w:r w:rsidRPr="0007074F">
        <w:rPr>
          <w:noProof/>
        </w:rPr>
        <w:drawing>
          <wp:inline distT="0" distB="0" distL="0" distR="0" wp14:anchorId="477709F2" wp14:editId="3CC56766">
            <wp:extent cx="2743200" cy="1659255"/>
            <wp:effectExtent l="0" t="0" r="0" b="0"/>
            <wp:docPr id="23" name="Chart 23">
              <a:extLst xmlns:a="http://schemas.openxmlformats.org/drawingml/2006/main">
                <a:ext uri="{FF2B5EF4-FFF2-40B4-BE49-F238E27FC236}">
                  <a16:creationId xmlns:a16="http://schemas.microsoft.com/office/drawing/2014/main" id="{00000000-0008-0000-1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122AE1DE" w14:textId="77777777" w:rsidR="00907B95" w:rsidRPr="0007074F" w:rsidRDefault="00907B95" w:rsidP="002D6E55">
      <w:pPr>
        <w:spacing w:before="40"/>
        <w:rPr>
          <w:rFonts w:cstheme="minorHAnsi"/>
          <w:sz w:val="16"/>
          <w:lang w:val="sr-Cyrl-CS"/>
        </w:rPr>
      </w:pPr>
      <w:r w:rsidRPr="0007074F">
        <w:rPr>
          <w:rFonts w:cstheme="minorHAnsi"/>
          <w:sz w:val="16"/>
          <w:lang w:val="sr-Cyrl-CS"/>
        </w:rPr>
        <w:t>Извор: РЗС</w:t>
      </w:r>
    </w:p>
    <w:p w14:paraId="1227B607" w14:textId="77777777" w:rsidR="00907B95" w:rsidRPr="0007074F" w:rsidRDefault="00907B95" w:rsidP="002D6E55">
      <w:pPr>
        <w:rPr>
          <w:rFonts w:eastAsia="Times New Roman" w:cstheme="minorHAnsi"/>
          <w:szCs w:val="24"/>
          <w:lang w:val="sr-Cyrl-CS"/>
        </w:rPr>
      </w:pPr>
      <w:r w:rsidRPr="0007074F">
        <w:rPr>
          <w:rFonts w:eastAsia="Times New Roman" w:cstheme="minorHAnsi"/>
          <w:szCs w:val="24"/>
          <w:lang w:val="sr-Cyrl-CS"/>
        </w:rPr>
        <w:t xml:space="preserve">Најважнији спољнотрговински партнери током првог квартала 2023. године су земље ЕУ, на које се односило 63,8% укупног извоза и 55,8% укупног увоза. Највећи део укупног извоза (38,0%) у том периоду био је усмерен на тржиште пет земаља: Немачка, БиХ, Италија, Мађарска и Румунија. Увоз из Немачке, Кине, Русије, Италије и Турске чинио је 43,0% укупног увоза. Спољнотрговински суфицит у овом периоду остварен је са Црном Гором, БиХ, Северном Македонијом, Словачком, Хрватском, Шведском, Бразилом, Румунијом, Мађарском, Великом Британијом, Чешком, Бугарском и у нешто мањој мери са Молдавијом. Суфицит са овим земљама у посматраном периоду износио је нешто преко једне милијарде евра. </w:t>
      </w:r>
      <w:r w:rsidRPr="0007074F">
        <w:rPr>
          <w:rFonts w:eastAsia="Times New Roman" w:cstheme="minorHAnsi"/>
          <w:szCs w:val="24"/>
          <w:lang w:val="sr-Cyrl-CS"/>
        </w:rPr>
        <w:lastRenderedPageBreak/>
        <w:t>Највећи дефицит јавља се у трговини са Кином, Русијом, Турском, Ираком и Италијом.</w:t>
      </w:r>
    </w:p>
    <w:p w14:paraId="187EDCBF" w14:textId="77777777" w:rsidR="00907B95" w:rsidRPr="0007074F" w:rsidRDefault="00907B95" w:rsidP="002D6E55">
      <w:pPr>
        <w:rPr>
          <w:rFonts w:eastAsia="Times New Roman" w:cstheme="minorHAnsi"/>
          <w:szCs w:val="24"/>
          <w:lang w:val="sr-Cyrl-CS"/>
        </w:rPr>
      </w:pPr>
      <w:r w:rsidRPr="0007074F">
        <w:rPr>
          <w:rFonts w:eastAsia="Times New Roman" w:cstheme="minorHAnsi"/>
          <w:szCs w:val="24"/>
          <w:lang w:val="sr-Cyrl-CS"/>
        </w:rPr>
        <w:t>Платнобилансна кретања током 2022. године карактерисао је раст дефицита текућег рачуна платног биланса са 4,2% у 2021. години на 6,9% БДП. Избијање конфликта у Украјини почетком претходне године и енергетска криза која је уследила, имали су за последицу погоршање односа размене за земље нето увознице енергената, међу којима је и Србија. Растући трошкови увоза енергената утицали су на снажан раст дефицита робне размене, са 6,0 млрд у 2021. на 9,4 млрд евра у 2022. години. Истовремено, повећан је и дефицит примарног дохотка, док су</w:t>
      </w:r>
      <w:r w:rsidRPr="0007074F">
        <w:rPr>
          <w:lang w:val="sr-Cyrl-CS"/>
        </w:rPr>
        <w:t xml:space="preserve"> у </w:t>
      </w:r>
      <w:r w:rsidRPr="0007074F">
        <w:rPr>
          <w:rFonts w:eastAsia="Times New Roman" w:cstheme="minorHAnsi"/>
          <w:szCs w:val="24"/>
          <w:lang w:val="sr-Cyrl-CS"/>
        </w:rPr>
        <w:t>супротном смеру деловали раст суфицита у размени услуга са иностранством и раст суфицита секундарног дохотка. Расту суфицита у размени услуга у највећој мери допринео је раст суфицита у ИКТ сектору за 642,5 мил. евра, са 1,3 млрд у 2021. на 2,0 млрд евра у 2022. години. Са друге стране, раст суфицита секундарног дохотка од 33,9% на 5,9 млрд евра, у највећој мери резултат је већег прилива дознака радника из иностранства, који је повећан за 44,9%, и износио 3,9 млрд евра. За разлику од дефицита у прва два месеца претходне године који је износио 993,2 мил. евра, у</w:t>
      </w:r>
      <w:r w:rsidRPr="0007074F">
        <w:rPr>
          <w:lang w:val="sr-Cyrl-CS"/>
        </w:rPr>
        <w:t xml:space="preserve"> </w:t>
      </w:r>
      <w:r w:rsidRPr="0007074F">
        <w:rPr>
          <w:rFonts w:eastAsia="Times New Roman" w:cstheme="minorHAnsi"/>
          <w:szCs w:val="24"/>
          <w:lang w:val="sr-Cyrl-CS"/>
        </w:rPr>
        <w:t xml:space="preserve">истом периоду 2023. године на текућем рачуну платног биланса забележен је суфицит у износу од 163,1 мил. евра. Суфициту текућег рачуна у највећој мери допринело је смањење робног дефицита. Преко половине смањења дефицита спољнотрговинске робне размене резултат је оствареног суфицита у размени електричне енергије, за разлику од забележеног дефицита у истом периоду претходне године. На рачуну роба и услуга дефицит је износио 540,1 мил. евра и међугодишње је мањи је за 813,9 милиона, највећим делом услед смањења дефицита робне размене. Робни дефицит је смањен за 507,5 мил евра, док је на рачуну услуга забележен суфицит који је био виши за 306,4 мил. евра. Позитиван нето извоз услуга у највећој мери резултат је већег извоза ИКТ у посматраном периоду. Нето прилив по основу ИКТ услуга повећан је за 55,1% међугодишње и износио је 394,9 мил. евра. Значајан нето прилив остварен је и по основу </w:t>
      </w:r>
      <w:r w:rsidRPr="0007074F">
        <w:rPr>
          <w:rFonts w:eastAsia="Times New Roman" w:cstheme="minorHAnsi"/>
          <w:szCs w:val="24"/>
          <w:lang w:val="sr-Cyrl-CS"/>
        </w:rPr>
        <w:t>осталих пословних услуга који је износио 221,5 мил. евра. Дефицит примарног дохотка смањен је за 85,1 мил. евра, односно за 26,0%, док је суфицит секундарног дохотка био међугодишње виши за 37,4% и износио је 945,2 мил. евра, првенствено услед повећаног прилива дознака радника из иностранства (раст од 41,1%).</w:t>
      </w:r>
    </w:p>
    <w:p w14:paraId="55E759B0" w14:textId="3543BA60" w:rsidR="00907B95" w:rsidRPr="0007074F" w:rsidRDefault="00907B95" w:rsidP="002D6E55">
      <w:pPr>
        <w:rPr>
          <w:rFonts w:eastAsia="Times New Roman" w:cstheme="minorHAnsi"/>
          <w:szCs w:val="24"/>
          <w:lang w:val="sr-Cyrl-CS"/>
        </w:rPr>
      </w:pPr>
      <w:r w:rsidRPr="0007074F">
        <w:rPr>
          <w:rFonts w:eastAsia="Times New Roman" w:cstheme="minorHAnsi"/>
          <w:szCs w:val="24"/>
          <w:lang w:val="sr-Cyrl-CS"/>
        </w:rPr>
        <w:t>Нето прилив СДИ у 2022. је, упркос растућим геополитичким тензијама, забележио рекордан ниво и износио је 4,3 млрд евра, док је укупан прилив по основу СДИ износио је 4,4 млрд евра. Нето прилив СДИ у потпуности је покрио дефицит текућег рачуна (104%), доприносећи дугорочној одрживости екстерне позиције. Посматрано према делатностима, највећи нето прилив СДИ у протеклој години је остварен у прерађивачкој индустрији, сектору који традиционално привлачи највише СДИ, са остварених 1,6 млрд евра. Висок прилив СДИ у овом периоду остварен је и у грађевинарству у износу од 1,5 млрд евра, као и у трговини (360,7 мил. евра) и некретнинама (342,1 мил. евра). Осим производне разноврсности, СДИ су и географски диверсификоване, са растућим уделом земаља из азијско-пацифичког региона. Посматрано према географском пореклу, највећи део СДИ долази са европског континента. Укупан прилив инвестиција из Европске уније у 2022. години износио је 1,5 млрд евра, односно 32,9% од укупног прилива СДИ. Са друге стране, посматрано по земљама, највећи нето прилив страних директних улагања долази из Кине</w:t>
      </w:r>
      <w:r w:rsidRPr="0007074F">
        <w:rPr>
          <w:rStyle w:val="FootnoteReference"/>
          <w:rFonts w:eastAsia="Times New Roman" w:cstheme="minorHAnsi"/>
          <w:szCs w:val="24"/>
          <w:lang w:val="sr-Cyrl-CS"/>
        </w:rPr>
        <w:footnoteReference w:id="2"/>
      </w:r>
      <w:r w:rsidRPr="0007074F">
        <w:rPr>
          <w:rFonts w:eastAsia="Times New Roman" w:cstheme="minorHAnsi"/>
          <w:szCs w:val="24"/>
          <w:lang w:val="sr-Cyrl-CS"/>
        </w:rPr>
        <w:t xml:space="preserve">, Кипра, Велике Британије, Русије и Немачке, које збирно чине нешто мање од две трећине укупних нето СДИ. Удео прилива СДИ из Кине значајно је порастао у последњих седам година, са 3,1% у 2015. на 31,7% у прошлој години. У 2022. години Кина је појединачно била највећи инвеститор, са 1,4 млрд евра остварених улагања. </w:t>
      </w:r>
      <w:r w:rsidR="00DA65F7" w:rsidRPr="0007074F">
        <w:rPr>
          <w:rFonts w:eastAsia="Times New Roman" w:cstheme="minorHAnsi"/>
          <w:szCs w:val="24"/>
          <w:lang w:val="sr-Cyrl-CS"/>
        </w:rPr>
        <w:t>Нето прилив СДИ у прва три месеца 2023. износио је 784 мил. евра, док је укупан прилив по основу СДИ износио 847 мил. евра</w:t>
      </w:r>
      <w:r w:rsidRPr="0007074F">
        <w:rPr>
          <w:rFonts w:eastAsia="Times New Roman" w:cstheme="minorHAnsi"/>
          <w:szCs w:val="24"/>
          <w:lang w:val="sr-Cyrl-CS"/>
        </w:rPr>
        <w:t xml:space="preserve">. Истовремено је забележен нето прилив портфолио инвестиција у износу од 1,6 млрд евра. У јануару 2023. године издате су еврообвезнице рочности пет и десет година у укупном износу од 1,75 милијарди долара (750 милиона долара на пет година и 1 милијарда </w:t>
      </w:r>
      <w:r w:rsidRPr="0007074F">
        <w:rPr>
          <w:rFonts w:eastAsia="Times New Roman" w:cstheme="minorHAnsi"/>
          <w:szCs w:val="24"/>
          <w:lang w:val="sr-Cyrl-CS"/>
        </w:rPr>
        <w:lastRenderedPageBreak/>
        <w:t>долара на десет година). Еврообвезница рочности пет година емитована је уз купонску стопу од 6,25%, док је еврообвезница рочности десет година емитована уз купонску стопу од 6,50%. У циљу ефикасног управљања јавним дугом истовремено су закључене и хеџинг трансакције, тј. обавезе по основу емисије доларских еврообвезница одмах су конвертоване у обавезе у еврима. Тиме је, поред смањења изложености девизном ризику кретања долара према евру, смањен и трошак задуживања Републике Србије.</w:t>
      </w:r>
    </w:p>
    <w:p w14:paraId="276887A9" w14:textId="6044B9A5" w:rsidR="00907B95" w:rsidRPr="0007074F" w:rsidRDefault="00907B95" w:rsidP="002D6E55">
      <w:pPr>
        <w:rPr>
          <w:rFonts w:eastAsia="Times New Roman" w:cstheme="minorHAnsi"/>
          <w:szCs w:val="24"/>
          <w:lang w:val="sr-Cyrl-CS"/>
        </w:rPr>
      </w:pPr>
      <w:r w:rsidRPr="0007074F">
        <w:rPr>
          <w:rFonts w:eastAsia="Times New Roman" w:cstheme="minorHAnsi"/>
          <w:szCs w:val="24"/>
          <w:lang w:val="sr-Cyrl-CS"/>
        </w:rPr>
        <w:t xml:space="preserve">Екстерну позицију Србије током 2022. године карактерисала је отпорност на финансијске шокове из међународног окружења. Повећан је рацио девизних резерви и краткорочног дуга у односу на крај 2021. године, услед бржег раста девизних резерви од раста краткорочног дуга. Учешће спољног дуга у БДП благо је повећано са 68,4% у 2021. на 69,4% у 2022. години, док су удео краткорочног дуга у БДП и рацио спољног дуга и извоза робе и услуга смањени. Учешће спољног дуга у извозу роба и услуга на крају 2022. године износило је 110,2%, што је значајно испод критеријума Светске банке од 220% и гарант је одрживости његовог сервисирања. Девизне резерве на крају </w:t>
      </w:r>
      <w:r w:rsidR="00ED1C92" w:rsidRPr="0007074F">
        <w:rPr>
          <w:rFonts w:eastAsia="Times New Roman" w:cstheme="minorHAnsi"/>
          <w:szCs w:val="24"/>
          <w:lang w:val="sr-Cyrl-CS"/>
        </w:rPr>
        <w:t xml:space="preserve">априла </w:t>
      </w:r>
      <w:r w:rsidRPr="0007074F">
        <w:rPr>
          <w:rFonts w:eastAsia="Times New Roman" w:cstheme="minorHAnsi"/>
          <w:szCs w:val="24"/>
          <w:lang w:val="sr-Cyrl-CS"/>
        </w:rPr>
        <w:t>текуће године повећане су за 2,</w:t>
      </w:r>
      <w:r w:rsidR="00ED1C92" w:rsidRPr="0007074F">
        <w:rPr>
          <w:rFonts w:eastAsia="Times New Roman" w:cstheme="minorHAnsi"/>
          <w:szCs w:val="24"/>
          <w:lang w:val="sr-Cyrl-CS"/>
        </w:rPr>
        <w:t>1</w:t>
      </w:r>
      <w:r w:rsidRPr="0007074F">
        <w:rPr>
          <w:rFonts w:eastAsia="Times New Roman" w:cstheme="minorHAnsi"/>
          <w:szCs w:val="24"/>
          <w:lang w:val="sr-Cyrl-CS"/>
        </w:rPr>
        <w:t xml:space="preserve"> млрд евра од почетка године и износиле су 21,</w:t>
      </w:r>
      <w:r w:rsidR="00ED1C92" w:rsidRPr="0007074F">
        <w:rPr>
          <w:rFonts w:eastAsia="Times New Roman" w:cstheme="minorHAnsi"/>
          <w:szCs w:val="24"/>
          <w:lang w:val="sr-Cyrl-CS"/>
        </w:rPr>
        <w:t>6</w:t>
      </w:r>
      <w:r w:rsidRPr="0007074F">
        <w:rPr>
          <w:rFonts w:eastAsia="Times New Roman" w:cstheme="minorHAnsi"/>
          <w:szCs w:val="24"/>
          <w:lang w:val="sr-Cyrl-CS"/>
        </w:rPr>
        <w:t xml:space="preserve"> млрд евра што је највиши ниво до сада, виши је од референтних вредности свих мера које се користе за оцену њихове адекватности.</w:t>
      </w:r>
    </w:p>
    <w:p w14:paraId="70292640" w14:textId="77777777" w:rsidR="00907B95" w:rsidRPr="0007074F" w:rsidRDefault="00907B95" w:rsidP="002D6E55">
      <w:pPr>
        <w:rPr>
          <w:szCs w:val="20"/>
          <w:lang w:val="sr-Cyrl-CS"/>
        </w:rPr>
      </w:pPr>
      <w:r w:rsidRPr="0007074F">
        <w:rPr>
          <w:rFonts w:eastAsia="Times New Roman" w:cstheme="minorHAnsi"/>
          <w:szCs w:val="24"/>
          <w:lang w:val="sr-Cyrl-CS"/>
        </w:rPr>
        <w:t xml:space="preserve">Очекује се да ће укупан дефицит текућег рачуна у 2023. години износити 3,7 млрд евра, односно 5,3% БДП. Средњорочним макроекономским оквиром предвиђен је пад дефицита текућег рачуна у овој и наредној години, након чега ће његово учешће у БДП и даље постепено опадати на ниво од 4,7% БДП у 2026. години. На пад дефицита текућег рачуна платног биланса утицаће, пре свега, побољшање односа размене, затим очекивани позитиван допринос нето извоза расту БДП, као и наставак стабилног прилива дознака из иностранства. И поред очекиваних </w:t>
      </w:r>
      <w:r w:rsidRPr="0007074F">
        <w:rPr>
          <w:rFonts w:eastAsia="Times New Roman" w:cstheme="minorHAnsi"/>
          <w:szCs w:val="24"/>
          <w:lang w:val="sr-Cyrl-CS"/>
        </w:rPr>
        <w:t>високих стопа раста извоза у средњорочном периоду, могућност поновног раста цена енергената на светском тржишту, изазваног растућим геополитичким тензијама, може довести до раста дефицита у спољнотрговинској робној размени, и последично, дефицита текућег рачуна.</w:t>
      </w:r>
    </w:p>
    <w:p w14:paraId="75AD4681" w14:textId="77777777" w:rsidR="00907B95" w:rsidRPr="0007074F" w:rsidRDefault="00907B95" w:rsidP="002D6E55">
      <w:pPr>
        <w:spacing w:after="120"/>
        <w:jc w:val="center"/>
        <w:rPr>
          <w:rFonts w:cstheme="minorHAnsi"/>
          <w:b/>
          <w:color w:val="002060"/>
          <w:lang w:val="sr-Cyrl-CS"/>
        </w:rPr>
      </w:pPr>
      <w:r w:rsidRPr="0007074F">
        <w:rPr>
          <w:rFonts w:cstheme="minorHAnsi"/>
          <w:b/>
          <w:color w:val="002060"/>
          <w:lang w:val="sr-Cyrl-CS"/>
        </w:rPr>
        <w:t>Структура текућег рачуна, % БДП</w:t>
      </w:r>
    </w:p>
    <w:p w14:paraId="1376BA61" w14:textId="77777777" w:rsidR="00907B95" w:rsidRPr="0007074F" w:rsidRDefault="00907B95" w:rsidP="002D6E55">
      <w:pPr>
        <w:spacing w:after="80"/>
        <w:rPr>
          <w:rFonts w:cstheme="minorHAnsi"/>
          <w:sz w:val="16"/>
          <w:lang w:val="sr-Cyrl-CS"/>
        </w:rPr>
      </w:pPr>
      <w:r w:rsidRPr="0007074F">
        <w:rPr>
          <w:noProof/>
        </w:rPr>
        <w:drawing>
          <wp:inline distT="0" distB="0" distL="0" distR="0" wp14:anchorId="7C1C8FC3" wp14:editId="6EC438A1">
            <wp:extent cx="2743200" cy="2159635"/>
            <wp:effectExtent l="0" t="0" r="0" b="0"/>
            <wp:docPr id="25" name="Chart 25">
              <a:extLst xmlns:a="http://schemas.openxmlformats.org/drawingml/2006/main">
                <a:ext uri="{FF2B5EF4-FFF2-40B4-BE49-F238E27FC236}">
                  <a16:creationId xmlns:a16="http://schemas.microsoft.com/office/drawing/2014/main" id="{00000000-0008-0000-1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4CD8C3ED" w14:textId="77777777" w:rsidR="00907B95" w:rsidRPr="0007074F" w:rsidRDefault="00907B95" w:rsidP="002D6E55">
      <w:pPr>
        <w:spacing w:after="0"/>
        <w:rPr>
          <w:rFonts w:cstheme="minorHAnsi"/>
          <w:sz w:val="16"/>
          <w:lang w:val="sr-Cyrl-CS"/>
        </w:rPr>
      </w:pPr>
      <w:r w:rsidRPr="0007074F">
        <w:rPr>
          <w:rFonts w:cstheme="minorHAnsi"/>
          <w:sz w:val="16"/>
          <w:lang w:val="sr-Cyrl-CS"/>
        </w:rPr>
        <w:t>Извор: Министарство финансија, НБС, РЗС</w:t>
      </w:r>
    </w:p>
    <w:p w14:paraId="32E126C7" w14:textId="77777777" w:rsidR="00907B95" w:rsidRPr="0007074F" w:rsidRDefault="00907B95" w:rsidP="002D6E55">
      <w:pPr>
        <w:rPr>
          <w:rFonts w:cstheme="minorHAnsi"/>
          <w:sz w:val="16"/>
          <w:lang w:val="sr-Cyrl-CS"/>
        </w:rPr>
      </w:pPr>
      <w:r w:rsidRPr="0007074F">
        <w:rPr>
          <w:rFonts w:cstheme="minorHAnsi"/>
          <w:sz w:val="16"/>
          <w:lang w:val="sr-Cyrl-CS"/>
        </w:rPr>
        <w:t>* Процена МФИН.</w:t>
      </w:r>
    </w:p>
    <w:p w14:paraId="0299654E" w14:textId="77777777" w:rsidR="00907B95" w:rsidRPr="0007074F" w:rsidRDefault="00907B95" w:rsidP="002D6E55">
      <w:pPr>
        <w:rPr>
          <w:rFonts w:eastAsia="Times New Roman" w:cstheme="minorHAnsi"/>
          <w:szCs w:val="24"/>
          <w:lang w:val="sr-Cyrl-CS"/>
        </w:rPr>
      </w:pPr>
      <w:r w:rsidRPr="0007074F">
        <w:rPr>
          <w:rFonts w:eastAsia="Times New Roman" w:cstheme="minorHAnsi"/>
          <w:szCs w:val="24"/>
          <w:lang w:val="sr-Cyrl-CS"/>
        </w:rPr>
        <w:t>Раст робног извоза у еврима по просечној стопи од 12,7% и увоза за 10,4% у пројектованом трогодишњем периоду смањиће спољнотрговински дефицит роба на 11,0% БДП у 2026. години, са овогодишњих 12,8%. Предвиђа се наставак повољних кретања на рачуну услуга, где ће суфицит у пројектованом трогодишњем периоду износити у просеку 3,1 млрд евра. Прилив по основу текућих трансфера износиће у просеку 7,7% БДП годишње, при чему ће приходи од дознака задржати улогу доминантне компоненте. Нето ефекат текућих трансфера и нето факторских плаћања у наредном трогодишњем периоду биће позитиван и износиће око 2,3 млрд евра просечно годишње, што ће значајно ублажити дефицит спољнотрговинског биланса роба и услуга. Оваква кретања уз пројектовану динамику економске активности имаће за резултат смањење учешћа дефицита текућег рачуна платног биланса на 4,7% БДП на крају пројектованог периода.</w:t>
      </w:r>
    </w:p>
    <w:p w14:paraId="51D01FFA" w14:textId="77777777" w:rsidR="00907B95" w:rsidRPr="0007074F" w:rsidRDefault="00907B95" w:rsidP="002D6E55">
      <w:pPr>
        <w:rPr>
          <w:rFonts w:eastAsia="Times New Roman" w:cstheme="minorHAnsi"/>
          <w:szCs w:val="24"/>
          <w:lang w:val="sr-Cyrl-CS"/>
        </w:rPr>
        <w:sectPr w:rsidR="00907B95" w:rsidRPr="0007074F" w:rsidSect="002D6E55">
          <w:type w:val="continuous"/>
          <w:pgSz w:w="12240" w:h="15840" w:code="1"/>
          <w:pgMar w:top="1440" w:right="1440" w:bottom="1440" w:left="1440" w:header="720" w:footer="720" w:gutter="0"/>
          <w:cols w:num="2" w:space="720"/>
          <w:docGrid w:linePitch="360"/>
          <w15:footnoteColumns w:val="1"/>
        </w:sectPr>
      </w:pPr>
    </w:p>
    <w:p w14:paraId="38678DF8" w14:textId="77777777" w:rsidR="00907B95" w:rsidRPr="0007074F" w:rsidRDefault="00907B95" w:rsidP="002D6E55">
      <w:pPr>
        <w:rPr>
          <w:szCs w:val="20"/>
          <w:lang w:val="sr-Cyrl-CS"/>
        </w:rPr>
      </w:pPr>
    </w:p>
    <w:p w14:paraId="55CD4A2C" w14:textId="1DF235A5" w:rsidR="00907B95" w:rsidRPr="0007074F" w:rsidRDefault="00907B95" w:rsidP="005B043E">
      <w:pPr>
        <w:rPr>
          <w:lang w:val="sr-Cyrl-CS"/>
        </w:rPr>
      </w:pPr>
      <w:r w:rsidRPr="0007074F">
        <w:rPr>
          <w:lang w:val="sr-Cyrl-CS"/>
        </w:rPr>
        <w:br w:type="page"/>
      </w:r>
    </w:p>
    <w:p w14:paraId="3FA352ED" w14:textId="77777777" w:rsidR="00907B95" w:rsidRPr="0007074F" w:rsidRDefault="00907B95" w:rsidP="002D6E55">
      <w:pPr>
        <w:spacing w:after="40"/>
        <w:jc w:val="center"/>
        <w:rPr>
          <w:rFonts w:cstheme="minorHAnsi"/>
          <w:b/>
          <w:color w:val="002060"/>
          <w:lang w:val="sr-Cyrl-CS"/>
        </w:rPr>
      </w:pPr>
      <w:r w:rsidRPr="0007074F">
        <w:rPr>
          <w:rFonts w:cstheme="minorHAnsi"/>
          <w:b/>
          <w:color w:val="002060"/>
          <w:lang w:val="sr-Cyrl-CS"/>
        </w:rPr>
        <w:lastRenderedPageBreak/>
        <w:t>Дефицит текућег рачуна и СДИ, % БДП</w:t>
      </w:r>
    </w:p>
    <w:p w14:paraId="77B118DF" w14:textId="77777777" w:rsidR="00907B95" w:rsidRPr="0007074F" w:rsidRDefault="00907B95" w:rsidP="002D6E55">
      <w:pPr>
        <w:spacing w:after="40"/>
        <w:jc w:val="center"/>
        <w:rPr>
          <w:lang w:val="sr-Cyrl-CS"/>
        </w:rPr>
      </w:pPr>
      <w:r w:rsidRPr="0007074F">
        <w:rPr>
          <w:noProof/>
        </w:rPr>
        <w:drawing>
          <wp:inline distT="0" distB="0" distL="0" distR="0" wp14:anchorId="78BD5E03" wp14:editId="13CC9E17">
            <wp:extent cx="2743200" cy="2015490"/>
            <wp:effectExtent l="0" t="0" r="0" b="3810"/>
            <wp:docPr id="26" name="Chart 26">
              <a:extLst xmlns:a="http://schemas.openxmlformats.org/drawingml/2006/main">
                <a:ext uri="{FF2B5EF4-FFF2-40B4-BE49-F238E27FC236}">
                  <a16:creationId xmlns:a16="http://schemas.microsoft.com/office/drawing/2014/main" id="{00000000-0008-0000-1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60142DDA" w14:textId="77777777" w:rsidR="00907B95" w:rsidRPr="0007074F" w:rsidRDefault="00907B95" w:rsidP="002D6E55">
      <w:pPr>
        <w:spacing w:after="0"/>
        <w:rPr>
          <w:rFonts w:cstheme="minorHAnsi"/>
          <w:sz w:val="16"/>
          <w:lang w:val="sr-Cyrl-CS"/>
        </w:rPr>
      </w:pPr>
      <w:r w:rsidRPr="0007074F">
        <w:rPr>
          <w:rFonts w:cstheme="minorHAnsi"/>
          <w:sz w:val="16"/>
          <w:lang w:val="sr-Cyrl-CS"/>
        </w:rPr>
        <w:t>Извор: НБС и Министарство финансија</w:t>
      </w:r>
    </w:p>
    <w:p w14:paraId="012FF45E" w14:textId="77777777" w:rsidR="00907B95" w:rsidRPr="0007074F" w:rsidRDefault="00907B95" w:rsidP="002D6E55">
      <w:pPr>
        <w:rPr>
          <w:rFonts w:cstheme="minorHAnsi"/>
          <w:sz w:val="16"/>
          <w:lang w:val="sr-Cyrl-CS"/>
        </w:rPr>
      </w:pPr>
      <w:r w:rsidRPr="0007074F">
        <w:rPr>
          <w:rFonts w:cstheme="minorHAnsi"/>
          <w:sz w:val="16"/>
          <w:lang w:val="sr-Cyrl-CS"/>
        </w:rPr>
        <w:t>* Процена МФИН.</w:t>
      </w:r>
    </w:p>
    <w:bookmarkEnd w:id="12"/>
    <w:p w14:paraId="27BE6A67" w14:textId="77777777" w:rsidR="00907B95" w:rsidRPr="0007074F" w:rsidRDefault="00907B95" w:rsidP="002D6E55">
      <w:pPr>
        <w:rPr>
          <w:lang w:val="sr-Cyrl-CS"/>
        </w:rPr>
      </w:pPr>
      <w:r w:rsidRPr="0007074F">
        <w:rPr>
          <w:rFonts w:eastAsia="Times New Roman" w:cstheme="minorHAnsi"/>
          <w:szCs w:val="24"/>
          <w:lang w:val="sr-Cyrl-CS"/>
        </w:rPr>
        <w:t>У структури финансијског рачуна доминираће удео СДИ са учешћем у БДП од 5,5% просечно годишње. Овај прилив ће уједно бити главни извор финансирања дефицита текућег рачуна. Задржана повољна инвестициона перспектива наше земље и очекиван наставак високог прилива СДИ, као и њихова даља диверсификација ка сектору разменљивих добара, допринеће наставку раста извоза и јачању спољне и унутрашње макроекономске равнотеже.</w:t>
      </w:r>
    </w:p>
    <w:p w14:paraId="4F04CA5C" w14:textId="77777777" w:rsidR="00907B95" w:rsidRPr="0007074F" w:rsidRDefault="00907B95" w:rsidP="002D6E55">
      <w:pPr>
        <w:rPr>
          <w:lang w:val="sr-Cyrl-CS"/>
        </w:rPr>
      </w:pPr>
    </w:p>
    <w:p w14:paraId="05D401B5" w14:textId="77777777" w:rsidR="00907B95" w:rsidRPr="0007074F" w:rsidRDefault="00907B95" w:rsidP="002D6E55">
      <w:pPr>
        <w:rPr>
          <w:lang w:val="sr-Cyrl-CS"/>
        </w:rPr>
      </w:pPr>
    </w:p>
    <w:p w14:paraId="3152231E" w14:textId="77777777" w:rsidR="00907B95" w:rsidRPr="0007074F" w:rsidRDefault="00907B95" w:rsidP="002D6E55">
      <w:pPr>
        <w:rPr>
          <w:lang w:val="sr-Cyrl-CS"/>
        </w:rPr>
        <w:sectPr w:rsidR="00907B95" w:rsidRPr="0007074F" w:rsidSect="002D6E55">
          <w:type w:val="continuous"/>
          <w:pgSz w:w="12240" w:h="15840" w:code="1"/>
          <w:pgMar w:top="1440" w:right="1440" w:bottom="1440" w:left="1440" w:header="720" w:footer="720" w:gutter="0"/>
          <w:cols w:num="2" w:space="720"/>
          <w:docGrid w:linePitch="360"/>
        </w:sectPr>
      </w:pPr>
    </w:p>
    <w:p w14:paraId="371A0FBD" w14:textId="77777777" w:rsidR="00907B95" w:rsidRPr="0007074F" w:rsidRDefault="00907B95" w:rsidP="002D6E55">
      <w:pPr>
        <w:rPr>
          <w:lang w:val="sr-Cyrl-CS"/>
        </w:rPr>
      </w:pPr>
    </w:p>
    <w:p w14:paraId="542331C3" w14:textId="20903CCF" w:rsidR="00C171B0" w:rsidRPr="0007074F" w:rsidRDefault="00C171B0">
      <w:pPr>
        <w:jc w:val="left"/>
        <w:rPr>
          <w:rFonts w:ascii="Calibri" w:eastAsia="Calibri" w:hAnsi="Calibri" w:cs="Calibri"/>
          <w:bCs/>
          <w:color w:val="44546A"/>
          <w:szCs w:val="72"/>
          <w:lang w:val="sr-Cyrl-CS"/>
        </w:rPr>
      </w:pPr>
      <w:r w:rsidRPr="0007074F">
        <w:rPr>
          <w:rFonts w:ascii="Calibri" w:eastAsia="Calibri" w:hAnsi="Calibri" w:cs="Calibri"/>
          <w:bCs/>
          <w:color w:val="44546A"/>
          <w:szCs w:val="72"/>
          <w:lang w:val="sr-Cyrl-CS"/>
        </w:rPr>
        <w:br w:type="page"/>
      </w:r>
    </w:p>
    <w:p w14:paraId="511DCC4B" w14:textId="77777777" w:rsidR="000D3688" w:rsidRPr="0007074F" w:rsidRDefault="000D3688" w:rsidP="000D3688">
      <w:pPr>
        <w:keepNext/>
        <w:keepLines/>
        <w:spacing w:before="240" w:after="0"/>
        <w:jc w:val="center"/>
        <w:outlineLvl w:val="0"/>
        <w:rPr>
          <w:rFonts w:eastAsiaTheme="majorEastAsia" w:cstheme="minorHAnsi"/>
          <w:b/>
          <w:color w:val="2F5496" w:themeColor="accent1" w:themeShade="BF"/>
          <w:sz w:val="24"/>
          <w:szCs w:val="24"/>
          <w:lang w:val="sr-Cyrl-CS"/>
        </w:rPr>
      </w:pPr>
      <w:bookmarkStart w:id="13" w:name="_Toc11155989"/>
      <w:bookmarkStart w:id="14" w:name="_Toc56667074"/>
      <w:bookmarkStart w:id="15" w:name="_Toc86923720"/>
      <w:bookmarkStart w:id="16" w:name="_Toc119654143"/>
      <w:bookmarkStart w:id="17" w:name="_Toc135994499"/>
      <w:bookmarkStart w:id="18" w:name="_Toc57013542"/>
      <w:bookmarkStart w:id="19" w:name="_Toc23342461"/>
      <w:bookmarkStart w:id="20" w:name="_Toc86923722"/>
      <w:bookmarkStart w:id="21" w:name="_Toc11155992"/>
      <w:bookmarkStart w:id="22" w:name="_Toc56667077"/>
      <w:bookmarkStart w:id="23" w:name="_Toc24119837"/>
      <w:bookmarkStart w:id="24" w:name="_Toc530635105"/>
      <w:bookmarkStart w:id="25" w:name="_Toc24119831"/>
      <w:bookmarkStart w:id="26" w:name="_Toc56667076"/>
      <w:bookmarkStart w:id="27" w:name="_Toc530635106"/>
      <w:r w:rsidRPr="0007074F">
        <w:rPr>
          <w:rFonts w:eastAsiaTheme="majorEastAsia" w:cstheme="minorHAnsi"/>
          <w:b/>
          <w:color w:val="2F5496" w:themeColor="accent1" w:themeShade="BF"/>
          <w:sz w:val="24"/>
          <w:szCs w:val="24"/>
          <w:lang w:val="sr-Cyrl-CS"/>
        </w:rPr>
        <w:lastRenderedPageBreak/>
        <w:t>II. ФИСКАЛНИ ОКВИР ЗА ПЕРИОД ОД 2024. ДО 2026. ГОДИНЕ</w:t>
      </w:r>
      <w:bookmarkStart w:id="28" w:name="_Toc528909823"/>
      <w:bookmarkStart w:id="29" w:name="_Toc530635104"/>
      <w:bookmarkEnd w:id="13"/>
      <w:bookmarkEnd w:id="14"/>
      <w:bookmarkEnd w:id="15"/>
      <w:bookmarkEnd w:id="16"/>
      <w:bookmarkEnd w:id="17"/>
    </w:p>
    <w:p w14:paraId="7F333B53" w14:textId="77777777" w:rsidR="000D3688" w:rsidRPr="0007074F" w:rsidRDefault="000D3688" w:rsidP="00D35692">
      <w:pPr>
        <w:keepNext/>
        <w:keepLines/>
        <w:spacing w:before="40" w:after="360"/>
        <w:jc w:val="center"/>
        <w:outlineLvl w:val="1"/>
        <w:rPr>
          <w:rFonts w:eastAsiaTheme="majorEastAsia" w:cstheme="minorHAnsi"/>
          <w:b/>
          <w:color w:val="2F5496" w:themeColor="accent1" w:themeShade="BF"/>
          <w:sz w:val="24"/>
          <w:szCs w:val="26"/>
          <w:lang w:val="sr-Cyrl-CS"/>
        </w:rPr>
      </w:pPr>
      <w:bookmarkStart w:id="30" w:name="_Toc11155990"/>
      <w:bookmarkStart w:id="31" w:name="_Toc56667075"/>
      <w:bookmarkStart w:id="32" w:name="_Toc86923721"/>
      <w:bookmarkStart w:id="33" w:name="_Toc119654144"/>
      <w:bookmarkStart w:id="34" w:name="_Toc135994500"/>
      <w:r w:rsidRPr="0007074F">
        <w:rPr>
          <w:rFonts w:eastAsiaTheme="majorEastAsia" w:cstheme="minorHAnsi"/>
          <w:b/>
          <w:color w:val="2F5496" w:themeColor="accent1" w:themeShade="BF"/>
          <w:sz w:val="24"/>
          <w:szCs w:val="26"/>
          <w:lang w:val="sr-Cyrl-CS"/>
        </w:rPr>
        <w:t xml:space="preserve">1. </w:t>
      </w:r>
      <w:bookmarkEnd w:id="28"/>
      <w:r w:rsidRPr="0007074F">
        <w:rPr>
          <w:rFonts w:eastAsiaTheme="majorEastAsia" w:cstheme="minorHAnsi"/>
          <w:b/>
          <w:color w:val="2F5496" w:themeColor="accent1" w:themeShade="BF"/>
          <w:sz w:val="24"/>
          <w:szCs w:val="26"/>
          <w:lang w:val="sr-Cyrl-CS"/>
        </w:rPr>
        <w:t>Средњорочни циљеви фискалне политике</w:t>
      </w:r>
      <w:bookmarkEnd w:id="29"/>
      <w:bookmarkEnd w:id="30"/>
      <w:bookmarkEnd w:id="31"/>
      <w:bookmarkEnd w:id="32"/>
      <w:bookmarkEnd w:id="33"/>
      <w:bookmarkEnd w:id="34"/>
    </w:p>
    <w:p w14:paraId="6B77D670" w14:textId="77777777" w:rsidR="000D3688" w:rsidRPr="0007074F" w:rsidRDefault="000D3688" w:rsidP="000A125C">
      <w:pPr>
        <w:rPr>
          <w:rFonts w:ascii="Calibri" w:hAnsi="Calibri" w:cs="Calibri"/>
          <w:bCs/>
          <w:szCs w:val="20"/>
          <w:lang w:val="sr-Cyrl-CS"/>
        </w:rPr>
        <w:sectPr w:rsidR="000D3688" w:rsidRPr="0007074F" w:rsidSect="000D3688">
          <w:headerReference w:type="even" r:id="rId85"/>
          <w:headerReference w:type="default" r:id="rId86"/>
          <w:footerReference w:type="even" r:id="rId87"/>
          <w:footerReference w:type="default" r:id="rId88"/>
          <w:headerReference w:type="first" r:id="rId89"/>
          <w:type w:val="continuous"/>
          <w:pgSz w:w="12240" w:h="15840" w:code="1"/>
          <w:pgMar w:top="1440" w:right="1440" w:bottom="1440" w:left="1440" w:header="720" w:footer="720" w:gutter="0"/>
          <w:cols w:space="720"/>
          <w:titlePg/>
          <w:docGrid w:linePitch="360"/>
        </w:sectPr>
      </w:pPr>
    </w:p>
    <w:p w14:paraId="6F6A671E" w14:textId="77777777" w:rsidR="000D3688" w:rsidRPr="0007074F" w:rsidRDefault="000D3688" w:rsidP="000A125C">
      <w:pPr>
        <w:rPr>
          <w:rFonts w:ascii="Calibri" w:hAnsi="Calibri" w:cs="Calibri"/>
          <w:bCs/>
          <w:szCs w:val="20"/>
          <w:lang w:val="sr-Cyrl-CS"/>
        </w:rPr>
      </w:pPr>
      <w:r w:rsidRPr="0007074F">
        <w:rPr>
          <w:rFonts w:ascii="Calibri" w:hAnsi="Calibri" w:cs="Calibri"/>
          <w:bCs/>
          <w:szCs w:val="20"/>
          <w:lang w:val="sr-Cyrl-CS"/>
        </w:rPr>
        <w:t>Смиривање пандемије коронавируса, висока инфлација изазвана кризом на међународним тржиштима енергије и сировина и сукоб у Украјини обележили су 2022. и почетак 2023. године у свету, уз опасност да неизвесност и криза потрају дужи временски период. У таквој ситуацији задатак економске и фискалне политике је да обезбеди стабилност привредних токова и очува стандард грађана.</w:t>
      </w:r>
    </w:p>
    <w:p w14:paraId="6002E168" w14:textId="77777777" w:rsidR="000D3688" w:rsidRPr="0007074F" w:rsidRDefault="000D3688" w:rsidP="000D3688">
      <w:pPr>
        <w:rPr>
          <w:rFonts w:ascii="Calibri" w:hAnsi="Calibri" w:cs="Calibri"/>
          <w:bCs/>
          <w:szCs w:val="20"/>
          <w:lang w:val="sr-Cyrl-CS"/>
        </w:rPr>
      </w:pPr>
      <w:r w:rsidRPr="0007074F">
        <w:rPr>
          <w:rFonts w:ascii="Calibri" w:hAnsi="Calibri" w:cs="Calibri"/>
          <w:bCs/>
          <w:szCs w:val="20"/>
          <w:lang w:val="sr-Cyrl-CS"/>
        </w:rPr>
        <w:t>Крај 2022. године је, што се јавних финансија тиче, обележио нижи дефицит сектора државе и нижи ниво јавног дуга од планираног. Повољни фискални трендови су настављени почетком ове године, нешто бољом наплатом прихода од очекиване и уштедама на средствима која су намењена превазилажењу енергетске кризе. Овакав развој догађаја омогућава бољу фискалну слику у средњорочном периоду, брже снижавање нивоа јавног дуга и већи фискални простор.</w:t>
      </w:r>
    </w:p>
    <w:p w14:paraId="698E4831" w14:textId="70B4F344" w:rsidR="000D3688" w:rsidRPr="0007074F" w:rsidRDefault="000D3688" w:rsidP="000A125C">
      <w:pPr>
        <w:rPr>
          <w:rFonts w:ascii="Calibri" w:hAnsi="Calibri" w:cs="Calibri"/>
          <w:bCs/>
          <w:szCs w:val="20"/>
          <w:lang w:val="sr-Cyrl-CS"/>
        </w:rPr>
      </w:pPr>
      <w:r w:rsidRPr="0007074F">
        <w:rPr>
          <w:rFonts w:ascii="Calibri" w:hAnsi="Calibri" w:cs="Calibri"/>
          <w:bCs/>
          <w:szCs w:val="20"/>
          <w:lang w:val="sr-Cyrl-CS"/>
        </w:rPr>
        <w:t xml:space="preserve">Планирање економске и, посебно, фискалне политике, у наредном периоду, првенствено ће зависити од процене ефеката украјинске кризе на међународно окружење и домаће прилике. Опредељење је да се и поред високе неизвесности у погледу глобалних економских токова, фискална политика усмери на уравнотежење и стабилизацију јавних финансија, како би </w:t>
      </w:r>
      <w:r w:rsidR="00BD4A38" w:rsidRPr="0007074F">
        <w:rPr>
          <w:rFonts w:ascii="Calibri" w:hAnsi="Calibri" w:cs="Calibri"/>
          <w:bCs/>
          <w:szCs w:val="20"/>
          <w:lang w:val="sr-Cyrl-CS"/>
        </w:rPr>
        <w:t>се наставио тренд смањења учешћа</w:t>
      </w:r>
      <w:r w:rsidRPr="0007074F">
        <w:rPr>
          <w:rFonts w:ascii="Calibri" w:hAnsi="Calibri" w:cs="Calibri"/>
          <w:bCs/>
          <w:szCs w:val="20"/>
          <w:lang w:val="sr-Cyrl-CS"/>
        </w:rPr>
        <w:t xml:space="preserve"> јавног дуга у БДП и оснажили фундаменти који подржавају привредни раст. Паралелно са тим потребно је обезбедити простор за правовремену реакцију фискалне политике на економске шокове. Евентуална фискална интервенција државе у циљу минимизирања ефеката кризе свакако ће бити комбинована са настојањима да се не зауставе развојни програми и инфраструктурни пројекти финансирани из буџета.</w:t>
      </w:r>
    </w:p>
    <w:p w14:paraId="127471D8" w14:textId="2F5D0375" w:rsidR="000D3688" w:rsidRPr="0007074F" w:rsidRDefault="000D3688" w:rsidP="000A125C">
      <w:pPr>
        <w:rPr>
          <w:rFonts w:ascii="Calibri" w:hAnsi="Calibri" w:cs="Calibri"/>
          <w:bCs/>
          <w:szCs w:val="20"/>
          <w:lang w:val="sr-Cyrl-CS"/>
        </w:rPr>
      </w:pPr>
      <w:r w:rsidRPr="0007074F">
        <w:rPr>
          <w:rFonts w:ascii="Calibri" w:hAnsi="Calibri" w:cs="Calibri"/>
          <w:bCs/>
          <w:szCs w:val="20"/>
          <w:lang w:val="sr-Cyrl-CS"/>
        </w:rPr>
        <w:t xml:space="preserve">Средњорочни фискални оквир предвиђа умерено напуштање експанзивне фискалне политике која је била присутна током пандемије, с тим да ће и у наредном периоду значајан део буџетских средстава бити опредељен за ублажавање енергетске кризе и повећање инвестиција. С обзиром на неизвесну економску ситуацију, буџет ће свакако представљати „сигурносну мрежу” у случају ескалације неповољних кретања. Са једне стране обезбедиће се континуитет развојних и социјалних програма, а са друге стране одрживост јавних финансија и наставак смањења нивоа јавног дуга у смислу учешћа у БДП. Имајући у виду очекивана макроекономска кретања, предвиђени годишњи фискални дефицити омогућавају смањење учешћа дуга </w:t>
      </w:r>
      <w:r w:rsidR="00332897" w:rsidRPr="0007074F">
        <w:rPr>
          <w:rFonts w:ascii="Calibri" w:hAnsi="Calibri" w:cs="Calibri"/>
          <w:bCs/>
          <w:szCs w:val="20"/>
          <w:lang w:val="sr-Cyrl-CS"/>
        </w:rPr>
        <w:t xml:space="preserve">сектора </w:t>
      </w:r>
      <w:r w:rsidRPr="0007074F">
        <w:rPr>
          <w:rFonts w:ascii="Calibri" w:hAnsi="Calibri" w:cs="Calibri"/>
          <w:bCs/>
          <w:szCs w:val="20"/>
          <w:lang w:val="sr-Cyrl-CS"/>
        </w:rPr>
        <w:t>државе у БДП и у наредном периоду.</w:t>
      </w:r>
    </w:p>
    <w:p w14:paraId="1840307B" w14:textId="77777777" w:rsidR="000D3688" w:rsidRPr="0007074F" w:rsidRDefault="000D3688" w:rsidP="000A125C">
      <w:pPr>
        <w:rPr>
          <w:rFonts w:ascii="Calibri" w:hAnsi="Calibri" w:cs="Calibri"/>
          <w:bCs/>
          <w:szCs w:val="20"/>
          <w:lang w:val="sr-Cyrl-CS"/>
        </w:rPr>
      </w:pPr>
      <w:r w:rsidRPr="0007074F">
        <w:rPr>
          <w:rFonts w:ascii="Calibri" w:hAnsi="Calibri" w:cs="Calibri"/>
          <w:bCs/>
          <w:szCs w:val="20"/>
          <w:lang w:val="sr-Cyrl-CS"/>
        </w:rPr>
        <w:t>Фискална политика ће у наредном периоду бити фокусирана, у складу са расположивим фискалним простором, на даље смањење укупног пореског оптерећења рада чиме се додатно растерећује привреда, односно повећава конкурентност приватног сектора. На расходној страни, приоритет ће имати инфраструктурни и капитални пројекти, те политика пензија и плата. При томе ће се водити рачуна да се повећањем ових, највећих, категорија расхода не изађе из планираног одрживог оквира.</w:t>
      </w:r>
    </w:p>
    <w:p w14:paraId="71909D52" w14:textId="35782CC6" w:rsidR="000D3688" w:rsidRPr="0007074F" w:rsidRDefault="000D3688" w:rsidP="000A125C">
      <w:pPr>
        <w:rPr>
          <w:rFonts w:ascii="Calibri" w:hAnsi="Calibri" w:cs="Calibri"/>
          <w:bCs/>
          <w:szCs w:val="20"/>
          <w:lang w:val="sr-Cyrl-CS"/>
        </w:rPr>
      </w:pPr>
      <w:r w:rsidRPr="0007074F">
        <w:rPr>
          <w:rFonts w:ascii="Calibri" w:hAnsi="Calibri" w:cs="Calibri"/>
          <w:bCs/>
          <w:szCs w:val="20"/>
          <w:lang w:val="sr-Cyrl-CS"/>
        </w:rPr>
        <w:t xml:space="preserve">Стабилности јавних финансија и одрживом фискалном оквиру допринеће измене Закона о буџетском систему, којима је, између осталог, редизајниран скуп фискалних правила, општих и посебних, те дефинисане посебне мере у случају њиховог непоштовања. Посебан акценат је стављен на измену општих правила која се односе на јавни дуг и дефицит </w:t>
      </w:r>
      <w:r w:rsidR="00332897" w:rsidRPr="0007074F">
        <w:rPr>
          <w:rFonts w:ascii="Calibri" w:hAnsi="Calibri" w:cs="Calibri"/>
          <w:bCs/>
          <w:szCs w:val="20"/>
          <w:lang w:val="sr-Cyrl-CS"/>
        </w:rPr>
        <w:t xml:space="preserve">сектора </w:t>
      </w:r>
      <w:r w:rsidRPr="0007074F">
        <w:rPr>
          <w:rFonts w:ascii="Calibri" w:hAnsi="Calibri" w:cs="Calibri"/>
          <w:bCs/>
          <w:szCs w:val="20"/>
          <w:lang w:val="sr-Cyrl-CS"/>
        </w:rPr>
        <w:t>државе, те посебних правила везаних за одрживи ниво расхода за плате и пензије.</w:t>
      </w:r>
    </w:p>
    <w:bookmarkEnd w:id="18"/>
    <w:bookmarkEnd w:id="19"/>
    <w:p w14:paraId="53F04D4C" w14:textId="77777777" w:rsidR="000D3688" w:rsidRPr="0007074F" w:rsidRDefault="000D3688" w:rsidP="00E124CF">
      <w:pPr>
        <w:rPr>
          <w:lang w:val="sr-Cyrl-CS" w:eastAsia="ja-JP"/>
        </w:rPr>
        <w:sectPr w:rsidR="000D3688" w:rsidRPr="0007074F" w:rsidSect="000D3688">
          <w:headerReference w:type="even" r:id="rId90"/>
          <w:headerReference w:type="default" r:id="rId91"/>
          <w:footerReference w:type="even" r:id="rId92"/>
          <w:footerReference w:type="default" r:id="rId93"/>
          <w:headerReference w:type="first" r:id="rId94"/>
          <w:type w:val="continuous"/>
          <w:pgSz w:w="12240" w:h="15840" w:code="1"/>
          <w:pgMar w:top="1440" w:right="1440" w:bottom="1440" w:left="1440" w:header="720" w:footer="720" w:gutter="0"/>
          <w:cols w:num="2" w:space="720"/>
          <w:docGrid w:linePitch="360"/>
          <w15:footnoteColumns w:val="1"/>
        </w:sectPr>
      </w:pPr>
    </w:p>
    <w:p w14:paraId="44D235D9" w14:textId="77777777" w:rsidR="000D3688" w:rsidRPr="0007074F" w:rsidRDefault="000D3688">
      <w:pPr>
        <w:jc w:val="left"/>
        <w:rPr>
          <w:lang w:val="sr-Cyrl-CS"/>
        </w:rPr>
      </w:pPr>
      <w:r w:rsidRPr="0007074F">
        <w:rPr>
          <w:lang w:val="sr-Cyrl-CS"/>
        </w:rPr>
        <w:br w:type="page"/>
      </w:r>
    </w:p>
    <w:p w14:paraId="4F68AC7C" w14:textId="77777777" w:rsidR="000D3688" w:rsidRPr="0007074F" w:rsidRDefault="000D3688" w:rsidP="00E124CF">
      <w:pPr>
        <w:rPr>
          <w:rFonts w:ascii="Calibri" w:eastAsia="Calibri" w:hAnsi="Calibri" w:cs="Calibri"/>
          <w:color w:val="auto"/>
          <w:szCs w:val="20"/>
          <w:lang w:val="sr-Cyrl-CS"/>
        </w:rPr>
        <w:sectPr w:rsidR="000D3688" w:rsidRPr="0007074F" w:rsidSect="000D3688">
          <w:headerReference w:type="even" r:id="rId95"/>
          <w:footerReference w:type="even" r:id="rId96"/>
          <w:footerReference w:type="default" r:id="rId97"/>
          <w:headerReference w:type="first" r:id="rId98"/>
          <w:type w:val="continuous"/>
          <w:pgSz w:w="12240" w:h="15840"/>
          <w:pgMar w:top="1440" w:right="1440" w:bottom="1440" w:left="1440" w:header="720" w:footer="720" w:gutter="0"/>
          <w:cols w:space="720"/>
          <w:docGrid w:linePitch="360"/>
        </w:sectPr>
      </w:pPr>
    </w:p>
    <w:p w14:paraId="3DD59396" w14:textId="0C2869CF" w:rsidR="00C171B0" w:rsidRPr="0007074F" w:rsidRDefault="00C171B0" w:rsidP="00D81397">
      <w:pPr>
        <w:keepNext/>
        <w:keepLines/>
        <w:spacing w:after="120"/>
        <w:jc w:val="center"/>
        <w:outlineLvl w:val="1"/>
        <w:rPr>
          <w:rFonts w:eastAsia="MS PGothic" w:cstheme="minorHAnsi"/>
          <w:b/>
          <w:color w:val="2F5496" w:themeColor="accent1" w:themeShade="BF"/>
          <w:sz w:val="24"/>
          <w:szCs w:val="26"/>
          <w:lang w:val="sr-Cyrl-CS" w:eastAsia="ja-JP"/>
        </w:rPr>
      </w:pPr>
      <w:bookmarkStart w:id="35" w:name="_Toc135994501"/>
      <w:r w:rsidRPr="0007074F">
        <w:rPr>
          <w:rFonts w:eastAsia="MS PGothic" w:cstheme="minorHAnsi"/>
          <w:b/>
          <w:color w:val="2F5496" w:themeColor="accent1" w:themeShade="BF"/>
          <w:sz w:val="24"/>
          <w:szCs w:val="26"/>
          <w:lang w:val="sr-Cyrl-CS" w:eastAsia="ja-JP"/>
        </w:rPr>
        <w:lastRenderedPageBreak/>
        <w:t>2. Фискална кретања у 2022. години</w:t>
      </w:r>
      <w:bookmarkEnd w:id="20"/>
      <w:bookmarkEnd w:id="35"/>
    </w:p>
    <w:p w14:paraId="458BA647" w14:textId="77777777" w:rsidR="00C171B0" w:rsidRPr="0007074F" w:rsidRDefault="00C171B0" w:rsidP="00D81397">
      <w:pPr>
        <w:spacing w:after="120"/>
        <w:rPr>
          <w:rFonts w:cstheme="minorHAnsi"/>
          <w:lang w:val="sr-Cyrl-CS" w:eastAsia="ja-JP"/>
        </w:rPr>
      </w:pPr>
    </w:p>
    <w:p w14:paraId="1976C1E5" w14:textId="77777777" w:rsidR="00C171B0" w:rsidRPr="0007074F" w:rsidRDefault="00C171B0" w:rsidP="00E4657F">
      <w:pPr>
        <w:spacing w:line="276" w:lineRule="auto"/>
        <w:rPr>
          <w:rFonts w:cstheme="minorHAnsi"/>
          <w:bCs/>
          <w:szCs w:val="72"/>
          <w:lang w:val="sr-Cyrl-CS"/>
        </w:rPr>
        <w:sectPr w:rsidR="00C171B0" w:rsidRPr="0007074F" w:rsidSect="000D3688">
          <w:headerReference w:type="even" r:id="rId99"/>
          <w:headerReference w:type="default" r:id="rId100"/>
          <w:footerReference w:type="even" r:id="rId101"/>
          <w:footerReference w:type="default" r:id="rId102"/>
          <w:headerReference w:type="first" r:id="rId103"/>
          <w:type w:val="continuous"/>
          <w:pgSz w:w="12240" w:h="15840" w:code="1"/>
          <w:pgMar w:top="1440" w:right="1440" w:bottom="1440" w:left="1440" w:header="720" w:footer="720" w:gutter="0"/>
          <w:cols w:space="720"/>
          <w:titlePg/>
          <w:docGrid w:linePitch="360"/>
        </w:sectPr>
      </w:pPr>
    </w:p>
    <w:p w14:paraId="7BF92855" w14:textId="1528FA83" w:rsidR="00C171B0" w:rsidRPr="0007074F" w:rsidRDefault="00C171B0" w:rsidP="000D3688">
      <w:pPr>
        <w:spacing w:line="276" w:lineRule="auto"/>
        <w:rPr>
          <w:rFonts w:cstheme="minorHAnsi"/>
          <w:bCs/>
          <w:szCs w:val="72"/>
          <w:lang w:val="sr-Cyrl-CS"/>
        </w:rPr>
      </w:pPr>
      <w:r w:rsidRPr="0007074F">
        <w:rPr>
          <w:rFonts w:cstheme="minorHAnsi"/>
          <w:bCs/>
          <w:szCs w:val="72"/>
          <w:lang w:val="sr-Cyrl-CS"/>
        </w:rPr>
        <w:t>На крају 2022. године у сектору државе остварен је фискални дефицит у износу од 224,8 млрд динара, односно 3,2% БДП, што је за 0,6% БДП боље од планираног, с обзиром да је јесењом пројекцијом планиран фискални дефицит од 3,8% БДП, којом су додатно ревидирани приходи и расходи. Фискални оквир је првобитно ревидиран већ током пролећног дела буџетског циклуса, како у погледу висине, тако и по питању структуре прихода и расхода, с тим да тада није мењана процена фискалног резултата од 3% БДП. У 2022. години остварен је примарни фискални дефицит од 1,7% БДП. Дуг сектора државе је смањен за 1,5 п.п, са 57,1% БДП, колико је износио на крају 2021. године на 55,6% БДП на крају 2022. године.</w:t>
      </w:r>
    </w:p>
    <w:p w14:paraId="208D4349" w14:textId="77777777" w:rsidR="00C171B0" w:rsidRPr="0007074F" w:rsidRDefault="00C171B0" w:rsidP="000D3688">
      <w:pPr>
        <w:spacing w:line="276" w:lineRule="auto"/>
        <w:rPr>
          <w:rFonts w:cstheme="minorHAnsi"/>
          <w:bCs/>
          <w:szCs w:val="72"/>
          <w:lang w:val="sr-Cyrl-CS"/>
        </w:rPr>
      </w:pPr>
      <w:r w:rsidRPr="0007074F">
        <w:rPr>
          <w:rFonts w:cstheme="minorHAnsi"/>
          <w:bCs/>
          <w:szCs w:val="72"/>
          <w:lang w:val="sr-Cyrl-CS"/>
        </w:rPr>
        <w:t>Бројни фактори утицали су на измене у висини и структури како прихода, тако и расхода сектора државе. На боље остварење прихода су утицали: базни ефекат (боље остварење на крају 2021. године), опрезност у планирању одређених пореских категорија (пре свега ПДВ), већа потрошња одређених акцизних производа, повољнија кретања на тржишту рада, снажан номинални раст спољнотрговинске размене, уплата непланираних непореских прихода, као и снажан раст редовних непореских прихода, позитиван утицај додатних мера подршке становништву на личну потрошњу, већи раст инфлације од предвиђеног, снажан раст профитабилности привреде у 2021. години и сл. На веће расходе у односу на оригинални план највише су утицале додатне мере за набавку енергената, додатна подршка становништву и спровођење нових мера популационе политике. Остатак чине расходи везани за куповину роба и услуга, као и увећање капиталних расхода.</w:t>
      </w:r>
    </w:p>
    <w:p w14:paraId="665B0B7A" w14:textId="77777777" w:rsidR="00C171B0" w:rsidRPr="0007074F" w:rsidRDefault="00C171B0" w:rsidP="000D3688">
      <w:pPr>
        <w:spacing w:line="276" w:lineRule="auto"/>
        <w:rPr>
          <w:rFonts w:cstheme="minorHAnsi"/>
          <w:bCs/>
          <w:spacing w:val="-2"/>
          <w:szCs w:val="72"/>
          <w:lang w:val="sr-Cyrl-CS"/>
        </w:rPr>
      </w:pPr>
      <w:r w:rsidRPr="0007074F">
        <w:rPr>
          <w:rFonts w:cstheme="minorHAnsi"/>
          <w:bCs/>
          <w:spacing w:val="-2"/>
          <w:szCs w:val="72"/>
          <w:lang w:val="sr-Cyrl-CS"/>
        </w:rPr>
        <w:t xml:space="preserve">Јавни приходи су остварени у износу већем за 271,7 млрд динара (3,8% БДП) у односу на износ планиран оригиналним буџетом. Највеће одступање у односу на план код пореских прихода је забележено код пореза на добит правних лица, царина и ПДВ. Порез на добит правних лица је </w:t>
      </w:r>
      <w:r w:rsidRPr="0007074F">
        <w:rPr>
          <w:rFonts w:cstheme="minorHAnsi"/>
          <w:bCs/>
          <w:spacing w:val="-2"/>
          <w:szCs w:val="72"/>
          <w:lang w:val="sr-Cyrl-CS"/>
        </w:rPr>
        <w:t>остварен у износу вишем од планираног за око 0,9% БДП, услед конзервативног приступа у планирању ове категорије заснованог на умереном расту профитабилности привреде. Индиректни порези (највећим делом ПДВ) виши су за 1,6% БДП у односу на план, што је последица раста личне потрошње (номиналног и реалног), раста спољнотрговинске размене тј. раста увозних цена и прихода по том основу (највише ПДВ при увозу и царина), ефеката стимулативних мера државе на потрошњу, и сл. Доприноси и порез на доходак грађана су укупно већи у односу на план за 0,8% БДП, највећим делом услед раста запослености и зарада у приватном сектору. Непорески приходи су виши за 0,7% БДП у односу на план. Редовни непорески приходи остварени су у већем износу у односу на планиране највише због раста наплате накнада од игара на срећу и накнада за коришћење минералних сировина. Ванредни непорески приходи виши су због уплате прихода који нису били укључени у оригинални буџетски план.</w:t>
      </w:r>
    </w:p>
    <w:p w14:paraId="2233436D" w14:textId="7C2C9820" w:rsidR="00415C19" w:rsidRPr="0007074F" w:rsidRDefault="00C171B0" w:rsidP="000D3688">
      <w:pPr>
        <w:spacing w:line="276" w:lineRule="auto"/>
        <w:rPr>
          <w:rFonts w:cstheme="minorHAnsi"/>
          <w:bCs/>
          <w:szCs w:val="72"/>
          <w:lang w:val="sr-Cyrl-CS"/>
        </w:rPr>
      </w:pPr>
      <w:r w:rsidRPr="0007074F">
        <w:rPr>
          <w:rFonts w:cstheme="minorHAnsi"/>
          <w:bCs/>
          <w:szCs w:val="72"/>
          <w:lang w:val="sr-Cyrl-CS"/>
        </w:rPr>
        <w:t xml:space="preserve">Јавни расходи извршени су у износу вишем за 296,4 млрд динара (4,2% БДП) у односу на оригинални план. Највеће одступање је остварено код буџетских позајмица (2,7% БДП), услед интервентних мера државе за набавку енергената. Остали текући расходи премашили су план за 0,5% БДП, првенствено због ванредних исплата директне новчане помоћи становништву од 16 до 30 година старости, у укупном износу од 31 млрд динара. Расходи за робе и услуге су већи од плана за око 0,5% БДП. Највећи део повећања се односи на набавку лекова и медицинске опреме и средстава од стране РФЗО. Други део повећања се односи на текуће одржавање путева код ЈП „Путеви Србије”. Реализација јавних инвестиција у 2022. години је износила 7,4% БДП и премашила је план за 0,3% БДП. Осим повећања расхода за изградњу путне мреже, повећана су и издвајања за стратешку набавку енергената и других егзистенцијалних добара. Расходи за запослене премашили су план за око 0,1% БДП. Највећи део </w:t>
      </w:r>
      <w:r w:rsidRPr="0007074F">
        <w:rPr>
          <w:rFonts w:cstheme="minorHAnsi"/>
          <w:bCs/>
          <w:szCs w:val="72"/>
          <w:lang w:val="sr-Cyrl-CS"/>
        </w:rPr>
        <w:lastRenderedPageBreak/>
        <w:t>овог повећања односи се на већу масу зарада у здравству (повећање броја запослених и радних часова), судству, као и исплаћену помоћ запосленима у просвети. Расходи за запослене у 202</w:t>
      </w:r>
      <w:r w:rsidR="00416E7C" w:rsidRPr="0007074F">
        <w:rPr>
          <w:rFonts w:cstheme="minorHAnsi"/>
          <w:bCs/>
          <w:szCs w:val="72"/>
          <w:lang w:val="sr-Cyrl-CS"/>
        </w:rPr>
        <w:t>2. години износили су 9,8% БДП.</w:t>
      </w:r>
    </w:p>
    <w:p w14:paraId="4DD43DDB" w14:textId="2CE969FF" w:rsidR="00C171B0" w:rsidRPr="0007074F" w:rsidRDefault="00C171B0" w:rsidP="000D3688">
      <w:pPr>
        <w:spacing w:line="276" w:lineRule="auto"/>
        <w:rPr>
          <w:rFonts w:cstheme="minorHAnsi"/>
          <w:bCs/>
          <w:szCs w:val="72"/>
          <w:lang w:val="sr-Cyrl-CS"/>
        </w:rPr>
      </w:pPr>
      <w:r w:rsidRPr="0007074F">
        <w:rPr>
          <w:rFonts w:cstheme="minorHAnsi"/>
          <w:bCs/>
          <w:szCs w:val="72"/>
          <w:lang w:val="sr-Cyrl-CS"/>
        </w:rPr>
        <w:t>У оквиру расхода намењених за социјалн</w:t>
      </w:r>
      <w:r w:rsidR="00893E8A" w:rsidRPr="0007074F">
        <w:rPr>
          <w:rFonts w:cstheme="minorHAnsi"/>
          <w:bCs/>
          <w:szCs w:val="72"/>
          <w:lang w:val="sr-Cyrl-CS"/>
        </w:rPr>
        <w:t xml:space="preserve">у заштиту, налази се </w:t>
      </w:r>
      <w:r w:rsidRPr="0007074F">
        <w:rPr>
          <w:rFonts w:cstheme="minorHAnsi"/>
          <w:bCs/>
          <w:szCs w:val="72"/>
          <w:lang w:val="sr-Cyrl-CS"/>
        </w:rPr>
        <w:t xml:space="preserve">исплаћена једнократна помоћ пензионерима у износу од око 34 млрд динара. Расходи за пензије у 2022. години износили су 9% </w:t>
      </w:r>
      <w:r w:rsidRPr="0007074F">
        <w:rPr>
          <w:rFonts w:cstheme="minorHAnsi"/>
          <w:bCs/>
          <w:szCs w:val="72"/>
          <w:lang w:val="sr-Cyrl-CS"/>
        </w:rPr>
        <w:t>БДП. Иако је оригинални план индексације пензија подразумевао њихов раст у складу са „швајцарском формулом”, током новембра је извршено додатно трајно усклађивање пензија за 9%, узимајући у обзир нови сет фискалних правила који је усвојен у децембру 2022. године. Посебним фискалним правилима која важе од јануара 2023. године ограничено је учешће плата сектора државе и дефинисана правила индексирања пензија зависно од њиховог учешћа у БДП.</w:t>
      </w:r>
    </w:p>
    <w:p w14:paraId="6255E208" w14:textId="77777777" w:rsidR="00C171B0" w:rsidRPr="0007074F" w:rsidRDefault="00C171B0" w:rsidP="000D3688">
      <w:pPr>
        <w:spacing w:line="276" w:lineRule="auto"/>
        <w:rPr>
          <w:rFonts w:cstheme="minorHAnsi"/>
          <w:bCs/>
          <w:szCs w:val="72"/>
          <w:lang w:val="sr-Cyrl-CS"/>
        </w:rPr>
        <w:sectPr w:rsidR="00C171B0" w:rsidRPr="0007074F" w:rsidSect="000D3688">
          <w:type w:val="continuous"/>
          <w:pgSz w:w="12240" w:h="15840"/>
          <w:pgMar w:top="1440" w:right="1440" w:bottom="1440" w:left="1440" w:header="720" w:footer="720" w:gutter="0"/>
          <w:cols w:num="2" w:space="720"/>
          <w:docGrid w:linePitch="360"/>
        </w:sectPr>
      </w:pPr>
    </w:p>
    <w:p w14:paraId="13CD4731" w14:textId="77777777" w:rsidR="00C171B0" w:rsidRPr="0007074F" w:rsidRDefault="00C171B0" w:rsidP="000D3688">
      <w:pPr>
        <w:spacing w:after="0"/>
        <w:rPr>
          <w:rFonts w:cstheme="minorHAnsi"/>
          <w:bCs/>
          <w:szCs w:val="72"/>
          <w:lang w:val="sr-Cyrl-CS"/>
        </w:rPr>
        <w:sectPr w:rsidR="00C171B0" w:rsidRPr="0007074F" w:rsidSect="000D3688">
          <w:type w:val="continuous"/>
          <w:pgSz w:w="12240" w:h="15840"/>
          <w:pgMar w:top="1440" w:right="1440" w:bottom="1440" w:left="1440" w:header="720" w:footer="720" w:gutter="0"/>
          <w:cols w:space="720"/>
          <w:docGrid w:linePitch="360"/>
        </w:sectPr>
      </w:pPr>
    </w:p>
    <w:bookmarkEnd w:id="21"/>
    <w:bookmarkEnd w:id="22"/>
    <w:bookmarkEnd w:id="23"/>
    <w:bookmarkEnd w:id="24"/>
    <w:bookmarkEnd w:id="25"/>
    <w:bookmarkEnd w:id="26"/>
    <w:bookmarkEnd w:id="27"/>
    <w:p w14:paraId="4530E70F" w14:textId="77777777" w:rsidR="00C171B0" w:rsidRPr="0007074F" w:rsidRDefault="00C171B0" w:rsidP="000D3688">
      <w:pPr>
        <w:rPr>
          <w:lang w:val="sr-Cyrl-CS" w:eastAsia="ja-JP"/>
        </w:rPr>
      </w:pPr>
    </w:p>
    <w:p w14:paraId="1B40C8C0" w14:textId="77777777" w:rsidR="00A33AAE" w:rsidRPr="0007074F" w:rsidRDefault="00A33AAE">
      <w:pPr>
        <w:jc w:val="left"/>
        <w:rPr>
          <w:rFonts w:ascii="Calibri" w:eastAsia="Calibri" w:hAnsi="Calibri" w:cs="Calibri"/>
          <w:bCs/>
          <w:color w:val="44546A"/>
          <w:szCs w:val="72"/>
          <w:lang w:val="sr-Cyrl-CS"/>
        </w:rPr>
      </w:pPr>
      <w:r w:rsidRPr="0007074F">
        <w:rPr>
          <w:rFonts w:ascii="Calibri" w:eastAsia="Calibri" w:hAnsi="Calibri" w:cs="Calibri"/>
          <w:bCs/>
          <w:color w:val="44546A"/>
          <w:szCs w:val="72"/>
          <w:lang w:val="sr-Cyrl-CS"/>
        </w:rPr>
        <w:br w:type="page"/>
      </w:r>
    </w:p>
    <w:p w14:paraId="6EFDB037" w14:textId="05DDFFF7" w:rsidR="00A33AAE" w:rsidRPr="0007074F" w:rsidRDefault="007912B6" w:rsidP="000D3688">
      <w:pPr>
        <w:keepNext/>
        <w:keepLines/>
        <w:spacing w:after="360"/>
        <w:jc w:val="center"/>
        <w:outlineLvl w:val="1"/>
        <w:rPr>
          <w:rFonts w:eastAsia="MS PGothic" w:cstheme="minorHAnsi"/>
          <w:b/>
          <w:color w:val="2F5496" w:themeColor="accent1" w:themeShade="BF"/>
          <w:sz w:val="24"/>
          <w:szCs w:val="26"/>
          <w:lang w:val="sr-Cyrl-CS" w:eastAsia="ja-JP"/>
        </w:rPr>
      </w:pPr>
      <w:bookmarkStart w:id="36" w:name="_Toc73364969"/>
      <w:bookmarkStart w:id="37" w:name="_Toc119654145"/>
      <w:bookmarkStart w:id="38" w:name="_Toc135994502"/>
      <w:r w:rsidRPr="0007074F">
        <w:rPr>
          <w:rFonts w:eastAsia="MS PGothic" w:cstheme="minorHAnsi"/>
          <w:b/>
          <w:color w:val="2F5496" w:themeColor="accent1" w:themeShade="BF"/>
          <w:sz w:val="24"/>
          <w:szCs w:val="26"/>
          <w:lang w:val="sr-Cyrl-CS" w:eastAsia="ja-JP"/>
        </w:rPr>
        <w:lastRenderedPageBreak/>
        <w:t>3</w:t>
      </w:r>
      <w:r w:rsidR="00A33AAE" w:rsidRPr="0007074F">
        <w:rPr>
          <w:rFonts w:eastAsia="MS PGothic" w:cstheme="minorHAnsi"/>
          <w:b/>
          <w:color w:val="2F5496" w:themeColor="accent1" w:themeShade="BF"/>
          <w:sz w:val="24"/>
          <w:szCs w:val="26"/>
          <w:lang w:val="sr-Cyrl-CS" w:eastAsia="ja-JP"/>
        </w:rPr>
        <w:t>. Текућа фискална кретања и изгледи за 2023. годину</w:t>
      </w:r>
      <w:bookmarkEnd w:id="36"/>
      <w:bookmarkEnd w:id="37"/>
      <w:bookmarkEnd w:id="38"/>
    </w:p>
    <w:p w14:paraId="155E14B6" w14:textId="77777777" w:rsidR="00A33AAE" w:rsidRPr="0007074F" w:rsidRDefault="00A33AAE" w:rsidP="000D3688">
      <w:pPr>
        <w:keepNext/>
        <w:keepLines/>
        <w:jc w:val="center"/>
        <w:outlineLvl w:val="1"/>
        <w:rPr>
          <w:rFonts w:eastAsia="MS PGothic" w:cstheme="minorHAnsi"/>
          <w:b/>
          <w:color w:val="2F5496" w:themeColor="accent1" w:themeShade="BF"/>
          <w:sz w:val="24"/>
          <w:szCs w:val="26"/>
          <w:lang w:val="sr-Cyrl-CS" w:eastAsia="ja-JP"/>
        </w:rPr>
        <w:sectPr w:rsidR="00A33AAE" w:rsidRPr="0007074F" w:rsidSect="000D3688">
          <w:headerReference w:type="even" r:id="rId104"/>
          <w:headerReference w:type="default" r:id="rId105"/>
          <w:footerReference w:type="even" r:id="rId106"/>
          <w:footerReference w:type="default" r:id="rId107"/>
          <w:headerReference w:type="first" r:id="rId108"/>
          <w:type w:val="continuous"/>
          <w:pgSz w:w="12240" w:h="15840" w:code="1"/>
          <w:pgMar w:top="1440" w:right="1440" w:bottom="1440" w:left="1440" w:header="720" w:footer="720" w:gutter="0"/>
          <w:cols w:space="720"/>
          <w:titlePg/>
          <w:docGrid w:linePitch="360"/>
        </w:sectPr>
      </w:pPr>
    </w:p>
    <w:p w14:paraId="554D3ECA" w14:textId="77777777" w:rsidR="00A33AAE" w:rsidRPr="0007074F" w:rsidRDefault="00A33AAE" w:rsidP="000D3688">
      <w:pPr>
        <w:widowControl w:val="0"/>
        <w:spacing w:after="120"/>
        <w:rPr>
          <w:lang w:val="sr-Cyrl-CS"/>
        </w:rPr>
      </w:pPr>
      <w:r w:rsidRPr="0007074F">
        <w:rPr>
          <w:rFonts w:eastAsia="MS PGothic" w:cstheme="minorHAnsi"/>
          <w:bCs/>
          <w:szCs w:val="20"/>
          <w:lang w:val="sr-Cyrl-CS" w:eastAsia="ja-JP"/>
        </w:rPr>
        <w:t>Фискални оквир за 2023. годину планиран је у околностима продужене неповољне геополитичке ситуације, високе неизвесности на тржишту енергије и негативних инфлаторних трендова, посебно на тржишту хране.</w:t>
      </w:r>
      <w:r w:rsidRPr="0007074F">
        <w:rPr>
          <w:rFonts w:eastAsia="MS PGothic" w:cstheme="minorHAnsi"/>
          <w:szCs w:val="20"/>
          <w:lang w:val="sr-Cyrl-CS" w:eastAsia="ja-JP"/>
        </w:rPr>
        <w:t xml:space="preserve"> Претходну годину, на фискалном плану, обележила су неопходна и интензивна прилагођавања насталим негативним околностима, огледајући се пре свега у значајним буџетским издвајањима за обезбеђење енергетске сигурности. Део фискалног напора био је усмерен и на очување животног стандарда грађана. Са једне стране је то спроведено кроз повећана издвајања усмерена ка вулнерабилним категоријама становништва, док су са друге стране реализоване мере контроле цена основних животних намирница и амортизације раста цена нафтних деривата кроз смањење акцизног оптерећења. Повећану неизвесност уносила је и могућа нередовност у снабдевању енергентима, што је додатно утицало на цене. </w:t>
      </w:r>
      <w:r w:rsidRPr="0007074F">
        <w:rPr>
          <w:lang w:val="sr-Cyrl-CS"/>
        </w:rPr>
        <w:t>Транзиторни инфлаторни притисци постали су перманентни, док пооштравање монетарне политике у свету додатно отежава могућности за финансирање растућих фискалних дефицита и проузрокује раст каматних трошкова. У перспективи то утиче и на неповољније изгледе раста привредне активности. Убрзан раст цена подстакнут ранијом експанзивном глобалном монетарном и фискалном политиком, још увек нарушеним ланцима снабдевања и логистичким проблемима, постепен па затим убрзан раст цена енергије, само су неки од проблема који су пред креаторе економске политике поставили нове изазове.</w:t>
      </w:r>
    </w:p>
    <w:p w14:paraId="0F6EBFD3" w14:textId="0A5F1C63"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Ублажавање негативних ефеката енергетске кризе, растућа инфлација, потреба одржања животног стандарда становништва утицале су на креирање фискалног оквира за 2023. годину.</w:t>
      </w:r>
      <w:r w:rsidRPr="0007074F">
        <w:rPr>
          <w:rFonts w:eastAsia="MS PGothic" w:cstheme="minorHAnsi"/>
          <w:szCs w:val="20"/>
          <w:lang w:val="sr-Cyrl-CS" w:eastAsia="ja-JP"/>
        </w:rPr>
        <w:t xml:space="preserve"> На расходној страни буџета обе</w:t>
      </w:r>
      <w:r w:rsidR="006848C1" w:rsidRPr="0007074F">
        <w:rPr>
          <w:rFonts w:eastAsia="MS PGothic" w:cstheme="minorHAnsi"/>
          <w:szCs w:val="20"/>
          <w:lang w:val="sr-Cyrl-CS" w:eastAsia="ja-JP"/>
        </w:rPr>
        <w:t>з</w:t>
      </w:r>
      <w:r w:rsidRPr="0007074F">
        <w:rPr>
          <w:rFonts w:eastAsia="MS PGothic" w:cstheme="minorHAnsi"/>
          <w:szCs w:val="20"/>
          <w:lang w:val="sr-Cyrl-CS" w:eastAsia="ja-JP"/>
        </w:rPr>
        <w:t xml:space="preserve">беђен je висок ниво средстава за даљу санацију енергетске кризе. Како би се побољшао економски положај и стандард пензионера, у оквиру измене фискалних правила, промењен је и начин индексације пензија. Примања пензионера су током 2022. и 2023. године значајно увећана, али је уведен и механизам заштите од прекомерног повећања </w:t>
      </w:r>
      <w:r w:rsidRPr="0007074F">
        <w:rPr>
          <w:rFonts w:eastAsia="MS PGothic" w:cstheme="minorHAnsi"/>
          <w:szCs w:val="20"/>
          <w:lang w:val="sr-Cyrl-CS" w:eastAsia="ja-JP"/>
        </w:rPr>
        <w:t>учешћа расхода за пензије у БДП. Како би се заштитио стандард запослених у јавном сектору реализовано је повећање зарада од 12,5%, док су за војна лица обезбеђена средства за повећање зарада од 25%</w:t>
      </w:r>
      <w:r w:rsidR="00844DC9" w:rsidRPr="0007074F">
        <w:rPr>
          <w:rFonts w:eastAsia="MS PGothic" w:cstheme="minorHAnsi"/>
          <w:szCs w:val="20"/>
          <w:lang w:val="sr-Cyrl-CS" w:eastAsia="ja-JP"/>
        </w:rPr>
        <w:t xml:space="preserve">. </w:t>
      </w:r>
      <w:r w:rsidRPr="0007074F">
        <w:rPr>
          <w:rFonts w:eastAsia="MS PGothic" w:cstheme="minorHAnsi"/>
          <w:szCs w:val="20"/>
          <w:lang w:val="sr-Cyrl-CS" w:eastAsia="ja-JP"/>
        </w:rPr>
        <w:t>Задржан је висок ниво учешћа јавних инвестиција у БДП, као подршка опоравку економског раста. На приходној страни предвиђени наставак смањења акцизног оптерећења деривата нафте је важио до краја априла уз непро</w:t>
      </w:r>
      <w:r w:rsidR="00A74C07" w:rsidRPr="0007074F">
        <w:rPr>
          <w:rFonts w:eastAsia="MS PGothic" w:cstheme="minorHAnsi"/>
          <w:szCs w:val="20"/>
          <w:lang w:val="sr-Cyrl-CS" w:eastAsia="ja-JP"/>
        </w:rPr>
        <w:t>мењени износ</w:t>
      </w:r>
      <w:r w:rsidRPr="0007074F">
        <w:rPr>
          <w:rFonts w:eastAsia="MS PGothic" w:cstheme="minorHAnsi"/>
          <w:szCs w:val="20"/>
          <w:lang w:val="sr-Cyrl-CS" w:eastAsia="ja-JP"/>
        </w:rPr>
        <w:t xml:space="preserve"> акциза за остале производе, како би се ублажили инфлаторни трендови. Вишегодишња политика смањења пореског оптерећења рада настављена је и током 2023. године. Процењени ефекат губитка прихода по основу повећања неопорезивог цензуса и смањења стопе доприноса за 1 п.п, износио је 41 млрд динара у 2023. години. Услед присутне неизвесности у погледу даљег тока глобалне економске и енергетске кризе, јавни приходи су пројектовани конзервативно, како би у случају реализације негативних ризика, одступање наниже би</w:t>
      </w:r>
      <w:r w:rsidR="00416E7C" w:rsidRPr="0007074F">
        <w:rPr>
          <w:rFonts w:eastAsia="MS PGothic" w:cstheme="minorHAnsi"/>
          <w:szCs w:val="20"/>
          <w:lang w:val="sr-Cyrl-CS" w:eastAsia="ja-JP"/>
        </w:rPr>
        <w:t>ло минимално.</w:t>
      </w:r>
    </w:p>
    <w:p w14:paraId="26C1BF78" w14:textId="77777777"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Ризици који су узети у обзир приликом планирања фискалног оквира за текућу годину и даље су присутни</w:t>
      </w:r>
      <w:r w:rsidRPr="0007074F">
        <w:rPr>
          <w:rFonts w:eastAsia="MS PGothic" w:cstheme="minorHAnsi"/>
          <w:szCs w:val="20"/>
          <w:lang w:val="sr-Cyrl-CS" w:eastAsia="ja-JP"/>
        </w:rPr>
        <w:t>,</w:t>
      </w:r>
      <w:r w:rsidRPr="0007074F">
        <w:rPr>
          <w:rFonts w:eastAsia="MS PGothic" w:cstheme="minorHAnsi"/>
          <w:bCs/>
          <w:szCs w:val="20"/>
          <w:lang w:val="sr-Cyrl-CS" w:eastAsia="ja-JP"/>
        </w:rPr>
        <w:t xml:space="preserve"> са делимично измењеним утицајем појединих фактора</w:t>
      </w:r>
      <w:r w:rsidRPr="0007074F">
        <w:rPr>
          <w:rFonts w:eastAsia="MS PGothic" w:cstheme="minorHAnsi"/>
          <w:szCs w:val="20"/>
          <w:lang w:val="sr-Cyrl-CS" w:eastAsia="ja-JP"/>
        </w:rPr>
        <w:t>. Током првог тромесечја економска активност креће се генерално у планираним оквирима, те није дошло до ревизије стопе реалног раста БДП. Инфлаторна кретања су благо изнад очекиваних, док је на међународном тржишту дошло до одређеног пада цена енергената. Упоредо са стабилизацијом производње електричне енергије, смањује се очекивана потреба за интервенцијом државе на овом пољу. Кретања на тржишту радне снаге су позитивна и изнад очекивања у погледу раста просечних зарада и раста запослености, што се повољно одражава на наплату пореза на рад.</w:t>
      </w:r>
    </w:p>
    <w:p w14:paraId="71DB32CF" w14:textId="23A235AB" w:rsidR="00A33AAE" w:rsidRPr="0007074F" w:rsidRDefault="00A33AAE" w:rsidP="000D3688">
      <w:pPr>
        <w:widowControl w:val="0"/>
        <w:spacing w:after="120"/>
        <w:rPr>
          <w:rFonts w:cstheme="minorHAnsi"/>
          <w:b/>
          <w:lang w:val="sr-Cyrl-CS"/>
        </w:rPr>
      </w:pPr>
      <w:r w:rsidRPr="0007074F">
        <w:rPr>
          <w:rFonts w:eastAsia="MS PGothic" w:cstheme="minorHAnsi"/>
          <w:bCs/>
          <w:szCs w:val="20"/>
          <w:lang w:val="sr-Cyrl-CS" w:eastAsia="ja-JP"/>
        </w:rPr>
        <w:t>Иновираним фискалним оквиром предвиђен је дефицит сектора државе од 3%, што представља смањење од 0,3% БДП у односу на оригинални план. Учешће јавног дуга на крају 2023. године се предвиђа на нивоу од 54,3% БДП, што је за 1,8% БДП ниже у односу на претходну процену.</w:t>
      </w:r>
      <w:r w:rsidRPr="0007074F">
        <w:rPr>
          <w:rFonts w:eastAsia="MS PGothic" w:cstheme="minorHAnsi"/>
          <w:szCs w:val="20"/>
          <w:lang w:val="sr-Cyrl-CS" w:eastAsia="ja-JP"/>
        </w:rPr>
        <w:t xml:space="preserve"> Процена прихода повећана је за 76,6 млрд динара, </w:t>
      </w:r>
      <w:r w:rsidRPr="0007074F">
        <w:rPr>
          <w:rFonts w:eastAsia="MS PGothic" w:cstheme="minorHAnsi"/>
          <w:szCs w:val="20"/>
          <w:lang w:val="sr-Cyrl-CS" w:eastAsia="ja-JP"/>
        </w:rPr>
        <w:lastRenderedPageBreak/>
        <w:t>док је процена на страни расхода ревидирана за 57,6 млрд динара навише. Сходно томе процена фискалног дефицита коригована је наниже за 19 млрд динара. Појединачно најважнији фактор који је допринео ревизији приходне стране су позитивна кретања на тржишту рада. Део вишка прихода биће искоришћен за повећање износа јавних инвестиција и одржавање постојеће путне мреже, као и за реализацију промена политике у домену пољопривредних субве</w:t>
      </w:r>
      <w:r w:rsidR="006848C1" w:rsidRPr="0007074F">
        <w:rPr>
          <w:rFonts w:eastAsia="MS PGothic" w:cstheme="minorHAnsi"/>
          <w:szCs w:val="20"/>
          <w:lang w:val="sr-Cyrl-CS" w:eastAsia="ja-JP"/>
        </w:rPr>
        <w:t>н</w:t>
      </w:r>
      <w:r w:rsidR="00416E7C" w:rsidRPr="0007074F">
        <w:rPr>
          <w:rFonts w:eastAsia="MS PGothic" w:cstheme="minorHAnsi"/>
          <w:szCs w:val="20"/>
          <w:lang w:val="sr-Cyrl-CS" w:eastAsia="ja-JP"/>
        </w:rPr>
        <w:t>ција.</w:t>
      </w:r>
    </w:p>
    <w:p w14:paraId="013935B3" w14:textId="77777777" w:rsidR="00A33AAE" w:rsidRPr="0007074F" w:rsidRDefault="00A33AAE" w:rsidP="000D3688">
      <w:pPr>
        <w:jc w:val="center"/>
        <w:rPr>
          <w:rFonts w:cstheme="minorHAnsi"/>
          <w:b/>
          <w:lang w:val="sr-Cyrl-CS"/>
        </w:rPr>
      </w:pPr>
    </w:p>
    <w:p w14:paraId="0ACDC94E" w14:textId="77777777" w:rsidR="00A33AAE" w:rsidRPr="0007074F" w:rsidRDefault="00A33AAE" w:rsidP="000D3688">
      <w:pPr>
        <w:jc w:val="center"/>
        <w:rPr>
          <w:rFonts w:cstheme="minorHAnsi"/>
          <w:b/>
          <w:lang w:val="sr-Cyrl-CS"/>
        </w:rPr>
      </w:pPr>
    </w:p>
    <w:p w14:paraId="13B06E6F" w14:textId="77777777" w:rsidR="00A33AAE" w:rsidRPr="0007074F" w:rsidRDefault="00A33AAE" w:rsidP="000D3688">
      <w:pPr>
        <w:jc w:val="center"/>
        <w:rPr>
          <w:rFonts w:cstheme="minorHAnsi"/>
          <w:b/>
          <w:lang w:val="sr-Cyrl-CS"/>
        </w:rPr>
      </w:pPr>
    </w:p>
    <w:p w14:paraId="72896709" w14:textId="77777777" w:rsidR="00A33AAE" w:rsidRPr="0007074F" w:rsidRDefault="00A33AAE" w:rsidP="000D3688">
      <w:pPr>
        <w:jc w:val="center"/>
        <w:rPr>
          <w:rFonts w:cstheme="minorHAnsi"/>
          <w:b/>
          <w:lang w:val="sr-Cyrl-CS"/>
        </w:rPr>
      </w:pPr>
    </w:p>
    <w:p w14:paraId="1C42AA23" w14:textId="605022B2" w:rsidR="00A33AAE" w:rsidRPr="0007074F" w:rsidRDefault="00A33AAE" w:rsidP="000D3688">
      <w:pPr>
        <w:jc w:val="center"/>
        <w:rPr>
          <w:rFonts w:cstheme="minorHAnsi"/>
          <w:b/>
          <w:color w:val="002060"/>
          <w:lang w:val="sr-Cyrl-CS"/>
        </w:rPr>
      </w:pPr>
      <w:r w:rsidRPr="0007074F">
        <w:rPr>
          <w:rFonts w:cstheme="minorHAnsi"/>
          <w:b/>
          <w:color w:val="002060"/>
          <w:lang w:val="sr-Cyrl-CS"/>
        </w:rPr>
        <w:t xml:space="preserve">Фискални резултат </w:t>
      </w:r>
      <w:r w:rsidR="00332897" w:rsidRPr="0007074F">
        <w:rPr>
          <w:rFonts w:cstheme="minorHAnsi"/>
          <w:b/>
          <w:color w:val="002060"/>
          <w:lang w:val="sr-Cyrl-CS"/>
        </w:rPr>
        <w:t xml:space="preserve">сектора </w:t>
      </w:r>
      <w:r w:rsidRPr="0007074F">
        <w:rPr>
          <w:rFonts w:cstheme="minorHAnsi"/>
          <w:b/>
          <w:color w:val="002060"/>
          <w:lang w:val="sr-Cyrl-CS"/>
        </w:rPr>
        <w:t>државе у периоду од 2015. до 2023. године, % БДП</w:t>
      </w:r>
    </w:p>
    <w:p w14:paraId="4485C520" w14:textId="77777777" w:rsidR="00A33AAE" w:rsidRPr="0007074F" w:rsidRDefault="00A33AAE" w:rsidP="000D3688">
      <w:pPr>
        <w:spacing w:after="120" w:line="276" w:lineRule="auto"/>
        <w:jc w:val="left"/>
        <w:rPr>
          <w:lang w:val="sr-Cyrl-CS"/>
        </w:rPr>
        <w:sectPr w:rsidR="00A33AAE" w:rsidRPr="0007074F" w:rsidSect="000D3688">
          <w:type w:val="continuous"/>
          <w:pgSz w:w="12240" w:h="15840" w:code="1"/>
          <w:pgMar w:top="1440" w:right="1440" w:bottom="1440" w:left="1440" w:header="720" w:footer="720" w:gutter="0"/>
          <w:cols w:num="2" w:space="720"/>
          <w:docGrid w:linePitch="360"/>
        </w:sectPr>
      </w:pPr>
      <w:r w:rsidRPr="0007074F">
        <w:rPr>
          <w:noProof/>
          <w:color w:val="2F5496" w:themeColor="accent1" w:themeShade="BF"/>
        </w:rPr>
        <w:drawing>
          <wp:inline distT="0" distB="0" distL="0" distR="0" wp14:anchorId="24A9940C" wp14:editId="024F6F17">
            <wp:extent cx="2486608" cy="2230016"/>
            <wp:effectExtent l="0" t="0" r="0" b="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r w:rsidRPr="0007074F">
        <w:rPr>
          <w:rFonts w:cstheme="minorHAnsi"/>
          <w:bCs/>
          <w:sz w:val="16"/>
          <w:szCs w:val="72"/>
          <w:lang w:val="sr-Cyrl-CS"/>
        </w:rPr>
        <w:t>Извор: Министарство финансија</w:t>
      </w:r>
    </w:p>
    <w:p w14:paraId="5AE8303E" w14:textId="77777777" w:rsidR="00A33AAE" w:rsidRPr="0007074F" w:rsidRDefault="00A33AAE" w:rsidP="000D3688">
      <w:pPr>
        <w:spacing w:after="120"/>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t>Табела 5. Приходи, расходи и резултат сектора државе у 2023. години, у млрд динара</w:t>
      </w:r>
    </w:p>
    <w:tbl>
      <w:tblPr>
        <w:tblW w:w="4985" w:type="pct"/>
        <w:jc w:val="center"/>
        <w:tblLook w:val="04A0" w:firstRow="1" w:lastRow="0" w:firstColumn="1" w:lastColumn="0" w:noHBand="0" w:noVBand="1"/>
      </w:tblPr>
      <w:tblGrid>
        <w:gridCol w:w="2886"/>
        <w:gridCol w:w="1290"/>
        <w:gridCol w:w="1292"/>
        <w:gridCol w:w="1292"/>
        <w:gridCol w:w="1292"/>
        <w:gridCol w:w="1280"/>
      </w:tblGrid>
      <w:tr w:rsidR="00A33AAE" w:rsidRPr="0007074F" w14:paraId="6C364D8C" w14:textId="77777777" w:rsidTr="000D3688">
        <w:trPr>
          <w:trHeight w:val="459"/>
          <w:tblHeader/>
          <w:jc w:val="center"/>
        </w:trPr>
        <w:tc>
          <w:tcPr>
            <w:tcW w:w="1546" w:type="pct"/>
            <w:tcBorders>
              <w:top w:val="single" w:sz="4" w:space="0" w:color="002060"/>
            </w:tcBorders>
            <w:shd w:val="clear" w:color="auto" w:fill="auto"/>
            <w:noWrap/>
            <w:vAlign w:val="center"/>
            <w:hideMark/>
          </w:tcPr>
          <w:p w14:paraId="188FAFA4" w14:textId="77777777" w:rsidR="00A33AAE" w:rsidRPr="0007074F" w:rsidRDefault="00A33AAE" w:rsidP="00E124CF">
            <w:pPr>
              <w:spacing w:after="0" w:line="240" w:lineRule="auto"/>
              <w:jc w:val="center"/>
              <w:rPr>
                <w:rFonts w:eastAsia="Times New Roman" w:cstheme="minorHAnsi"/>
                <w:bCs/>
                <w:color w:val="002060"/>
                <w:sz w:val="16"/>
                <w:szCs w:val="16"/>
                <w:lang w:val="sr-Cyrl-CS" w:eastAsia="sr-Cyrl-RS"/>
              </w:rPr>
            </w:pPr>
            <w:r w:rsidRPr="0007074F">
              <w:rPr>
                <w:rFonts w:eastAsia="Times New Roman" w:cstheme="minorHAnsi"/>
                <w:bCs/>
                <w:color w:val="002060"/>
                <w:sz w:val="16"/>
                <w:szCs w:val="16"/>
                <w:lang w:val="sr-Cyrl-CS" w:eastAsia="sr-Cyrl-RS"/>
              </w:rPr>
              <w:t> </w:t>
            </w:r>
          </w:p>
        </w:tc>
        <w:tc>
          <w:tcPr>
            <w:tcW w:w="691" w:type="pct"/>
            <w:tcBorders>
              <w:top w:val="single" w:sz="4" w:space="0" w:color="002060"/>
              <w:bottom w:val="single" w:sz="4" w:space="0" w:color="002060"/>
            </w:tcBorders>
            <w:shd w:val="clear" w:color="auto" w:fill="auto"/>
            <w:vAlign w:val="center"/>
            <w:hideMark/>
          </w:tcPr>
          <w:p w14:paraId="5B51D662" w14:textId="77777777" w:rsidR="00A33AAE" w:rsidRPr="0007074F" w:rsidRDefault="00A33AAE" w:rsidP="000D3688">
            <w:pPr>
              <w:spacing w:after="0" w:line="240" w:lineRule="auto"/>
              <w:jc w:val="center"/>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буџет 2023*</w:t>
            </w:r>
          </w:p>
        </w:tc>
        <w:tc>
          <w:tcPr>
            <w:tcW w:w="692" w:type="pct"/>
            <w:tcBorders>
              <w:top w:val="single" w:sz="4" w:space="0" w:color="002060"/>
              <w:bottom w:val="single" w:sz="4" w:space="0" w:color="002060"/>
            </w:tcBorders>
            <w:shd w:val="clear" w:color="auto" w:fill="auto"/>
            <w:vAlign w:val="center"/>
            <w:hideMark/>
          </w:tcPr>
          <w:p w14:paraId="6D9A4318" w14:textId="77777777" w:rsidR="00A33AAE" w:rsidRPr="0007074F" w:rsidRDefault="00A33AAE" w:rsidP="000D3688">
            <w:pPr>
              <w:spacing w:after="0" w:line="240" w:lineRule="auto"/>
              <w:jc w:val="center"/>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нова процена 2023*</w:t>
            </w:r>
          </w:p>
        </w:tc>
        <w:tc>
          <w:tcPr>
            <w:tcW w:w="692" w:type="pct"/>
            <w:tcBorders>
              <w:top w:val="single" w:sz="4" w:space="0" w:color="002060"/>
              <w:bottom w:val="single" w:sz="4" w:space="0" w:color="002060"/>
            </w:tcBorders>
            <w:shd w:val="clear" w:color="auto" w:fill="auto"/>
            <w:vAlign w:val="center"/>
            <w:hideMark/>
          </w:tcPr>
          <w:p w14:paraId="520CD339" w14:textId="77777777" w:rsidR="00A33AAE" w:rsidRPr="0007074F" w:rsidRDefault="00A33AAE" w:rsidP="000D3688">
            <w:pPr>
              <w:spacing w:after="0" w:line="240" w:lineRule="auto"/>
              <w:jc w:val="center"/>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Разлика новa/буџет</w:t>
            </w:r>
          </w:p>
        </w:tc>
        <w:tc>
          <w:tcPr>
            <w:tcW w:w="692" w:type="pct"/>
            <w:tcBorders>
              <w:top w:val="single" w:sz="4" w:space="0" w:color="002060"/>
              <w:bottom w:val="single" w:sz="4" w:space="0" w:color="002060"/>
            </w:tcBorders>
            <w:shd w:val="clear" w:color="auto" w:fill="auto"/>
            <w:vAlign w:val="center"/>
            <w:hideMark/>
          </w:tcPr>
          <w:p w14:paraId="511013F0" w14:textId="77777777" w:rsidR="00A33AAE" w:rsidRPr="0007074F" w:rsidRDefault="00A33AAE" w:rsidP="000D3688">
            <w:pPr>
              <w:spacing w:after="0" w:line="240" w:lineRule="auto"/>
              <w:jc w:val="center"/>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 промена</w:t>
            </w:r>
          </w:p>
        </w:tc>
        <w:tc>
          <w:tcPr>
            <w:tcW w:w="686" w:type="pct"/>
            <w:tcBorders>
              <w:top w:val="single" w:sz="4" w:space="0" w:color="002060"/>
              <w:bottom w:val="single" w:sz="4" w:space="0" w:color="002060"/>
            </w:tcBorders>
            <w:shd w:val="clear" w:color="auto" w:fill="auto"/>
            <w:vAlign w:val="center"/>
            <w:hideMark/>
          </w:tcPr>
          <w:p w14:paraId="70D9BD0B" w14:textId="77777777" w:rsidR="00A33AAE" w:rsidRPr="0007074F" w:rsidRDefault="00A33AAE" w:rsidP="000D3688">
            <w:pPr>
              <w:spacing w:after="0" w:line="240" w:lineRule="auto"/>
              <w:jc w:val="center"/>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2023 нова пр. % БДП</w:t>
            </w:r>
          </w:p>
        </w:tc>
      </w:tr>
      <w:tr w:rsidR="00A33AAE" w:rsidRPr="0007074F" w14:paraId="375535CF" w14:textId="77777777" w:rsidTr="000D3688">
        <w:trPr>
          <w:trHeight w:val="227"/>
          <w:jc w:val="center"/>
        </w:trPr>
        <w:tc>
          <w:tcPr>
            <w:tcW w:w="1546" w:type="pct"/>
            <w:shd w:val="clear" w:color="auto" w:fill="E7E6E6" w:themeFill="background2"/>
            <w:noWrap/>
            <w:vAlign w:val="center"/>
            <w:hideMark/>
          </w:tcPr>
          <w:p w14:paraId="7A49EC1E" w14:textId="77777777" w:rsidR="00A33AAE" w:rsidRPr="0007074F" w:rsidRDefault="00A33AAE" w:rsidP="000D3688">
            <w:pPr>
              <w:spacing w:after="0" w:line="240" w:lineRule="auto"/>
              <w:jc w:val="left"/>
              <w:rPr>
                <w:rFonts w:cstheme="minorHAnsi"/>
                <w:color w:val="002060"/>
                <w:sz w:val="16"/>
                <w:szCs w:val="16"/>
                <w:lang w:val="sr-Cyrl-CS"/>
              </w:rPr>
            </w:pPr>
            <w:r w:rsidRPr="0007074F">
              <w:rPr>
                <w:rFonts w:eastAsia="MS PGothic" w:cstheme="minorHAnsi"/>
                <w:color w:val="002060"/>
                <w:sz w:val="16"/>
                <w:szCs w:val="16"/>
                <w:lang w:val="sr-Cyrl-CS" w:eastAsia="ja-JP"/>
              </w:rPr>
              <w:t>ЈАВНИ ПРИХОДИ</w:t>
            </w:r>
          </w:p>
        </w:tc>
        <w:tc>
          <w:tcPr>
            <w:tcW w:w="691" w:type="pct"/>
            <w:tcBorders>
              <w:top w:val="single" w:sz="4" w:space="0" w:color="002060"/>
            </w:tcBorders>
            <w:shd w:val="clear" w:color="auto" w:fill="E7E6E6" w:themeFill="background2"/>
            <w:hideMark/>
          </w:tcPr>
          <w:p w14:paraId="00F4294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3.312,9</w:t>
            </w:r>
          </w:p>
        </w:tc>
        <w:tc>
          <w:tcPr>
            <w:tcW w:w="692" w:type="pct"/>
            <w:tcBorders>
              <w:top w:val="single" w:sz="4" w:space="0" w:color="002060"/>
            </w:tcBorders>
            <w:shd w:val="clear" w:color="auto" w:fill="E7E6E6" w:themeFill="background2"/>
            <w:noWrap/>
            <w:hideMark/>
          </w:tcPr>
          <w:p w14:paraId="31E004F9"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3.389,5</w:t>
            </w:r>
          </w:p>
        </w:tc>
        <w:tc>
          <w:tcPr>
            <w:tcW w:w="692" w:type="pct"/>
            <w:tcBorders>
              <w:top w:val="single" w:sz="4" w:space="0" w:color="002060"/>
            </w:tcBorders>
            <w:shd w:val="clear" w:color="auto" w:fill="E7E6E6" w:themeFill="background2"/>
            <w:hideMark/>
          </w:tcPr>
          <w:p w14:paraId="7A2B942E"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76,6</w:t>
            </w:r>
          </w:p>
        </w:tc>
        <w:tc>
          <w:tcPr>
            <w:tcW w:w="692" w:type="pct"/>
            <w:tcBorders>
              <w:top w:val="single" w:sz="4" w:space="0" w:color="002060"/>
            </w:tcBorders>
            <w:shd w:val="clear" w:color="auto" w:fill="E7E6E6" w:themeFill="background2"/>
            <w:hideMark/>
          </w:tcPr>
          <w:p w14:paraId="74E0983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2,3</w:t>
            </w:r>
          </w:p>
        </w:tc>
        <w:tc>
          <w:tcPr>
            <w:tcW w:w="686" w:type="pct"/>
            <w:tcBorders>
              <w:top w:val="single" w:sz="4" w:space="0" w:color="002060"/>
            </w:tcBorders>
            <w:shd w:val="clear" w:color="auto" w:fill="E7E6E6" w:themeFill="background2"/>
            <w:noWrap/>
            <w:hideMark/>
          </w:tcPr>
          <w:p w14:paraId="673D5791"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41,8</w:t>
            </w:r>
          </w:p>
        </w:tc>
      </w:tr>
      <w:tr w:rsidR="00A33AAE" w:rsidRPr="0007074F" w14:paraId="34BB8CC7" w14:textId="77777777" w:rsidTr="000D3688">
        <w:trPr>
          <w:trHeight w:val="227"/>
          <w:jc w:val="center"/>
        </w:trPr>
        <w:tc>
          <w:tcPr>
            <w:tcW w:w="1546" w:type="pct"/>
            <w:shd w:val="clear" w:color="auto" w:fill="auto"/>
            <w:noWrap/>
            <w:vAlign w:val="center"/>
            <w:hideMark/>
          </w:tcPr>
          <w:p w14:paraId="5AFE21C3"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Текући приходи</w:t>
            </w:r>
          </w:p>
        </w:tc>
        <w:tc>
          <w:tcPr>
            <w:tcW w:w="691" w:type="pct"/>
            <w:shd w:val="clear" w:color="auto" w:fill="auto"/>
            <w:hideMark/>
          </w:tcPr>
          <w:p w14:paraId="62620E54"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3.259,5</w:t>
            </w:r>
          </w:p>
        </w:tc>
        <w:tc>
          <w:tcPr>
            <w:tcW w:w="692" w:type="pct"/>
            <w:shd w:val="clear" w:color="auto" w:fill="auto"/>
            <w:noWrap/>
            <w:hideMark/>
          </w:tcPr>
          <w:p w14:paraId="66CC9A35"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3.336,1</w:t>
            </w:r>
          </w:p>
        </w:tc>
        <w:tc>
          <w:tcPr>
            <w:tcW w:w="692" w:type="pct"/>
            <w:shd w:val="clear" w:color="auto" w:fill="auto"/>
            <w:hideMark/>
          </w:tcPr>
          <w:p w14:paraId="5244E075"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76,6</w:t>
            </w:r>
          </w:p>
        </w:tc>
        <w:tc>
          <w:tcPr>
            <w:tcW w:w="692" w:type="pct"/>
            <w:shd w:val="clear" w:color="auto" w:fill="auto"/>
            <w:hideMark/>
          </w:tcPr>
          <w:p w14:paraId="3763D65A"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2,3</w:t>
            </w:r>
          </w:p>
        </w:tc>
        <w:tc>
          <w:tcPr>
            <w:tcW w:w="686" w:type="pct"/>
            <w:shd w:val="clear" w:color="auto" w:fill="auto"/>
            <w:noWrap/>
            <w:hideMark/>
          </w:tcPr>
          <w:p w14:paraId="0C22F91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41,2</w:t>
            </w:r>
          </w:p>
        </w:tc>
      </w:tr>
      <w:tr w:rsidR="00A33AAE" w:rsidRPr="0007074F" w14:paraId="0F3EBC95" w14:textId="77777777" w:rsidTr="000D3688">
        <w:trPr>
          <w:trHeight w:val="227"/>
          <w:jc w:val="center"/>
        </w:trPr>
        <w:tc>
          <w:tcPr>
            <w:tcW w:w="1546" w:type="pct"/>
            <w:shd w:val="clear" w:color="auto" w:fill="auto"/>
            <w:noWrap/>
            <w:vAlign w:val="center"/>
            <w:hideMark/>
          </w:tcPr>
          <w:p w14:paraId="1A146D76"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Порески приходи</w:t>
            </w:r>
          </w:p>
        </w:tc>
        <w:tc>
          <w:tcPr>
            <w:tcW w:w="691" w:type="pct"/>
            <w:shd w:val="clear" w:color="auto" w:fill="auto"/>
            <w:hideMark/>
          </w:tcPr>
          <w:p w14:paraId="1CB80011"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2.936,1</w:t>
            </w:r>
          </w:p>
        </w:tc>
        <w:tc>
          <w:tcPr>
            <w:tcW w:w="692" w:type="pct"/>
            <w:shd w:val="clear" w:color="auto" w:fill="auto"/>
            <w:hideMark/>
          </w:tcPr>
          <w:p w14:paraId="59E7487E"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3.001,7</w:t>
            </w:r>
          </w:p>
        </w:tc>
        <w:tc>
          <w:tcPr>
            <w:tcW w:w="692" w:type="pct"/>
            <w:shd w:val="clear" w:color="auto" w:fill="auto"/>
            <w:hideMark/>
          </w:tcPr>
          <w:p w14:paraId="18D4EC15"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65,6</w:t>
            </w:r>
          </w:p>
        </w:tc>
        <w:tc>
          <w:tcPr>
            <w:tcW w:w="692" w:type="pct"/>
            <w:shd w:val="clear" w:color="auto" w:fill="auto"/>
            <w:hideMark/>
          </w:tcPr>
          <w:p w14:paraId="3B71A118"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2,2</w:t>
            </w:r>
          </w:p>
        </w:tc>
        <w:tc>
          <w:tcPr>
            <w:tcW w:w="686" w:type="pct"/>
            <w:shd w:val="clear" w:color="auto" w:fill="auto"/>
            <w:noWrap/>
            <w:hideMark/>
          </w:tcPr>
          <w:p w14:paraId="113DE9CB"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37,0</w:t>
            </w:r>
          </w:p>
        </w:tc>
      </w:tr>
      <w:tr w:rsidR="00A33AAE" w:rsidRPr="0007074F" w14:paraId="5485CE4B" w14:textId="77777777" w:rsidTr="000D3688">
        <w:trPr>
          <w:trHeight w:val="227"/>
          <w:jc w:val="center"/>
        </w:trPr>
        <w:tc>
          <w:tcPr>
            <w:tcW w:w="1546" w:type="pct"/>
            <w:shd w:val="clear" w:color="auto" w:fill="auto"/>
            <w:noWrap/>
            <w:vAlign w:val="center"/>
            <w:hideMark/>
          </w:tcPr>
          <w:p w14:paraId="74D55D91"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Порез на доходак грађана</w:t>
            </w:r>
          </w:p>
        </w:tc>
        <w:tc>
          <w:tcPr>
            <w:tcW w:w="691" w:type="pct"/>
            <w:shd w:val="clear" w:color="auto" w:fill="auto"/>
            <w:hideMark/>
          </w:tcPr>
          <w:p w14:paraId="387381C8"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325,3</w:t>
            </w:r>
          </w:p>
        </w:tc>
        <w:tc>
          <w:tcPr>
            <w:tcW w:w="692" w:type="pct"/>
            <w:shd w:val="clear" w:color="auto" w:fill="auto"/>
            <w:noWrap/>
            <w:hideMark/>
          </w:tcPr>
          <w:p w14:paraId="4246A41B"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333,0</w:t>
            </w:r>
          </w:p>
        </w:tc>
        <w:tc>
          <w:tcPr>
            <w:tcW w:w="692" w:type="pct"/>
            <w:shd w:val="clear" w:color="auto" w:fill="auto"/>
            <w:hideMark/>
          </w:tcPr>
          <w:p w14:paraId="2B128078"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7,7</w:t>
            </w:r>
          </w:p>
        </w:tc>
        <w:tc>
          <w:tcPr>
            <w:tcW w:w="692" w:type="pct"/>
            <w:shd w:val="clear" w:color="auto" w:fill="auto"/>
            <w:hideMark/>
          </w:tcPr>
          <w:p w14:paraId="7FD73B34"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2,4</w:t>
            </w:r>
          </w:p>
        </w:tc>
        <w:tc>
          <w:tcPr>
            <w:tcW w:w="686" w:type="pct"/>
            <w:shd w:val="clear" w:color="auto" w:fill="auto"/>
            <w:noWrap/>
            <w:hideMark/>
          </w:tcPr>
          <w:p w14:paraId="7F074242"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4,1</w:t>
            </w:r>
          </w:p>
        </w:tc>
      </w:tr>
      <w:tr w:rsidR="00A33AAE" w:rsidRPr="0007074F" w14:paraId="5F9525A2" w14:textId="77777777" w:rsidTr="000D3688">
        <w:trPr>
          <w:trHeight w:val="227"/>
          <w:jc w:val="center"/>
        </w:trPr>
        <w:tc>
          <w:tcPr>
            <w:tcW w:w="1546" w:type="pct"/>
            <w:shd w:val="clear" w:color="auto" w:fill="auto"/>
            <w:noWrap/>
            <w:vAlign w:val="center"/>
            <w:hideMark/>
          </w:tcPr>
          <w:p w14:paraId="2C47F7E0"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Порез на добит правних лица</w:t>
            </w:r>
          </w:p>
        </w:tc>
        <w:tc>
          <w:tcPr>
            <w:tcW w:w="691" w:type="pct"/>
            <w:shd w:val="clear" w:color="auto" w:fill="auto"/>
            <w:hideMark/>
          </w:tcPr>
          <w:p w14:paraId="5FFD240A"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212,2</w:t>
            </w:r>
          </w:p>
        </w:tc>
        <w:tc>
          <w:tcPr>
            <w:tcW w:w="692" w:type="pct"/>
            <w:shd w:val="clear" w:color="auto" w:fill="auto"/>
            <w:noWrap/>
            <w:hideMark/>
          </w:tcPr>
          <w:p w14:paraId="0D5C8168"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219,2</w:t>
            </w:r>
          </w:p>
        </w:tc>
        <w:tc>
          <w:tcPr>
            <w:tcW w:w="692" w:type="pct"/>
            <w:shd w:val="clear" w:color="auto" w:fill="auto"/>
            <w:hideMark/>
          </w:tcPr>
          <w:p w14:paraId="30DD2A3B"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7,0</w:t>
            </w:r>
          </w:p>
        </w:tc>
        <w:tc>
          <w:tcPr>
            <w:tcW w:w="692" w:type="pct"/>
            <w:shd w:val="clear" w:color="auto" w:fill="auto"/>
            <w:hideMark/>
          </w:tcPr>
          <w:p w14:paraId="2FA9DCCC"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3,3</w:t>
            </w:r>
          </w:p>
        </w:tc>
        <w:tc>
          <w:tcPr>
            <w:tcW w:w="686" w:type="pct"/>
            <w:shd w:val="clear" w:color="auto" w:fill="auto"/>
            <w:noWrap/>
            <w:hideMark/>
          </w:tcPr>
          <w:p w14:paraId="22883CE7"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2,7</w:t>
            </w:r>
          </w:p>
        </w:tc>
      </w:tr>
      <w:tr w:rsidR="00A33AAE" w:rsidRPr="0007074F" w14:paraId="5C1AE69A" w14:textId="77777777" w:rsidTr="000D3688">
        <w:trPr>
          <w:trHeight w:val="227"/>
          <w:jc w:val="center"/>
        </w:trPr>
        <w:tc>
          <w:tcPr>
            <w:tcW w:w="1546" w:type="pct"/>
            <w:shd w:val="clear" w:color="auto" w:fill="auto"/>
            <w:noWrap/>
            <w:vAlign w:val="center"/>
            <w:hideMark/>
          </w:tcPr>
          <w:p w14:paraId="77D1AF22"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ПДВ</w:t>
            </w:r>
          </w:p>
        </w:tc>
        <w:tc>
          <w:tcPr>
            <w:tcW w:w="691" w:type="pct"/>
            <w:shd w:val="clear" w:color="auto" w:fill="auto"/>
            <w:hideMark/>
          </w:tcPr>
          <w:p w14:paraId="4238B22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865,0</w:t>
            </w:r>
          </w:p>
        </w:tc>
        <w:tc>
          <w:tcPr>
            <w:tcW w:w="692" w:type="pct"/>
            <w:shd w:val="clear" w:color="auto" w:fill="auto"/>
            <w:noWrap/>
            <w:hideMark/>
          </w:tcPr>
          <w:p w14:paraId="14172CF4"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865,0</w:t>
            </w:r>
          </w:p>
        </w:tc>
        <w:tc>
          <w:tcPr>
            <w:tcW w:w="692" w:type="pct"/>
            <w:shd w:val="clear" w:color="auto" w:fill="auto"/>
            <w:hideMark/>
          </w:tcPr>
          <w:p w14:paraId="58245B9D"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0,0</w:t>
            </w:r>
          </w:p>
        </w:tc>
        <w:tc>
          <w:tcPr>
            <w:tcW w:w="692" w:type="pct"/>
            <w:shd w:val="clear" w:color="auto" w:fill="auto"/>
            <w:hideMark/>
          </w:tcPr>
          <w:p w14:paraId="05DB811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0,0</w:t>
            </w:r>
          </w:p>
        </w:tc>
        <w:tc>
          <w:tcPr>
            <w:tcW w:w="686" w:type="pct"/>
            <w:shd w:val="clear" w:color="auto" w:fill="auto"/>
            <w:noWrap/>
            <w:hideMark/>
          </w:tcPr>
          <w:p w14:paraId="50F4D84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10,7</w:t>
            </w:r>
          </w:p>
        </w:tc>
      </w:tr>
      <w:tr w:rsidR="00A33AAE" w:rsidRPr="0007074F" w14:paraId="22CAAA66" w14:textId="77777777" w:rsidTr="000D3688">
        <w:trPr>
          <w:trHeight w:val="227"/>
          <w:jc w:val="center"/>
        </w:trPr>
        <w:tc>
          <w:tcPr>
            <w:tcW w:w="1546" w:type="pct"/>
            <w:shd w:val="clear" w:color="auto" w:fill="auto"/>
            <w:noWrap/>
            <w:vAlign w:val="center"/>
            <w:hideMark/>
          </w:tcPr>
          <w:p w14:paraId="0F0D799D"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Акцизе</w:t>
            </w:r>
          </w:p>
        </w:tc>
        <w:tc>
          <w:tcPr>
            <w:tcW w:w="691" w:type="pct"/>
            <w:shd w:val="clear" w:color="auto" w:fill="auto"/>
            <w:hideMark/>
          </w:tcPr>
          <w:p w14:paraId="12FF4372"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332,1</w:t>
            </w:r>
          </w:p>
        </w:tc>
        <w:tc>
          <w:tcPr>
            <w:tcW w:w="692" w:type="pct"/>
            <w:shd w:val="clear" w:color="auto" w:fill="auto"/>
            <w:noWrap/>
            <w:hideMark/>
          </w:tcPr>
          <w:p w14:paraId="65CB23DC"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348,1</w:t>
            </w:r>
          </w:p>
        </w:tc>
        <w:tc>
          <w:tcPr>
            <w:tcW w:w="692" w:type="pct"/>
            <w:shd w:val="clear" w:color="auto" w:fill="auto"/>
            <w:hideMark/>
          </w:tcPr>
          <w:p w14:paraId="3D2B98A5"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16,0</w:t>
            </w:r>
          </w:p>
        </w:tc>
        <w:tc>
          <w:tcPr>
            <w:tcW w:w="692" w:type="pct"/>
            <w:shd w:val="clear" w:color="auto" w:fill="auto"/>
            <w:hideMark/>
          </w:tcPr>
          <w:p w14:paraId="4C8BD718"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4,8</w:t>
            </w:r>
          </w:p>
        </w:tc>
        <w:tc>
          <w:tcPr>
            <w:tcW w:w="686" w:type="pct"/>
            <w:shd w:val="clear" w:color="auto" w:fill="auto"/>
            <w:noWrap/>
            <w:hideMark/>
          </w:tcPr>
          <w:p w14:paraId="2BC795C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4,3</w:t>
            </w:r>
          </w:p>
        </w:tc>
      </w:tr>
      <w:tr w:rsidR="00A33AAE" w:rsidRPr="0007074F" w14:paraId="559D3145" w14:textId="77777777" w:rsidTr="000D3688">
        <w:trPr>
          <w:trHeight w:val="227"/>
          <w:jc w:val="center"/>
        </w:trPr>
        <w:tc>
          <w:tcPr>
            <w:tcW w:w="1546" w:type="pct"/>
            <w:shd w:val="clear" w:color="auto" w:fill="auto"/>
            <w:noWrap/>
            <w:vAlign w:val="center"/>
            <w:hideMark/>
          </w:tcPr>
          <w:p w14:paraId="53F7C520"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Царине</w:t>
            </w:r>
          </w:p>
        </w:tc>
        <w:tc>
          <w:tcPr>
            <w:tcW w:w="691" w:type="pct"/>
            <w:shd w:val="clear" w:color="auto" w:fill="auto"/>
            <w:hideMark/>
          </w:tcPr>
          <w:p w14:paraId="63522DB2"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86,0</w:t>
            </w:r>
          </w:p>
        </w:tc>
        <w:tc>
          <w:tcPr>
            <w:tcW w:w="692" w:type="pct"/>
            <w:shd w:val="clear" w:color="auto" w:fill="auto"/>
            <w:noWrap/>
            <w:hideMark/>
          </w:tcPr>
          <w:p w14:paraId="62AFF408"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82,6</w:t>
            </w:r>
          </w:p>
        </w:tc>
        <w:tc>
          <w:tcPr>
            <w:tcW w:w="692" w:type="pct"/>
            <w:shd w:val="clear" w:color="auto" w:fill="auto"/>
            <w:hideMark/>
          </w:tcPr>
          <w:p w14:paraId="1331C61A"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-3,4</w:t>
            </w:r>
          </w:p>
        </w:tc>
        <w:tc>
          <w:tcPr>
            <w:tcW w:w="692" w:type="pct"/>
            <w:shd w:val="clear" w:color="auto" w:fill="auto"/>
            <w:hideMark/>
          </w:tcPr>
          <w:p w14:paraId="77899C33"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-3,9</w:t>
            </w:r>
          </w:p>
        </w:tc>
        <w:tc>
          <w:tcPr>
            <w:tcW w:w="686" w:type="pct"/>
            <w:shd w:val="clear" w:color="auto" w:fill="auto"/>
            <w:noWrap/>
            <w:hideMark/>
          </w:tcPr>
          <w:p w14:paraId="753A38A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1,0</w:t>
            </w:r>
          </w:p>
        </w:tc>
      </w:tr>
      <w:tr w:rsidR="00A33AAE" w:rsidRPr="0007074F" w14:paraId="169046EE" w14:textId="77777777" w:rsidTr="000D3688">
        <w:trPr>
          <w:trHeight w:val="227"/>
          <w:jc w:val="center"/>
        </w:trPr>
        <w:tc>
          <w:tcPr>
            <w:tcW w:w="1546" w:type="pct"/>
            <w:shd w:val="clear" w:color="auto" w:fill="auto"/>
            <w:noWrap/>
            <w:vAlign w:val="center"/>
            <w:hideMark/>
          </w:tcPr>
          <w:p w14:paraId="0A77F79D"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Остали порески приходи</w:t>
            </w:r>
          </w:p>
        </w:tc>
        <w:tc>
          <w:tcPr>
            <w:tcW w:w="691" w:type="pct"/>
            <w:shd w:val="clear" w:color="auto" w:fill="auto"/>
            <w:hideMark/>
          </w:tcPr>
          <w:p w14:paraId="376309D1"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106,8</w:t>
            </w:r>
          </w:p>
        </w:tc>
        <w:tc>
          <w:tcPr>
            <w:tcW w:w="692" w:type="pct"/>
            <w:shd w:val="clear" w:color="auto" w:fill="auto"/>
            <w:noWrap/>
            <w:hideMark/>
          </w:tcPr>
          <w:p w14:paraId="6D7C713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107,3</w:t>
            </w:r>
          </w:p>
        </w:tc>
        <w:tc>
          <w:tcPr>
            <w:tcW w:w="692" w:type="pct"/>
            <w:shd w:val="clear" w:color="auto" w:fill="auto"/>
            <w:hideMark/>
          </w:tcPr>
          <w:p w14:paraId="5A102019"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0,5</w:t>
            </w:r>
          </w:p>
        </w:tc>
        <w:tc>
          <w:tcPr>
            <w:tcW w:w="692" w:type="pct"/>
            <w:shd w:val="clear" w:color="auto" w:fill="auto"/>
            <w:hideMark/>
          </w:tcPr>
          <w:p w14:paraId="37AC461C"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0,5</w:t>
            </w:r>
          </w:p>
        </w:tc>
        <w:tc>
          <w:tcPr>
            <w:tcW w:w="686" w:type="pct"/>
            <w:shd w:val="clear" w:color="auto" w:fill="auto"/>
            <w:noWrap/>
            <w:hideMark/>
          </w:tcPr>
          <w:p w14:paraId="670A70A5"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1,3</w:t>
            </w:r>
          </w:p>
        </w:tc>
      </w:tr>
      <w:tr w:rsidR="00A33AAE" w:rsidRPr="0007074F" w14:paraId="7542D3A8" w14:textId="77777777" w:rsidTr="000D3688">
        <w:trPr>
          <w:trHeight w:val="227"/>
          <w:jc w:val="center"/>
        </w:trPr>
        <w:tc>
          <w:tcPr>
            <w:tcW w:w="1546" w:type="pct"/>
            <w:shd w:val="clear" w:color="auto" w:fill="auto"/>
            <w:noWrap/>
            <w:vAlign w:val="center"/>
            <w:hideMark/>
          </w:tcPr>
          <w:p w14:paraId="37FDDBE6"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Доприноси</w:t>
            </w:r>
          </w:p>
        </w:tc>
        <w:tc>
          <w:tcPr>
            <w:tcW w:w="691" w:type="pct"/>
            <w:shd w:val="clear" w:color="auto" w:fill="auto"/>
            <w:hideMark/>
          </w:tcPr>
          <w:p w14:paraId="20E9CC51"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1.008,7</w:t>
            </w:r>
          </w:p>
        </w:tc>
        <w:tc>
          <w:tcPr>
            <w:tcW w:w="692" w:type="pct"/>
            <w:shd w:val="clear" w:color="auto" w:fill="auto"/>
            <w:noWrap/>
            <w:hideMark/>
          </w:tcPr>
          <w:p w14:paraId="444FF70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1.046,5</w:t>
            </w:r>
          </w:p>
        </w:tc>
        <w:tc>
          <w:tcPr>
            <w:tcW w:w="692" w:type="pct"/>
            <w:shd w:val="clear" w:color="auto" w:fill="auto"/>
            <w:hideMark/>
          </w:tcPr>
          <w:p w14:paraId="4AC4727A"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37,8</w:t>
            </w:r>
          </w:p>
        </w:tc>
        <w:tc>
          <w:tcPr>
            <w:tcW w:w="692" w:type="pct"/>
            <w:shd w:val="clear" w:color="auto" w:fill="auto"/>
            <w:hideMark/>
          </w:tcPr>
          <w:p w14:paraId="6D688F3B"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3,7</w:t>
            </w:r>
          </w:p>
        </w:tc>
        <w:tc>
          <w:tcPr>
            <w:tcW w:w="686" w:type="pct"/>
            <w:shd w:val="clear" w:color="auto" w:fill="auto"/>
            <w:noWrap/>
            <w:hideMark/>
          </w:tcPr>
          <w:p w14:paraId="5F4BAD43"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12,9</w:t>
            </w:r>
          </w:p>
        </w:tc>
      </w:tr>
      <w:tr w:rsidR="00A33AAE" w:rsidRPr="0007074F" w14:paraId="138EAF55" w14:textId="77777777" w:rsidTr="000D3688">
        <w:trPr>
          <w:trHeight w:val="227"/>
          <w:jc w:val="center"/>
        </w:trPr>
        <w:tc>
          <w:tcPr>
            <w:tcW w:w="1546" w:type="pct"/>
            <w:shd w:val="clear" w:color="auto" w:fill="auto"/>
            <w:noWrap/>
            <w:vAlign w:val="center"/>
            <w:hideMark/>
          </w:tcPr>
          <w:p w14:paraId="1FBEB896"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Непорески приходи</w:t>
            </w:r>
          </w:p>
        </w:tc>
        <w:tc>
          <w:tcPr>
            <w:tcW w:w="691" w:type="pct"/>
            <w:shd w:val="clear" w:color="auto" w:fill="auto"/>
            <w:hideMark/>
          </w:tcPr>
          <w:p w14:paraId="72BC235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323,3</w:t>
            </w:r>
          </w:p>
        </w:tc>
        <w:tc>
          <w:tcPr>
            <w:tcW w:w="692" w:type="pct"/>
            <w:shd w:val="clear" w:color="auto" w:fill="auto"/>
            <w:noWrap/>
            <w:hideMark/>
          </w:tcPr>
          <w:p w14:paraId="36A49A12"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334,3</w:t>
            </w:r>
          </w:p>
        </w:tc>
        <w:tc>
          <w:tcPr>
            <w:tcW w:w="692" w:type="pct"/>
            <w:shd w:val="clear" w:color="auto" w:fill="auto"/>
            <w:hideMark/>
          </w:tcPr>
          <w:p w14:paraId="63B779E1"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11,0</w:t>
            </w:r>
          </w:p>
        </w:tc>
        <w:tc>
          <w:tcPr>
            <w:tcW w:w="692" w:type="pct"/>
            <w:shd w:val="clear" w:color="auto" w:fill="auto"/>
            <w:hideMark/>
          </w:tcPr>
          <w:p w14:paraId="10CBA8AC"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3,4</w:t>
            </w:r>
          </w:p>
        </w:tc>
        <w:tc>
          <w:tcPr>
            <w:tcW w:w="686" w:type="pct"/>
            <w:shd w:val="clear" w:color="auto" w:fill="auto"/>
            <w:noWrap/>
            <w:hideMark/>
          </w:tcPr>
          <w:p w14:paraId="70129297"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4,1</w:t>
            </w:r>
          </w:p>
        </w:tc>
      </w:tr>
      <w:tr w:rsidR="00A33AAE" w:rsidRPr="0007074F" w14:paraId="23B7A788" w14:textId="77777777" w:rsidTr="000D3688">
        <w:trPr>
          <w:trHeight w:val="227"/>
          <w:jc w:val="center"/>
        </w:trPr>
        <w:tc>
          <w:tcPr>
            <w:tcW w:w="1546" w:type="pct"/>
            <w:shd w:val="clear" w:color="auto" w:fill="auto"/>
            <w:noWrap/>
            <w:vAlign w:val="center"/>
            <w:hideMark/>
          </w:tcPr>
          <w:p w14:paraId="63E908BF"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Донације</w:t>
            </w:r>
          </w:p>
        </w:tc>
        <w:tc>
          <w:tcPr>
            <w:tcW w:w="691" w:type="pct"/>
            <w:shd w:val="clear" w:color="auto" w:fill="auto"/>
            <w:hideMark/>
          </w:tcPr>
          <w:p w14:paraId="7E01826A"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53,5</w:t>
            </w:r>
          </w:p>
        </w:tc>
        <w:tc>
          <w:tcPr>
            <w:tcW w:w="692" w:type="pct"/>
            <w:shd w:val="clear" w:color="auto" w:fill="auto"/>
            <w:noWrap/>
            <w:hideMark/>
          </w:tcPr>
          <w:p w14:paraId="1AF52674"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53,5</w:t>
            </w:r>
          </w:p>
        </w:tc>
        <w:tc>
          <w:tcPr>
            <w:tcW w:w="692" w:type="pct"/>
            <w:shd w:val="clear" w:color="auto" w:fill="auto"/>
            <w:hideMark/>
          </w:tcPr>
          <w:p w14:paraId="49D0F30D"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0,0</w:t>
            </w:r>
          </w:p>
        </w:tc>
        <w:tc>
          <w:tcPr>
            <w:tcW w:w="692" w:type="pct"/>
            <w:shd w:val="clear" w:color="auto" w:fill="auto"/>
            <w:hideMark/>
          </w:tcPr>
          <w:p w14:paraId="70091B6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0,0</w:t>
            </w:r>
          </w:p>
        </w:tc>
        <w:tc>
          <w:tcPr>
            <w:tcW w:w="686" w:type="pct"/>
            <w:shd w:val="clear" w:color="auto" w:fill="auto"/>
            <w:noWrap/>
            <w:hideMark/>
          </w:tcPr>
          <w:p w14:paraId="286E1F68"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0,7</w:t>
            </w:r>
          </w:p>
        </w:tc>
      </w:tr>
      <w:tr w:rsidR="00A33AAE" w:rsidRPr="0007074F" w14:paraId="5990ECD4" w14:textId="77777777" w:rsidTr="000D3688">
        <w:trPr>
          <w:trHeight w:val="227"/>
          <w:jc w:val="center"/>
        </w:trPr>
        <w:tc>
          <w:tcPr>
            <w:tcW w:w="1546" w:type="pct"/>
            <w:shd w:val="clear" w:color="auto" w:fill="E7E6E6" w:themeFill="background2"/>
            <w:noWrap/>
            <w:vAlign w:val="center"/>
            <w:hideMark/>
          </w:tcPr>
          <w:p w14:paraId="57A2E293" w14:textId="77777777" w:rsidR="00A33AAE" w:rsidRPr="0007074F" w:rsidRDefault="00A33AAE" w:rsidP="000D3688">
            <w:pPr>
              <w:spacing w:after="0" w:line="240" w:lineRule="auto"/>
              <w:jc w:val="left"/>
              <w:rPr>
                <w:rFonts w:cstheme="minorHAnsi"/>
                <w:color w:val="002060"/>
                <w:sz w:val="16"/>
                <w:szCs w:val="16"/>
                <w:lang w:val="sr-Cyrl-CS"/>
              </w:rPr>
            </w:pPr>
            <w:r w:rsidRPr="0007074F">
              <w:rPr>
                <w:rFonts w:eastAsia="MS PGothic" w:cstheme="minorHAnsi"/>
                <w:color w:val="002060"/>
                <w:sz w:val="16"/>
                <w:szCs w:val="16"/>
                <w:lang w:val="sr-Cyrl-CS" w:eastAsia="ja-JP"/>
              </w:rPr>
              <w:t>ЈАВНИ РАСХОДИ</w:t>
            </w:r>
          </w:p>
        </w:tc>
        <w:tc>
          <w:tcPr>
            <w:tcW w:w="691" w:type="pct"/>
            <w:shd w:val="clear" w:color="auto" w:fill="E7E6E6" w:themeFill="background2"/>
            <w:hideMark/>
          </w:tcPr>
          <w:p w14:paraId="1EDAF6E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3.577,0</w:t>
            </w:r>
          </w:p>
        </w:tc>
        <w:tc>
          <w:tcPr>
            <w:tcW w:w="692" w:type="pct"/>
            <w:shd w:val="clear" w:color="auto" w:fill="E7E6E6" w:themeFill="background2"/>
            <w:noWrap/>
            <w:hideMark/>
          </w:tcPr>
          <w:p w14:paraId="513E92B2"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3.634,5</w:t>
            </w:r>
          </w:p>
        </w:tc>
        <w:tc>
          <w:tcPr>
            <w:tcW w:w="692" w:type="pct"/>
            <w:shd w:val="clear" w:color="auto" w:fill="E7E6E6" w:themeFill="background2"/>
            <w:hideMark/>
          </w:tcPr>
          <w:p w14:paraId="688E98E5"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57,6</w:t>
            </w:r>
          </w:p>
        </w:tc>
        <w:tc>
          <w:tcPr>
            <w:tcW w:w="692" w:type="pct"/>
            <w:shd w:val="clear" w:color="auto" w:fill="E7E6E6" w:themeFill="background2"/>
            <w:hideMark/>
          </w:tcPr>
          <w:p w14:paraId="418C680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1,6</w:t>
            </w:r>
          </w:p>
        </w:tc>
        <w:tc>
          <w:tcPr>
            <w:tcW w:w="686" w:type="pct"/>
            <w:shd w:val="clear" w:color="auto" w:fill="E7E6E6" w:themeFill="background2"/>
            <w:noWrap/>
            <w:hideMark/>
          </w:tcPr>
          <w:p w14:paraId="428092EA"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44,9</w:t>
            </w:r>
          </w:p>
        </w:tc>
      </w:tr>
      <w:tr w:rsidR="00A33AAE" w:rsidRPr="0007074F" w14:paraId="12B1A69A" w14:textId="77777777" w:rsidTr="000D3688">
        <w:trPr>
          <w:trHeight w:val="227"/>
          <w:jc w:val="center"/>
        </w:trPr>
        <w:tc>
          <w:tcPr>
            <w:tcW w:w="1546" w:type="pct"/>
            <w:shd w:val="clear" w:color="auto" w:fill="auto"/>
            <w:noWrap/>
            <w:vAlign w:val="center"/>
            <w:hideMark/>
          </w:tcPr>
          <w:p w14:paraId="27DA6858"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Текући расходи</w:t>
            </w:r>
          </w:p>
        </w:tc>
        <w:tc>
          <w:tcPr>
            <w:tcW w:w="691" w:type="pct"/>
            <w:shd w:val="clear" w:color="auto" w:fill="auto"/>
            <w:hideMark/>
          </w:tcPr>
          <w:p w14:paraId="00E1BDF5"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2.872,7</w:t>
            </w:r>
          </w:p>
        </w:tc>
        <w:tc>
          <w:tcPr>
            <w:tcW w:w="692" w:type="pct"/>
            <w:shd w:val="clear" w:color="auto" w:fill="auto"/>
            <w:noWrap/>
            <w:hideMark/>
          </w:tcPr>
          <w:p w14:paraId="6F410624"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2.903,4</w:t>
            </w:r>
          </w:p>
        </w:tc>
        <w:tc>
          <w:tcPr>
            <w:tcW w:w="692" w:type="pct"/>
            <w:shd w:val="clear" w:color="auto" w:fill="auto"/>
            <w:hideMark/>
          </w:tcPr>
          <w:p w14:paraId="2C957E61"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30,7</w:t>
            </w:r>
          </w:p>
        </w:tc>
        <w:tc>
          <w:tcPr>
            <w:tcW w:w="692" w:type="pct"/>
            <w:shd w:val="clear" w:color="auto" w:fill="auto"/>
            <w:hideMark/>
          </w:tcPr>
          <w:p w14:paraId="7E1E1272"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1,1</w:t>
            </w:r>
          </w:p>
        </w:tc>
        <w:tc>
          <w:tcPr>
            <w:tcW w:w="686" w:type="pct"/>
            <w:shd w:val="clear" w:color="auto" w:fill="auto"/>
            <w:noWrap/>
            <w:hideMark/>
          </w:tcPr>
          <w:p w14:paraId="62B69CFE"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35,8</w:t>
            </w:r>
          </w:p>
        </w:tc>
      </w:tr>
      <w:tr w:rsidR="00A33AAE" w:rsidRPr="0007074F" w14:paraId="64CD0BDE" w14:textId="77777777" w:rsidTr="000D3688">
        <w:trPr>
          <w:trHeight w:val="227"/>
          <w:jc w:val="center"/>
        </w:trPr>
        <w:tc>
          <w:tcPr>
            <w:tcW w:w="1546" w:type="pct"/>
            <w:shd w:val="clear" w:color="auto" w:fill="auto"/>
            <w:noWrap/>
            <w:vAlign w:val="center"/>
            <w:hideMark/>
          </w:tcPr>
          <w:p w14:paraId="44510BC1"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Расходи за запослене</w:t>
            </w:r>
          </w:p>
        </w:tc>
        <w:tc>
          <w:tcPr>
            <w:tcW w:w="691" w:type="pct"/>
            <w:shd w:val="clear" w:color="auto" w:fill="auto"/>
            <w:hideMark/>
          </w:tcPr>
          <w:p w14:paraId="743CD29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779,4</w:t>
            </w:r>
          </w:p>
        </w:tc>
        <w:tc>
          <w:tcPr>
            <w:tcW w:w="692" w:type="pct"/>
            <w:shd w:val="clear" w:color="auto" w:fill="auto"/>
            <w:noWrap/>
            <w:hideMark/>
          </w:tcPr>
          <w:p w14:paraId="5C67BEC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779,4</w:t>
            </w:r>
          </w:p>
        </w:tc>
        <w:tc>
          <w:tcPr>
            <w:tcW w:w="692" w:type="pct"/>
            <w:shd w:val="clear" w:color="auto" w:fill="auto"/>
            <w:hideMark/>
          </w:tcPr>
          <w:p w14:paraId="130E9C8E"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0,0</w:t>
            </w:r>
          </w:p>
        </w:tc>
        <w:tc>
          <w:tcPr>
            <w:tcW w:w="692" w:type="pct"/>
            <w:shd w:val="clear" w:color="auto" w:fill="auto"/>
            <w:hideMark/>
          </w:tcPr>
          <w:p w14:paraId="3298B945"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0,0</w:t>
            </w:r>
          </w:p>
        </w:tc>
        <w:tc>
          <w:tcPr>
            <w:tcW w:w="686" w:type="pct"/>
            <w:shd w:val="clear" w:color="auto" w:fill="auto"/>
            <w:noWrap/>
            <w:hideMark/>
          </w:tcPr>
          <w:p w14:paraId="2808630F"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9,6</w:t>
            </w:r>
          </w:p>
        </w:tc>
      </w:tr>
      <w:tr w:rsidR="00A33AAE" w:rsidRPr="0007074F" w14:paraId="192C7F2A" w14:textId="77777777" w:rsidTr="000D3688">
        <w:trPr>
          <w:trHeight w:val="227"/>
          <w:jc w:val="center"/>
        </w:trPr>
        <w:tc>
          <w:tcPr>
            <w:tcW w:w="1546" w:type="pct"/>
            <w:shd w:val="clear" w:color="auto" w:fill="auto"/>
            <w:noWrap/>
            <w:vAlign w:val="center"/>
            <w:hideMark/>
          </w:tcPr>
          <w:p w14:paraId="294D2030"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Куповина робе и услуга</w:t>
            </w:r>
          </w:p>
        </w:tc>
        <w:tc>
          <w:tcPr>
            <w:tcW w:w="691" w:type="pct"/>
            <w:shd w:val="clear" w:color="auto" w:fill="auto"/>
            <w:hideMark/>
          </w:tcPr>
          <w:p w14:paraId="0ED8916E"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591,2</w:t>
            </w:r>
          </w:p>
        </w:tc>
        <w:tc>
          <w:tcPr>
            <w:tcW w:w="692" w:type="pct"/>
            <w:shd w:val="clear" w:color="auto" w:fill="auto"/>
            <w:noWrap/>
            <w:hideMark/>
          </w:tcPr>
          <w:p w14:paraId="254FE11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605,3</w:t>
            </w:r>
          </w:p>
        </w:tc>
        <w:tc>
          <w:tcPr>
            <w:tcW w:w="692" w:type="pct"/>
            <w:shd w:val="clear" w:color="auto" w:fill="auto"/>
            <w:hideMark/>
          </w:tcPr>
          <w:p w14:paraId="047ABE58"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14,1</w:t>
            </w:r>
          </w:p>
        </w:tc>
        <w:tc>
          <w:tcPr>
            <w:tcW w:w="692" w:type="pct"/>
            <w:shd w:val="clear" w:color="auto" w:fill="auto"/>
            <w:hideMark/>
          </w:tcPr>
          <w:p w14:paraId="73E4F608"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2,4</w:t>
            </w:r>
          </w:p>
        </w:tc>
        <w:tc>
          <w:tcPr>
            <w:tcW w:w="686" w:type="pct"/>
            <w:shd w:val="clear" w:color="auto" w:fill="auto"/>
            <w:noWrap/>
            <w:hideMark/>
          </w:tcPr>
          <w:p w14:paraId="31BF765C"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7,5</w:t>
            </w:r>
          </w:p>
        </w:tc>
      </w:tr>
      <w:tr w:rsidR="00A33AAE" w:rsidRPr="0007074F" w14:paraId="3B8CD4D1" w14:textId="77777777" w:rsidTr="000D3688">
        <w:trPr>
          <w:trHeight w:val="227"/>
          <w:jc w:val="center"/>
        </w:trPr>
        <w:tc>
          <w:tcPr>
            <w:tcW w:w="1546" w:type="pct"/>
            <w:shd w:val="clear" w:color="auto" w:fill="auto"/>
            <w:noWrap/>
            <w:vAlign w:val="center"/>
            <w:hideMark/>
          </w:tcPr>
          <w:p w14:paraId="5B173CA2"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Отплата камата</w:t>
            </w:r>
          </w:p>
        </w:tc>
        <w:tc>
          <w:tcPr>
            <w:tcW w:w="691" w:type="pct"/>
            <w:shd w:val="clear" w:color="auto" w:fill="auto"/>
            <w:hideMark/>
          </w:tcPr>
          <w:p w14:paraId="257DEC8B"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146,1</w:t>
            </w:r>
          </w:p>
        </w:tc>
        <w:tc>
          <w:tcPr>
            <w:tcW w:w="692" w:type="pct"/>
            <w:shd w:val="clear" w:color="auto" w:fill="auto"/>
            <w:noWrap/>
            <w:hideMark/>
          </w:tcPr>
          <w:p w14:paraId="6AE8543B"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146,1</w:t>
            </w:r>
          </w:p>
        </w:tc>
        <w:tc>
          <w:tcPr>
            <w:tcW w:w="692" w:type="pct"/>
            <w:shd w:val="clear" w:color="auto" w:fill="auto"/>
            <w:hideMark/>
          </w:tcPr>
          <w:p w14:paraId="6DF43D10"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0,0</w:t>
            </w:r>
          </w:p>
        </w:tc>
        <w:tc>
          <w:tcPr>
            <w:tcW w:w="692" w:type="pct"/>
            <w:shd w:val="clear" w:color="auto" w:fill="auto"/>
            <w:hideMark/>
          </w:tcPr>
          <w:p w14:paraId="4DD782BA"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0,0</w:t>
            </w:r>
          </w:p>
        </w:tc>
        <w:tc>
          <w:tcPr>
            <w:tcW w:w="686" w:type="pct"/>
            <w:shd w:val="clear" w:color="auto" w:fill="auto"/>
            <w:noWrap/>
            <w:hideMark/>
          </w:tcPr>
          <w:p w14:paraId="5FBEF368"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1,8</w:t>
            </w:r>
          </w:p>
        </w:tc>
      </w:tr>
      <w:tr w:rsidR="00A33AAE" w:rsidRPr="0007074F" w14:paraId="1C4FC1AA" w14:textId="77777777" w:rsidTr="000D3688">
        <w:trPr>
          <w:trHeight w:val="227"/>
          <w:jc w:val="center"/>
        </w:trPr>
        <w:tc>
          <w:tcPr>
            <w:tcW w:w="1546" w:type="pct"/>
            <w:shd w:val="clear" w:color="auto" w:fill="auto"/>
            <w:noWrap/>
            <w:vAlign w:val="center"/>
            <w:hideMark/>
          </w:tcPr>
          <w:p w14:paraId="24CD2F51"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Субвенције</w:t>
            </w:r>
          </w:p>
        </w:tc>
        <w:tc>
          <w:tcPr>
            <w:tcW w:w="691" w:type="pct"/>
            <w:shd w:val="clear" w:color="auto" w:fill="auto"/>
            <w:hideMark/>
          </w:tcPr>
          <w:p w14:paraId="6E9D04A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220,1</w:t>
            </w:r>
          </w:p>
        </w:tc>
        <w:tc>
          <w:tcPr>
            <w:tcW w:w="692" w:type="pct"/>
            <w:shd w:val="clear" w:color="auto" w:fill="auto"/>
            <w:noWrap/>
            <w:hideMark/>
          </w:tcPr>
          <w:p w14:paraId="18C8466C"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234,6</w:t>
            </w:r>
          </w:p>
        </w:tc>
        <w:tc>
          <w:tcPr>
            <w:tcW w:w="692" w:type="pct"/>
            <w:shd w:val="clear" w:color="auto" w:fill="auto"/>
            <w:hideMark/>
          </w:tcPr>
          <w:p w14:paraId="56426949"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14,5</w:t>
            </w:r>
          </w:p>
        </w:tc>
        <w:tc>
          <w:tcPr>
            <w:tcW w:w="692" w:type="pct"/>
            <w:shd w:val="clear" w:color="auto" w:fill="auto"/>
            <w:hideMark/>
          </w:tcPr>
          <w:p w14:paraId="4CCDFD5F"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6,6</w:t>
            </w:r>
          </w:p>
        </w:tc>
        <w:tc>
          <w:tcPr>
            <w:tcW w:w="686" w:type="pct"/>
            <w:shd w:val="clear" w:color="auto" w:fill="auto"/>
            <w:noWrap/>
            <w:hideMark/>
          </w:tcPr>
          <w:p w14:paraId="157DF5EA"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2,9</w:t>
            </w:r>
          </w:p>
        </w:tc>
      </w:tr>
      <w:tr w:rsidR="00A33AAE" w:rsidRPr="0007074F" w14:paraId="704D31A6" w14:textId="77777777" w:rsidTr="000D3688">
        <w:trPr>
          <w:trHeight w:val="227"/>
          <w:jc w:val="center"/>
        </w:trPr>
        <w:tc>
          <w:tcPr>
            <w:tcW w:w="1546" w:type="pct"/>
            <w:shd w:val="clear" w:color="auto" w:fill="auto"/>
            <w:noWrap/>
            <w:vAlign w:val="center"/>
            <w:hideMark/>
          </w:tcPr>
          <w:p w14:paraId="3AC55E51"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Социјална помоћ и трансфери</w:t>
            </w:r>
          </w:p>
        </w:tc>
        <w:tc>
          <w:tcPr>
            <w:tcW w:w="691" w:type="pct"/>
            <w:shd w:val="clear" w:color="auto" w:fill="auto"/>
            <w:hideMark/>
          </w:tcPr>
          <w:p w14:paraId="40C00ECF"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1.038,2</w:t>
            </w:r>
          </w:p>
        </w:tc>
        <w:tc>
          <w:tcPr>
            <w:tcW w:w="692" w:type="pct"/>
            <w:shd w:val="clear" w:color="auto" w:fill="auto"/>
            <w:noWrap/>
            <w:hideMark/>
          </w:tcPr>
          <w:p w14:paraId="2304FCAF"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1.040,3</w:t>
            </w:r>
          </w:p>
        </w:tc>
        <w:tc>
          <w:tcPr>
            <w:tcW w:w="692" w:type="pct"/>
            <w:shd w:val="clear" w:color="auto" w:fill="auto"/>
            <w:hideMark/>
          </w:tcPr>
          <w:p w14:paraId="115E851E"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2,1</w:t>
            </w:r>
          </w:p>
        </w:tc>
        <w:tc>
          <w:tcPr>
            <w:tcW w:w="692" w:type="pct"/>
            <w:shd w:val="clear" w:color="auto" w:fill="auto"/>
            <w:hideMark/>
          </w:tcPr>
          <w:p w14:paraId="72258492"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0,2</w:t>
            </w:r>
          </w:p>
        </w:tc>
        <w:tc>
          <w:tcPr>
            <w:tcW w:w="686" w:type="pct"/>
            <w:shd w:val="clear" w:color="auto" w:fill="auto"/>
            <w:noWrap/>
            <w:hideMark/>
          </w:tcPr>
          <w:p w14:paraId="245BC97B"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12,8</w:t>
            </w:r>
          </w:p>
        </w:tc>
      </w:tr>
      <w:tr w:rsidR="00A33AAE" w:rsidRPr="0007074F" w14:paraId="223921D2" w14:textId="77777777" w:rsidTr="000D3688">
        <w:trPr>
          <w:trHeight w:val="227"/>
          <w:jc w:val="center"/>
        </w:trPr>
        <w:tc>
          <w:tcPr>
            <w:tcW w:w="1546" w:type="pct"/>
            <w:shd w:val="clear" w:color="auto" w:fill="auto"/>
            <w:noWrap/>
            <w:vAlign w:val="center"/>
            <w:hideMark/>
          </w:tcPr>
          <w:p w14:paraId="5C768F76"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од чега пензије</w:t>
            </w:r>
          </w:p>
        </w:tc>
        <w:tc>
          <w:tcPr>
            <w:tcW w:w="691" w:type="pct"/>
            <w:shd w:val="clear" w:color="auto" w:fill="auto"/>
            <w:hideMark/>
          </w:tcPr>
          <w:p w14:paraId="4B6A79E8"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770,0</w:t>
            </w:r>
          </w:p>
        </w:tc>
        <w:tc>
          <w:tcPr>
            <w:tcW w:w="692" w:type="pct"/>
            <w:shd w:val="clear" w:color="auto" w:fill="auto"/>
            <w:noWrap/>
            <w:hideMark/>
          </w:tcPr>
          <w:p w14:paraId="4ED3A387"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770,0</w:t>
            </w:r>
          </w:p>
        </w:tc>
        <w:tc>
          <w:tcPr>
            <w:tcW w:w="692" w:type="pct"/>
            <w:shd w:val="clear" w:color="auto" w:fill="auto"/>
            <w:hideMark/>
          </w:tcPr>
          <w:p w14:paraId="2835619D"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0,0</w:t>
            </w:r>
          </w:p>
        </w:tc>
        <w:tc>
          <w:tcPr>
            <w:tcW w:w="692" w:type="pct"/>
            <w:shd w:val="clear" w:color="auto" w:fill="auto"/>
            <w:hideMark/>
          </w:tcPr>
          <w:p w14:paraId="22EE8945"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0,0</w:t>
            </w:r>
          </w:p>
        </w:tc>
        <w:tc>
          <w:tcPr>
            <w:tcW w:w="686" w:type="pct"/>
            <w:shd w:val="clear" w:color="auto" w:fill="auto"/>
            <w:noWrap/>
            <w:hideMark/>
          </w:tcPr>
          <w:p w14:paraId="3414EF9D"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9,5</w:t>
            </w:r>
          </w:p>
        </w:tc>
      </w:tr>
      <w:tr w:rsidR="00A33AAE" w:rsidRPr="0007074F" w14:paraId="75E1C44F" w14:textId="77777777" w:rsidTr="000D3688">
        <w:trPr>
          <w:trHeight w:val="227"/>
          <w:jc w:val="center"/>
        </w:trPr>
        <w:tc>
          <w:tcPr>
            <w:tcW w:w="1546" w:type="pct"/>
            <w:shd w:val="clear" w:color="auto" w:fill="auto"/>
            <w:noWrap/>
            <w:vAlign w:val="center"/>
            <w:hideMark/>
          </w:tcPr>
          <w:p w14:paraId="04D32938"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Остали текући расходи</w:t>
            </w:r>
          </w:p>
        </w:tc>
        <w:tc>
          <w:tcPr>
            <w:tcW w:w="691" w:type="pct"/>
            <w:shd w:val="clear" w:color="auto" w:fill="auto"/>
            <w:hideMark/>
          </w:tcPr>
          <w:p w14:paraId="33E0F81A"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97,7</w:t>
            </w:r>
          </w:p>
        </w:tc>
        <w:tc>
          <w:tcPr>
            <w:tcW w:w="692" w:type="pct"/>
            <w:shd w:val="clear" w:color="auto" w:fill="auto"/>
            <w:noWrap/>
            <w:hideMark/>
          </w:tcPr>
          <w:p w14:paraId="589ABE1B"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97,8</w:t>
            </w:r>
          </w:p>
        </w:tc>
        <w:tc>
          <w:tcPr>
            <w:tcW w:w="692" w:type="pct"/>
            <w:shd w:val="clear" w:color="auto" w:fill="auto"/>
            <w:hideMark/>
          </w:tcPr>
          <w:p w14:paraId="437C08A5"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0,0</w:t>
            </w:r>
          </w:p>
        </w:tc>
        <w:tc>
          <w:tcPr>
            <w:tcW w:w="692" w:type="pct"/>
            <w:shd w:val="clear" w:color="auto" w:fill="auto"/>
            <w:hideMark/>
          </w:tcPr>
          <w:p w14:paraId="08647EEE"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0,0</w:t>
            </w:r>
          </w:p>
        </w:tc>
        <w:tc>
          <w:tcPr>
            <w:tcW w:w="686" w:type="pct"/>
            <w:shd w:val="clear" w:color="auto" w:fill="auto"/>
            <w:noWrap/>
            <w:hideMark/>
          </w:tcPr>
          <w:p w14:paraId="126633E6"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1,2</w:t>
            </w:r>
          </w:p>
        </w:tc>
      </w:tr>
      <w:tr w:rsidR="00A33AAE" w:rsidRPr="0007074F" w14:paraId="19C26E7C" w14:textId="77777777" w:rsidTr="000D3688">
        <w:trPr>
          <w:trHeight w:val="227"/>
          <w:jc w:val="center"/>
        </w:trPr>
        <w:tc>
          <w:tcPr>
            <w:tcW w:w="1546" w:type="pct"/>
            <w:shd w:val="clear" w:color="auto" w:fill="auto"/>
            <w:noWrap/>
            <w:vAlign w:val="center"/>
            <w:hideMark/>
          </w:tcPr>
          <w:p w14:paraId="71350F05"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Капитални расходи</w:t>
            </w:r>
          </w:p>
        </w:tc>
        <w:tc>
          <w:tcPr>
            <w:tcW w:w="691" w:type="pct"/>
            <w:shd w:val="clear" w:color="auto" w:fill="auto"/>
            <w:hideMark/>
          </w:tcPr>
          <w:p w14:paraId="1B8E2AA1"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561,5</w:t>
            </w:r>
          </w:p>
        </w:tc>
        <w:tc>
          <w:tcPr>
            <w:tcW w:w="692" w:type="pct"/>
            <w:shd w:val="clear" w:color="auto" w:fill="auto"/>
            <w:noWrap/>
            <w:hideMark/>
          </w:tcPr>
          <w:p w14:paraId="3806270C"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588,4</w:t>
            </w:r>
          </w:p>
        </w:tc>
        <w:tc>
          <w:tcPr>
            <w:tcW w:w="692" w:type="pct"/>
            <w:shd w:val="clear" w:color="auto" w:fill="auto"/>
            <w:hideMark/>
          </w:tcPr>
          <w:p w14:paraId="5F14D8EA"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26,9</w:t>
            </w:r>
          </w:p>
        </w:tc>
        <w:tc>
          <w:tcPr>
            <w:tcW w:w="692" w:type="pct"/>
            <w:shd w:val="clear" w:color="auto" w:fill="auto"/>
            <w:hideMark/>
          </w:tcPr>
          <w:p w14:paraId="3DD275E1"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4,8</w:t>
            </w:r>
          </w:p>
        </w:tc>
        <w:tc>
          <w:tcPr>
            <w:tcW w:w="686" w:type="pct"/>
            <w:shd w:val="clear" w:color="auto" w:fill="auto"/>
            <w:noWrap/>
            <w:hideMark/>
          </w:tcPr>
          <w:p w14:paraId="4E010FA8"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7,3</w:t>
            </w:r>
          </w:p>
        </w:tc>
      </w:tr>
      <w:tr w:rsidR="00A33AAE" w:rsidRPr="0007074F" w14:paraId="0FB15177" w14:textId="77777777" w:rsidTr="000D3688">
        <w:trPr>
          <w:trHeight w:val="227"/>
          <w:jc w:val="center"/>
        </w:trPr>
        <w:tc>
          <w:tcPr>
            <w:tcW w:w="1546" w:type="pct"/>
            <w:shd w:val="clear" w:color="auto" w:fill="auto"/>
            <w:noWrap/>
            <w:vAlign w:val="center"/>
            <w:hideMark/>
          </w:tcPr>
          <w:p w14:paraId="53154557"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Нето буџетске позајмице</w:t>
            </w:r>
          </w:p>
        </w:tc>
        <w:tc>
          <w:tcPr>
            <w:tcW w:w="691" w:type="pct"/>
            <w:shd w:val="clear" w:color="auto" w:fill="auto"/>
            <w:hideMark/>
          </w:tcPr>
          <w:p w14:paraId="72120095"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117,3</w:t>
            </w:r>
          </w:p>
        </w:tc>
        <w:tc>
          <w:tcPr>
            <w:tcW w:w="692" w:type="pct"/>
            <w:shd w:val="clear" w:color="auto" w:fill="auto"/>
            <w:noWrap/>
            <w:hideMark/>
          </w:tcPr>
          <w:p w14:paraId="37AD3623"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117,3</w:t>
            </w:r>
          </w:p>
        </w:tc>
        <w:tc>
          <w:tcPr>
            <w:tcW w:w="692" w:type="pct"/>
            <w:shd w:val="clear" w:color="auto" w:fill="auto"/>
            <w:hideMark/>
          </w:tcPr>
          <w:p w14:paraId="0B02A6AC"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0,0</w:t>
            </w:r>
          </w:p>
        </w:tc>
        <w:tc>
          <w:tcPr>
            <w:tcW w:w="692" w:type="pct"/>
            <w:shd w:val="clear" w:color="auto" w:fill="auto"/>
            <w:hideMark/>
          </w:tcPr>
          <w:p w14:paraId="7FC0D2AC"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0,0</w:t>
            </w:r>
          </w:p>
        </w:tc>
        <w:tc>
          <w:tcPr>
            <w:tcW w:w="686" w:type="pct"/>
            <w:shd w:val="clear" w:color="auto" w:fill="auto"/>
            <w:noWrap/>
            <w:hideMark/>
          </w:tcPr>
          <w:p w14:paraId="235F078C"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1,4</w:t>
            </w:r>
          </w:p>
        </w:tc>
      </w:tr>
      <w:tr w:rsidR="00A33AAE" w:rsidRPr="0007074F" w14:paraId="2EE2ECB3" w14:textId="77777777" w:rsidTr="000D3688">
        <w:trPr>
          <w:trHeight w:val="227"/>
          <w:jc w:val="center"/>
        </w:trPr>
        <w:tc>
          <w:tcPr>
            <w:tcW w:w="1546" w:type="pct"/>
            <w:shd w:val="clear" w:color="auto" w:fill="auto"/>
            <w:noWrap/>
            <w:vAlign w:val="center"/>
            <w:hideMark/>
          </w:tcPr>
          <w:p w14:paraId="208F0046" w14:textId="77777777" w:rsidR="00A33AAE" w:rsidRPr="0007074F" w:rsidRDefault="00A33AAE" w:rsidP="000D3688">
            <w:pPr>
              <w:spacing w:after="0" w:line="240" w:lineRule="auto"/>
              <w:jc w:val="left"/>
              <w:rPr>
                <w:rFonts w:eastAsia="MS PGothic" w:cstheme="minorHAnsi"/>
                <w:color w:val="002060"/>
                <w:sz w:val="16"/>
                <w:szCs w:val="16"/>
                <w:lang w:val="sr-Cyrl-CS" w:eastAsia="ja-JP"/>
              </w:rPr>
            </w:pPr>
            <w:r w:rsidRPr="0007074F">
              <w:rPr>
                <w:rFonts w:eastAsia="MS PGothic" w:cstheme="minorHAnsi"/>
                <w:color w:val="002060"/>
                <w:sz w:val="16"/>
                <w:szCs w:val="16"/>
                <w:lang w:val="sr-Cyrl-CS" w:eastAsia="ja-JP"/>
              </w:rPr>
              <w:t>Активиране гаранције</w:t>
            </w:r>
          </w:p>
        </w:tc>
        <w:tc>
          <w:tcPr>
            <w:tcW w:w="691" w:type="pct"/>
            <w:shd w:val="clear" w:color="auto" w:fill="auto"/>
            <w:hideMark/>
          </w:tcPr>
          <w:p w14:paraId="290A4031"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25,5</w:t>
            </w:r>
          </w:p>
        </w:tc>
        <w:tc>
          <w:tcPr>
            <w:tcW w:w="692" w:type="pct"/>
            <w:shd w:val="clear" w:color="auto" w:fill="auto"/>
            <w:noWrap/>
            <w:hideMark/>
          </w:tcPr>
          <w:p w14:paraId="094D6B93"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25,5</w:t>
            </w:r>
          </w:p>
        </w:tc>
        <w:tc>
          <w:tcPr>
            <w:tcW w:w="692" w:type="pct"/>
            <w:shd w:val="clear" w:color="auto" w:fill="auto"/>
            <w:hideMark/>
          </w:tcPr>
          <w:p w14:paraId="7A249CB9"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0,0</w:t>
            </w:r>
          </w:p>
        </w:tc>
        <w:tc>
          <w:tcPr>
            <w:tcW w:w="692" w:type="pct"/>
            <w:shd w:val="clear" w:color="auto" w:fill="auto"/>
            <w:hideMark/>
          </w:tcPr>
          <w:p w14:paraId="699D597E"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0,0</w:t>
            </w:r>
          </w:p>
        </w:tc>
        <w:tc>
          <w:tcPr>
            <w:tcW w:w="686" w:type="pct"/>
            <w:shd w:val="clear" w:color="auto" w:fill="auto"/>
            <w:noWrap/>
            <w:hideMark/>
          </w:tcPr>
          <w:p w14:paraId="547F3361"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0,3</w:t>
            </w:r>
          </w:p>
        </w:tc>
      </w:tr>
      <w:tr w:rsidR="00A33AAE" w:rsidRPr="0007074F" w14:paraId="39EE315B" w14:textId="77777777" w:rsidTr="000D3688">
        <w:trPr>
          <w:trHeight w:val="227"/>
          <w:jc w:val="center"/>
        </w:trPr>
        <w:tc>
          <w:tcPr>
            <w:tcW w:w="1546" w:type="pct"/>
            <w:shd w:val="clear" w:color="auto" w:fill="E7E6E6" w:themeFill="background2"/>
            <w:noWrap/>
            <w:vAlign w:val="center"/>
            <w:hideMark/>
          </w:tcPr>
          <w:p w14:paraId="529F6E69" w14:textId="77777777" w:rsidR="00A33AAE" w:rsidRPr="0007074F" w:rsidRDefault="00A33AAE" w:rsidP="000D3688">
            <w:pPr>
              <w:spacing w:after="0" w:line="240" w:lineRule="auto"/>
              <w:jc w:val="left"/>
              <w:rPr>
                <w:rFonts w:cstheme="minorHAnsi"/>
                <w:color w:val="002060"/>
                <w:sz w:val="16"/>
                <w:szCs w:val="16"/>
                <w:lang w:val="sr-Cyrl-CS"/>
              </w:rPr>
            </w:pPr>
            <w:r w:rsidRPr="0007074F">
              <w:rPr>
                <w:rFonts w:eastAsia="MS PGothic" w:cstheme="minorHAnsi"/>
                <w:color w:val="002060"/>
                <w:sz w:val="16"/>
                <w:szCs w:val="16"/>
                <w:lang w:val="sr-Cyrl-CS" w:eastAsia="ja-JP"/>
              </w:rPr>
              <w:t>Резултат</w:t>
            </w:r>
          </w:p>
        </w:tc>
        <w:tc>
          <w:tcPr>
            <w:tcW w:w="691" w:type="pct"/>
            <w:shd w:val="clear" w:color="auto" w:fill="E7E6E6" w:themeFill="background2"/>
            <w:hideMark/>
          </w:tcPr>
          <w:p w14:paraId="495B94C0"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-264,0</w:t>
            </w:r>
          </w:p>
        </w:tc>
        <w:tc>
          <w:tcPr>
            <w:tcW w:w="692" w:type="pct"/>
            <w:shd w:val="clear" w:color="auto" w:fill="E7E6E6" w:themeFill="background2"/>
            <w:noWrap/>
            <w:hideMark/>
          </w:tcPr>
          <w:p w14:paraId="59666516"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-245,0</w:t>
            </w:r>
          </w:p>
        </w:tc>
        <w:tc>
          <w:tcPr>
            <w:tcW w:w="692" w:type="pct"/>
            <w:shd w:val="clear" w:color="auto" w:fill="E7E6E6" w:themeFill="background2"/>
            <w:hideMark/>
          </w:tcPr>
          <w:p w14:paraId="4840E6F1"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19,0</w:t>
            </w:r>
          </w:p>
        </w:tc>
        <w:tc>
          <w:tcPr>
            <w:tcW w:w="692" w:type="pct"/>
            <w:shd w:val="clear" w:color="auto" w:fill="E7E6E6" w:themeFill="background2"/>
            <w:hideMark/>
          </w:tcPr>
          <w:p w14:paraId="7CE87F3E" w14:textId="77777777" w:rsidR="00A33AAE" w:rsidRPr="0007074F" w:rsidRDefault="00A33AAE" w:rsidP="000D3688">
            <w:pPr>
              <w:spacing w:after="0" w:line="240" w:lineRule="auto"/>
              <w:ind w:right="284"/>
              <w:jc w:val="right"/>
              <w:rPr>
                <w:rFonts w:cstheme="minorHAnsi"/>
                <w:color w:val="002060"/>
                <w:sz w:val="16"/>
                <w:szCs w:val="16"/>
                <w:lang w:val="sr-Cyrl-CS"/>
              </w:rPr>
            </w:pPr>
          </w:p>
        </w:tc>
        <w:tc>
          <w:tcPr>
            <w:tcW w:w="686" w:type="pct"/>
            <w:shd w:val="clear" w:color="auto" w:fill="E7E6E6" w:themeFill="background2"/>
            <w:noWrap/>
            <w:hideMark/>
          </w:tcPr>
          <w:p w14:paraId="7E66699A" w14:textId="77777777" w:rsidR="00A33AAE" w:rsidRPr="0007074F" w:rsidRDefault="00A33AAE" w:rsidP="000D3688">
            <w:pPr>
              <w:spacing w:after="0" w:line="240" w:lineRule="auto"/>
              <w:ind w:right="284"/>
              <w:jc w:val="right"/>
              <w:rPr>
                <w:rFonts w:cstheme="minorHAnsi"/>
                <w:color w:val="002060"/>
                <w:sz w:val="16"/>
                <w:szCs w:val="16"/>
                <w:lang w:val="sr-Cyrl-CS"/>
              </w:rPr>
            </w:pPr>
            <w:r w:rsidRPr="0007074F">
              <w:rPr>
                <w:color w:val="002060"/>
                <w:sz w:val="16"/>
                <w:szCs w:val="16"/>
                <w:lang w:val="sr-Cyrl-CS"/>
              </w:rPr>
              <w:t>-3,0</w:t>
            </w:r>
          </w:p>
        </w:tc>
      </w:tr>
      <w:tr w:rsidR="00A33AAE" w:rsidRPr="0007074F" w14:paraId="385845ED" w14:textId="77777777" w:rsidTr="000D3688">
        <w:trPr>
          <w:trHeight w:val="227"/>
          <w:jc w:val="center"/>
        </w:trPr>
        <w:tc>
          <w:tcPr>
            <w:tcW w:w="1546" w:type="pct"/>
            <w:tcBorders>
              <w:bottom w:val="single" w:sz="4" w:space="0" w:color="002060"/>
            </w:tcBorders>
            <w:shd w:val="clear" w:color="auto" w:fill="auto"/>
            <w:noWrap/>
            <w:vAlign w:val="center"/>
            <w:hideMark/>
          </w:tcPr>
          <w:p w14:paraId="01E84601" w14:textId="77777777" w:rsidR="00A33AAE" w:rsidRPr="0007074F" w:rsidRDefault="00A33AAE" w:rsidP="000D3688">
            <w:pPr>
              <w:spacing w:after="0" w:line="240" w:lineRule="auto"/>
              <w:jc w:val="left"/>
              <w:rPr>
                <w:rFonts w:cstheme="minorHAnsi"/>
                <w:color w:val="002060"/>
                <w:sz w:val="16"/>
                <w:szCs w:val="16"/>
                <w:lang w:val="sr-Cyrl-CS"/>
              </w:rPr>
            </w:pPr>
            <w:r w:rsidRPr="0007074F">
              <w:rPr>
                <w:rFonts w:eastAsia="MS PGothic" w:cstheme="minorHAnsi"/>
                <w:color w:val="002060"/>
                <w:sz w:val="16"/>
                <w:szCs w:val="16"/>
                <w:lang w:val="sr-Cyrl-CS" w:eastAsia="ja-JP"/>
              </w:rPr>
              <w:t>Резултат у % БДП</w:t>
            </w:r>
          </w:p>
        </w:tc>
        <w:tc>
          <w:tcPr>
            <w:tcW w:w="691" w:type="pct"/>
            <w:tcBorders>
              <w:bottom w:val="single" w:sz="4" w:space="0" w:color="002060"/>
            </w:tcBorders>
            <w:shd w:val="clear" w:color="auto" w:fill="auto"/>
            <w:hideMark/>
          </w:tcPr>
          <w:p w14:paraId="46D254F4"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-3,3</w:t>
            </w:r>
          </w:p>
        </w:tc>
        <w:tc>
          <w:tcPr>
            <w:tcW w:w="692" w:type="pct"/>
            <w:tcBorders>
              <w:bottom w:val="single" w:sz="4" w:space="0" w:color="002060"/>
            </w:tcBorders>
            <w:shd w:val="clear" w:color="auto" w:fill="auto"/>
            <w:hideMark/>
          </w:tcPr>
          <w:p w14:paraId="0E11DE27" w14:textId="77777777" w:rsidR="00A33AAE" w:rsidRPr="0007074F" w:rsidRDefault="00A33AAE" w:rsidP="000D3688">
            <w:pPr>
              <w:spacing w:after="0" w:line="240" w:lineRule="auto"/>
              <w:ind w:right="170"/>
              <w:jc w:val="right"/>
              <w:rPr>
                <w:rFonts w:cstheme="minorHAnsi"/>
                <w:color w:val="002060"/>
                <w:sz w:val="16"/>
                <w:szCs w:val="16"/>
                <w:lang w:val="sr-Cyrl-CS"/>
              </w:rPr>
            </w:pPr>
            <w:r w:rsidRPr="0007074F">
              <w:rPr>
                <w:color w:val="002060"/>
                <w:sz w:val="16"/>
                <w:szCs w:val="16"/>
                <w:lang w:val="sr-Cyrl-CS"/>
              </w:rPr>
              <w:t>-3,0</w:t>
            </w:r>
          </w:p>
        </w:tc>
        <w:tc>
          <w:tcPr>
            <w:tcW w:w="692" w:type="pct"/>
            <w:tcBorders>
              <w:bottom w:val="single" w:sz="4" w:space="0" w:color="002060"/>
            </w:tcBorders>
            <w:shd w:val="clear" w:color="auto" w:fill="auto"/>
            <w:hideMark/>
          </w:tcPr>
          <w:p w14:paraId="5E84298D" w14:textId="77777777" w:rsidR="00A33AAE" w:rsidRPr="0007074F" w:rsidRDefault="00A33AAE" w:rsidP="000D3688">
            <w:pPr>
              <w:spacing w:after="0" w:line="240" w:lineRule="auto"/>
              <w:ind w:right="227"/>
              <w:jc w:val="right"/>
              <w:rPr>
                <w:rFonts w:cstheme="minorHAnsi"/>
                <w:color w:val="002060"/>
                <w:sz w:val="16"/>
                <w:szCs w:val="16"/>
                <w:lang w:val="sr-Cyrl-CS"/>
              </w:rPr>
            </w:pPr>
            <w:r w:rsidRPr="0007074F">
              <w:rPr>
                <w:color w:val="002060"/>
                <w:sz w:val="16"/>
                <w:szCs w:val="16"/>
                <w:lang w:val="sr-Cyrl-CS"/>
              </w:rPr>
              <w:t>0,3</w:t>
            </w:r>
          </w:p>
        </w:tc>
        <w:tc>
          <w:tcPr>
            <w:tcW w:w="692" w:type="pct"/>
            <w:tcBorders>
              <w:bottom w:val="single" w:sz="4" w:space="0" w:color="002060"/>
            </w:tcBorders>
            <w:shd w:val="clear" w:color="auto" w:fill="auto"/>
            <w:hideMark/>
          </w:tcPr>
          <w:p w14:paraId="0F3AE695" w14:textId="77777777" w:rsidR="00A33AAE" w:rsidRPr="0007074F" w:rsidRDefault="00A33AAE" w:rsidP="000D3688">
            <w:pPr>
              <w:spacing w:after="0" w:line="240" w:lineRule="auto"/>
              <w:ind w:right="284"/>
              <w:jc w:val="right"/>
              <w:rPr>
                <w:rFonts w:cstheme="minorHAnsi"/>
                <w:color w:val="002060"/>
                <w:sz w:val="16"/>
                <w:szCs w:val="16"/>
                <w:lang w:val="sr-Cyrl-CS"/>
              </w:rPr>
            </w:pPr>
          </w:p>
        </w:tc>
        <w:tc>
          <w:tcPr>
            <w:tcW w:w="686" w:type="pct"/>
            <w:tcBorders>
              <w:bottom w:val="single" w:sz="4" w:space="0" w:color="002060"/>
            </w:tcBorders>
            <w:shd w:val="clear" w:color="auto" w:fill="auto"/>
            <w:hideMark/>
          </w:tcPr>
          <w:p w14:paraId="61ACAC3B" w14:textId="77777777" w:rsidR="00A33AAE" w:rsidRPr="0007074F" w:rsidRDefault="00A33AAE" w:rsidP="000D3688">
            <w:pPr>
              <w:spacing w:after="0" w:line="240" w:lineRule="auto"/>
              <w:ind w:right="284"/>
              <w:jc w:val="right"/>
              <w:rPr>
                <w:rFonts w:cstheme="minorHAnsi"/>
                <w:color w:val="002060"/>
                <w:sz w:val="16"/>
                <w:szCs w:val="16"/>
                <w:lang w:val="sr-Cyrl-CS"/>
              </w:rPr>
            </w:pPr>
          </w:p>
        </w:tc>
      </w:tr>
    </w:tbl>
    <w:p w14:paraId="2D7F5D8E" w14:textId="77777777" w:rsidR="00A33AAE" w:rsidRPr="0007074F" w:rsidRDefault="00A33AAE" w:rsidP="000D3688">
      <w:pPr>
        <w:spacing w:after="0" w:line="240" w:lineRule="auto"/>
        <w:jc w:val="left"/>
        <w:rPr>
          <w:rFonts w:cstheme="minorHAnsi"/>
          <w:sz w:val="16"/>
          <w:szCs w:val="16"/>
          <w:lang w:val="sr-Cyrl-CS"/>
        </w:rPr>
      </w:pPr>
      <w:r w:rsidRPr="0007074F">
        <w:rPr>
          <w:rFonts w:eastAsia="Calibri" w:cstheme="minorHAnsi"/>
          <w:bCs/>
          <w:sz w:val="16"/>
          <w:szCs w:val="16"/>
          <w:lang w:val="sr-Cyrl-CS" w:eastAsia="ja-JP"/>
        </w:rPr>
        <w:t xml:space="preserve">Извор: </w:t>
      </w:r>
      <w:r w:rsidRPr="0007074F">
        <w:rPr>
          <w:rFonts w:cstheme="minorHAnsi"/>
          <w:sz w:val="16"/>
          <w:szCs w:val="16"/>
          <w:lang w:val="sr-Cyrl-CS"/>
        </w:rPr>
        <w:t>Министарство финансија</w:t>
      </w:r>
    </w:p>
    <w:p w14:paraId="0A34DCDE" w14:textId="77777777" w:rsidR="00A33AAE" w:rsidRPr="0007074F" w:rsidRDefault="00A33AAE" w:rsidP="000D3688">
      <w:pPr>
        <w:spacing w:after="0" w:line="240" w:lineRule="auto"/>
        <w:rPr>
          <w:rFonts w:cstheme="minorHAnsi"/>
          <w:sz w:val="16"/>
          <w:szCs w:val="16"/>
          <w:lang w:val="sr-Cyrl-CS"/>
        </w:rPr>
      </w:pPr>
      <w:r w:rsidRPr="0007074F">
        <w:rPr>
          <w:rFonts w:cstheme="minorHAnsi"/>
          <w:sz w:val="16"/>
          <w:szCs w:val="16"/>
          <w:lang w:val="sr-Cyrl-CS"/>
        </w:rPr>
        <w:t>* Оригинални буџет за 2023. годину је, у сврхе упоредивости са новом проценом за текућу годину, коригован за износе настале проширењем обухвата сектора државе који се односи на укључивање и извештавање о сопственим средствима (приходи и расходи) здравствених установа. Укупан обим тих средстава износи 29,5 млрд и на приходној и расходној страни.</w:t>
      </w:r>
    </w:p>
    <w:p w14:paraId="2909E0AE" w14:textId="77777777" w:rsidR="00A33AAE" w:rsidRPr="0007074F" w:rsidRDefault="00A33AAE" w:rsidP="000D3688">
      <w:pPr>
        <w:spacing w:after="0" w:line="240" w:lineRule="auto"/>
        <w:rPr>
          <w:rFonts w:cstheme="minorHAnsi"/>
          <w:sz w:val="16"/>
          <w:szCs w:val="16"/>
          <w:lang w:val="sr-Cyrl-CS"/>
        </w:rPr>
      </w:pPr>
    </w:p>
    <w:p w14:paraId="7AFD373E" w14:textId="77777777" w:rsidR="00A33AAE" w:rsidRPr="0007074F" w:rsidRDefault="00A33AAE" w:rsidP="000D3688">
      <w:pPr>
        <w:spacing w:after="0" w:line="240" w:lineRule="auto"/>
        <w:jc w:val="left"/>
        <w:rPr>
          <w:rFonts w:cstheme="minorHAnsi"/>
          <w:sz w:val="16"/>
          <w:szCs w:val="16"/>
          <w:lang w:val="sr-Cyrl-CS"/>
        </w:rPr>
        <w:sectPr w:rsidR="00A33AAE" w:rsidRPr="0007074F" w:rsidSect="000D3688">
          <w:type w:val="continuous"/>
          <w:pgSz w:w="12240" w:h="15840" w:code="1"/>
          <w:pgMar w:top="1440" w:right="1440" w:bottom="1440" w:left="1440" w:header="720" w:footer="720" w:gutter="0"/>
          <w:cols w:space="720"/>
          <w:docGrid w:linePitch="360"/>
        </w:sectPr>
      </w:pPr>
    </w:p>
    <w:p w14:paraId="5F3D4307" w14:textId="77777777" w:rsidR="00A33AAE" w:rsidRPr="0007074F" w:rsidRDefault="00A33AAE">
      <w:pPr>
        <w:jc w:val="left"/>
        <w:rPr>
          <w:rFonts w:eastAsia="MS PGothic" w:cstheme="minorHAnsi"/>
          <w:b/>
          <w:bCs/>
          <w:szCs w:val="20"/>
          <w:lang w:val="sr-Cyrl-CS" w:eastAsia="ja-JP"/>
        </w:rPr>
      </w:pPr>
      <w:r w:rsidRPr="0007074F">
        <w:rPr>
          <w:rFonts w:eastAsia="MS PGothic" w:cstheme="minorHAnsi"/>
          <w:b/>
          <w:bCs/>
          <w:szCs w:val="20"/>
          <w:lang w:val="sr-Cyrl-CS" w:eastAsia="ja-JP"/>
        </w:rPr>
        <w:br w:type="page"/>
      </w:r>
    </w:p>
    <w:p w14:paraId="4C4146F9" w14:textId="77777777"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lastRenderedPageBreak/>
        <w:t>Предвиђен фискални резултат омогућава спровођење интервентних политика у циљу ублажавања кризе, уз задржавање тренда смањења учешћа јавног дуга у БДП.</w:t>
      </w:r>
      <w:r w:rsidRPr="0007074F">
        <w:rPr>
          <w:rFonts w:eastAsia="MS PGothic" w:cstheme="minorHAnsi"/>
          <w:szCs w:val="20"/>
          <w:lang w:val="sr-Cyrl-CS" w:eastAsia="ja-JP"/>
        </w:rPr>
        <w:t xml:space="preserve"> Структурном анализом фискалног резултата у 2023. години идентификовано је да се око 1,2% БДП односи на једнократне и привремене мере.</w:t>
      </w:r>
    </w:p>
    <w:p w14:paraId="7F4C99B7" w14:textId="2E4F8E78"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szCs w:val="20"/>
          <w:lang w:val="sr-Cyrl-CS" w:eastAsia="ja-JP"/>
        </w:rPr>
        <w:t xml:space="preserve">Пројекција прихода </w:t>
      </w:r>
      <w:r w:rsidR="00332897" w:rsidRPr="0007074F">
        <w:rPr>
          <w:rFonts w:eastAsia="MS PGothic" w:cstheme="minorHAnsi"/>
          <w:szCs w:val="20"/>
          <w:lang w:val="sr-Cyrl-CS" w:eastAsia="ja-JP"/>
        </w:rPr>
        <w:t xml:space="preserve">сектора </w:t>
      </w:r>
      <w:r w:rsidRPr="0007074F">
        <w:rPr>
          <w:rFonts w:eastAsia="MS PGothic" w:cstheme="minorHAnsi"/>
          <w:szCs w:val="20"/>
          <w:lang w:val="sr-Cyrl-CS" w:eastAsia="ja-JP"/>
        </w:rPr>
        <w:t xml:space="preserve">државе овим фискалним оквиром повећана је за 76,6 млрд динара (2,3%) у односу на оригиналну. Најважнији фактори који су довели до измене у висини и структури прихода </w:t>
      </w:r>
      <w:r w:rsidR="00332897" w:rsidRPr="0007074F">
        <w:rPr>
          <w:rFonts w:eastAsia="MS PGothic" w:cstheme="minorHAnsi"/>
          <w:szCs w:val="20"/>
          <w:lang w:val="sr-Cyrl-CS" w:eastAsia="ja-JP"/>
        </w:rPr>
        <w:t xml:space="preserve">сектора </w:t>
      </w:r>
      <w:r w:rsidRPr="0007074F">
        <w:rPr>
          <w:rFonts w:eastAsia="MS PGothic" w:cstheme="minorHAnsi"/>
          <w:szCs w:val="20"/>
          <w:lang w:val="sr-Cyrl-CS" w:eastAsia="ja-JP"/>
        </w:rPr>
        <w:t>државе су:</w:t>
      </w:r>
    </w:p>
    <w:p w14:paraId="38B20AD3" w14:textId="74C678E5" w:rsidR="00A33AAE" w:rsidRPr="0007074F" w:rsidRDefault="00A33AAE" w:rsidP="000D3688">
      <w:pPr>
        <w:pStyle w:val="ListParagraph"/>
        <w:widowControl w:val="0"/>
        <w:numPr>
          <w:ilvl w:val="0"/>
          <w:numId w:val="17"/>
        </w:numPr>
        <w:spacing w:after="0"/>
        <w:ind w:left="567" w:hanging="283"/>
        <w:contextualSpacing w:val="0"/>
        <w:rPr>
          <w:rFonts w:eastAsia="MS PGothic" w:cstheme="minorHAnsi"/>
          <w:szCs w:val="20"/>
          <w:lang w:val="sr-Cyrl-CS" w:eastAsia="ja-JP"/>
        </w:rPr>
      </w:pPr>
      <w:r w:rsidRPr="0007074F">
        <w:rPr>
          <w:rFonts w:eastAsia="MS PGothic" w:cstheme="minorHAnsi"/>
          <w:szCs w:val="20"/>
          <w:lang w:val="sr-Cyrl-CS" w:eastAsia="ja-JP"/>
        </w:rPr>
        <w:t>базни ефекат (боље остварење на крају претходне године) и ос</w:t>
      </w:r>
      <w:r w:rsidR="00074664" w:rsidRPr="0007074F">
        <w:rPr>
          <w:rFonts w:eastAsia="MS PGothic" w:cstheme="minorHAnsi"/>
          <w:szCs w:val="20"/>
          <w:lang w:val="sr-Cyrl-CS" w:eastAsia="ja-JP"/>
        </w:rPr>
        <w:t>тварење у периоду јануар–април;</w:t>
      </w:r>
    </w:p>
    <w:p w14:paraId="2156188C" w14:textId="77777777" w:rsidR="00A33AAE" w:rsidRPr="0007074F" w:rsidRDefault="00A33AAE" w:rsidP="000D3688">
      <w:pPr>
        <w:pStyle w:val="ListParagraph"/>
        <w:widowControl w:val="0"/>
        <w:numPr>
          <w:ilvl w:val="0"/>
          <w:numId w:val="17"/>
        </w:numPr>
        <w:spacing w:after="0"/>
        <w:ind w:left="567" w:hanging="283"/>
        <w:rPr>
          <w:rFonts w:eastAsia="MS PGothic" w:cstheme="minorHAnsi"/>
          <w:szCs w:val="20"/>
          <w:lang w:val="sr-Cyrl-CS" w:eastAsia="ja-JP"/>
        </w:rPr>
      </w:pPr>
      <w:r w:rsidRPr="0007074F">
        <w:rPr>
          <w:rFonts w:eastAsia="MS PGothic" w:cstheme="minorHAnsi"/>
          <w:szCs w:val="20"/>
          <w:lang w:val="sr-Cyrl-CS" w:eastAsia="ja-JP"/>
        </w:rPr>
        <w:t>већа потрошња одређених акцизних производа, пре свега деривата нафте;</w:t>
      </w:r>
    </w:p>
    <w:p w14:paraId="7EF868CE" w14:textId="77777777" w:rsidR="00A33AAE" w:rsidRPr="0007074F" w:rsidRDefault="00A33AAE" w:rsidP="000D3688">
      <w:pPr>
        <w:pStyle w:val="ListParagraph"/>
        <w:widowControl w:val="0"/>
        <w:numPr>
          <w:ilvl w:val="0"/>
          <w:numId w:val="17"/>
        </w:numPr>
        <w:spacing w:after="120"/>
        <w:ind w:left="567" w:hanging="283"/>
        <w:rPr>
          <w:rFonts w:eastAsia="MS PGothic" w:cstheme="minorHAnsi"/>
          <w:bCs/>
          <w:szCs w:val="20"/>
          <w:lang w:val="sr-Cyrl-CS" w:eastAsia="ja-JP"/>
        </w:rPr>
      </w:pPr>
      <w:r w:rsidRPr="0007074F">
        <w:rPr>
          <w:rFonts w:eastAsia="MS PGothic" w:cstheme="minorHAnsi"/>
          <w:bCs/>
          <w:szCs w:val="20"/>
          <w:lang w:val="sr-Cyrl-CS" w:eastAsia="ja-JP"/>
        </w:rPr>
        <w:t>опрезно планирање одређених категорија пореских прихода, међу којима је и порез на добит правних лица;</w:t>
      </w:r>
    </w:p>
    <w:p w14:paraId="1AD99EA6" w14:textId="77777777" w:rsidR="00A33AAE" w:rsidRPr="0007074F" w:rsidRDefault="00A33AAE" w:rsidP="000D3688">
      <w:pPr>
        <w:pStyle w:val="ListParagraph"/>
        <w:widowControl w:val="0"/>
        <w:numPr>
          <w:ilvl w:val="0"/>
          <w:numId w:val="17"/>
        </w:numPr>
        <w:spacing w:after="120"/>
        <w:ind w:left="567" w:hanging="283"/>
        <w:rPr>
          <w:rFonts w:eastAsia="MS PGothic" w:cstheme="minorHAnsi"/>
          <w:bCs/>
          <w:szCs w:val="20"/>
          <w:lang w:val="sr-Cyrl-CS" w:eastAsia="ja-JP"/>
        </w:rPr>
      </w:pPr>
      <w:r w:rsidRPr="0007074F">
        <w:rPr>
          <w:rFonts w:eastAsia="MS PGothic" w:cstheme="minorHAnsi"/>
          <w:bCs/>
          <w:szCs w:val="20"/>
          <w:lang w:val="sr-Cyrl-CS" w:eastAsia="ja-JP"/>
        </w:rPr>
        <w:t>снажнији раст наплате редовних непореских прихода;</w:t>
      </w:r>
    </w:p>
    <w:p w14:paraId="29A80ADE" w14:textId="77777777" w:rsidR="00A33AAE" w:rsidRPr="0007074F" w:rsidRDefault="00A33AAE" w:rsidP="000D3688">
      <w:pPr>
        <w:pStyle w:val="ListParagraph"/>
        <w:widowControl w:val="0"/>
        <w:numPr>
          <w:ilvl w:val="0"/>
          <w:numId w:val="17"/>
        </w:numPr>
        <w:spacing w:after="120"/>
        <w:ind w:left="567" w:hanging="283"/>
        <w:rPr>
          <w:rFonts w:eastAsia="MS PGothic" w:cstheme="minorHAnsi"/>
          <w:bCs/>
          <w:szCs w:val="20"/>
          <w:lang w:val="sr-Cyrl-CS" w:eastAsia="ja-JP"/>
        </w:rPr>
      </w:pPr>
      <w:r w:rsidRPr="0007074F">
        <w:rPr>
          <w:rFonts w:eastAsia="MS PGothic" w:cstheme="minorHAnsi"/>
          <w:bCs/>
          <w:szCs w:val="20"/>
          <w:lang w:val="sr-Cyrl-CS" w:eastAsia="ja-JP"/>
        </w:rPr>
        <w:t>повољнија кретања на тржишту рада од предвиђених;</w:t>
      </w:r>
    </w:p>
    <w:p w14:paraId="2EB5A1D8" w14:textId="4F109E5C" w:rsidR="00A33AAE" w:rsidRPr="0007074F" w:rsidRDefault="00A33AAE" w:rsidP="000D3688">
      <w:pPr>
        <w:pStyle w:val="ListParagraph"/>
        <w:widowControl w:val="0"/>
        <w:numPr>
          <w:ilvl w:val="0"/>
          <w:numId w:val="17"/>
        </w:numPr>
        <w:spacing w:after="120"/>
        <w:ind w:left="567" w:hanging="283"/>
        <w:rPr>
          <w:rFonts w:eastAsia="MS PGothic" w:cstheme="minorHAnsi"/>
          <w:bCs/>
          <w:szCs w:val="20"/>
          <w:lang w:val="sr-Cyrl-CS" w:eastAsia="ja-JP"/>
        </w:rPr>
      </w:pPr>
      <w:r w:rsidRPr="0007074F">
        <w:rPr>
          <w:rFonts w:eastAsia="MS PGothic" w:cstheme="minorHAnsi"/>
          <w:bCs/>
          <w:szCs w:val="20"/>
          <w:lang w:val="sr-Cyrl-CS" w:eastAsia="ja-JP"/>
        </w:rPr>
        <w:t>корекција и укидање мере смањењ</w:t>
      </w:r>
      <w:r w:rsidR="00E314AF" w:rsidRPr="0007074F">
        <w:rPr>
          <w:rFonts w:eastAsia="MS PGothic" w:cstheme="minorHAnsi"/>
          <w:bCs/>
          <w:szCs w:val="20"/>
          <w:lang w:val="sr-Cyrl-CS" w:eastAsia="ja-JP"/>
        </w:rPr>
        <w:t>а</w:t>
      </w:r>
      <w:r w:rsidRPr="0007074F">
        <w:rPr>
          <w:rFonts w:eastAsia="MS PGothic" w:cstheme="minorHAnsi"/>
          <w:bCs/>
          <w:szCs w:val="20"/>
          <w:lang w:val="sr-Cyrl-CS" w:eastAsia="ja-JP"/>
        </w:rPr>
        <w:t xml:space="preserve"> акцизног оптерећења деривата нафте;</w:t>
      </w:r>
    </w:p>
    <w:p w14:paraId="090EA1FB" w14:textId="77777777" w:rsidR="00A33AAE" w:rsidRPr="0007074F" w:rsidRDefault="00A33AAE" w:rsidP="000D3688">
      <w:pPr>
        <w:pStyle w:val="ListParagraph"/>
        <w:widowControl w:val="0"/>
        <w:numPr>
          <w:ilvl w:val="0"/>
          <w:numId w:val="17"/>
        </w:numPr>
        <w:spacing w:after="120"/>
        <w:ind w:left="567" w:hanging="283"/>
        <w:rPr>
          <w:rFonts w:eastAsia="MS PGothic" w:cstheme="minorHAnsi"/>
          <w:bCs/>
          <w:szCs w:val="20"/>
          <w:lang w:val="sr-Cyrl-CS" w:eastAsia="ja-JP"/>
        </w:rPr>
      </w:pPr>
      <w:r w:rsidRPr="0007074F">
        <w:rPr>
          <w:rFonts w:eastAsia="MS PGothic" w:cstheme="minorHAnsi"/>
          <w:bCs/>
          <w:szCs w:val="20"/>
          <w:lang w:val="sr-Cyrl-CS" w:eastAsia="ja-JP"/>
        </w:rPr>
        <w:t>нижи раст увозне активности од оригинално пројектоване, пре свега услед пада увоза енергената.</w:t>
      </w:r>
    </w:p>
    <w:p w14:paraId="1168CABE" w14:textId="28FDC80C"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 xml:space="preserve">Повољнија кретања на тржишту рада позитивно су утицала на остварење прихода по основу пореза на </w:t>
      </w:r>
      <w:r w:rsidR="001E56E1" w:rsidRPr="0007074F">
        <w:rPr>
          <w:rFonts w:eastAsia="MS PGothic" w:cstheme="minorHAnsi"/>
          <w:bCs/>
          <w:szCs w:val="20"/>
          <w:lang w:val="sr-Cyrl-CS" w:eastAsia="ja-JP"/>
        </w:rPr>
        <w:t>зараде</w:t>
      </w:r>
      <w:r w:rsidRPr="0007074F">
        <w:rPr>
          <w:rFonts w:eastAsia="MS PGothic" w:cstheme="minorHAnsi"/>
          <w:bCs/>
          <w:szCs w:val="20"/>
          <w:lang w:val="sr-Cyrl-CS" w:eastAsia="ja-JP"/>
        </w:rPr>
        <w:t xml:space="preserve"> и доприноса за обавезно социјално осигурање.</w:t>
      </w:r>
      <w:r w:rsidRPr="0007074F">
        <w:rPr>
          <w:rFonts w:eastAsia="MS PGothic" w:cstheme="minorHAnsi"/>
          <w:szCs w:val="20"/>
          <w:lang w:val="sr-Cyrl-CS" w:eastAsia="ja-JP"/>
        </w:rPr>
        <w:t xml:space="preserve"> Пројекција прихода од пореза на доходак грађана повећана је за 7,7 млрд динара у односу на оригинални износ. Приликом оригиналне пројекције прихода од пореза на зараде узете су у обзир пројекције кретања просечних зарада и запослености, као и процене ефеката смањења пореског оптерећења зарада у 2023. години. Исте претпоставке се користе и за пројекцију прихода од социјалних доприноса који чине највећи појединачни приход на нивоу </w:t>
      </w:r>
      <w:r w:rsidR="00332897" w:rsidRPr="0007074F">
        <w:rPr>
          <w:rFonts w:eastAsia="MS PGothic" w:cstheme="minorHAnsi"/>
          <w:szCs w:val="20"/>
          <w:lang w:val="sr-Cyrl-CS" w:eastAsia="ja-JP"/>
        </w:rPr>
        <w:t xml:space="preserve">сектора </w:t>
      </w:r>
      <w:r w:rsidRPr="0007074F">
        <w:rPr>
          <w:rFonts w:eastAsia="MS PGothic" w:cstheme="minorHAnsi"/>
          <w:szCs w:val="20"/>
          <w:lang w:val="sr-Cyrl-CS" w:eastAsia="ja-JP"/>
        </w:rPr>
        <w:t xml:space="preserve">државе. Наплата овог пореског облика крајем 2022. године била је нешто изнад планиране, међутим кључни разлог за ревизију пројекције навише је снажан раст зарада, пре свега у приватном сектору, забележен током првог </w:t>
      </w:r>
      <w:r w:rsidRPr="0007074F">
        <w:rPr>
          <w:rFonts w:eastAsia="MS PGothic" w:cstheme="minorHAnsi"/>
          <w:szCs w:val="20"/>
          <w:lang w:val="sr-Cyrl-CS" w:eastAsia="ja-JP"/>
        </w:rPr>
        <w:t>квартала 2023. године. Процене прихода од пореза на зараде и социјалних доприноса су ревидиране навише у укупном износу од 43,5 млрд динара. Остатак пореза на доходак чине остали облици као што су порез на дивиденде, порез на приходе од камата, годишњи порез на доходак, порез на приходе од закупа непокретности и др. Процена прихода од ов</w:t>
      </w:r>
      <w:r w:rsidR="00485670" w:rsidRPr="0007074F">
        <w:rPr>
          <w:rFonts w:eastAsia="MS PGothic" w:cstheme="minorHAnsi"/>
          <w:szCs w:val="20"/>
          <w:lang w:val="sr-Cyrl-CS" w:eastAsia="ja-JP"/>
        </w:rPr>
        <w:t>их</w:t>
      </w:r>
      <w:r w:rsidRPr="0007074F">
        <w:rPr>
          <w:rFonts w:eastAsia="MS PGothic" w:cstheme="minorHAnsi"/>
          <w:szCs w:val="20"/>
          <w:lang w:val="sr-Cyrl-CS" w:eastAsia="ja-JP"/>
        </w:rPr>
        <w:t xml:space="preserve"> група пореза повећана је за 2 млрд динара, првенствено због боље нап</w:t>
      </w:r>
      <w:r w:rsidR="00416E7C" w:rsidRPr="0007074F">
        <w:rPr>
          <w:rFonts w:eastAsia="MS PGothic" w:cstheme="minorHAnsi"/>
          <w:szCs w:val="20"/>
          <w:lang w:val="sr-Cyrl-CS" w:eastAsia="ja-JP"/>
        </w:rPr>
        <w:t>лате на крају претходне године.</w:t>
      </w:r>
    </w:p>
    <w:p w14:paraId="7C36831B" w14:textId="0F5CA90B"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Профитабилност привреде биће већа од првобитно планиране што указују уплате по основу пореза на добит у прва четири месеца текуће године.</w:t>
      </w:r>
      <w:r w:rsidRPr="0007074F">
        <w:rPr>
          <w:rFonts w:eastAsia="MS PGothic" w:cstheme="minorHAnsi"/>
          <w:szCs w:val="20"/>
          <w:lang w:val="sr-Cyrl-CS" w:eastAsia="ja-JP"/>
        </w:rPr>
        <w:t xml:space="preserve"> Приходи од пореза на добит су ревидирани у односу на оригиналну пројекцију (</w:t>
      </w:r>
      <w:r w:rsidR="00404068" w:rsidRPr="0007074F">
        <w:rPr>
          <w:rFonts w:eastAsia="MS PGothic" w:cstheme="minorHAnsi"/>
          <w:szCs w:val="20"/>
          <w:lang w:val="sr-Cyrl-CS" w:eastAsia="ja-JP"/>
        </w:rPr>
        <w:t>3</w:t>
      </w:r>
      <w:r w:rsidRPr="0007074F">
        <w:rPr>
          <w:rFonts w:eastAsia="MS PGothic" w:cstheme="minorHAnsi"/>
          <w:szCs w:val="20"/>
          <w:lang w:val="sr-Cyrl-CS" w:eastAsia="ja-JP"/>
        </w:rPr>
        <w:t>,</w:t>
      </w:r>
      <w:r w:rsidR="00404068" w:rsidRPr="0007074F">
        <w:rPr>
          <w:rFonts w:eastAsia="MS PGothic" w:cstheme="minorHAnsi"/>
          <w:szCs w:val="20"/>
          <w:lang w:val="sr-Cyrl-CS" w:eastAsia="ja-JP"/>
        </w:rPr>
        <w:t>3</w:t>
      </w:r>
      <w:r w:rsidR="0018145E" w:rsidRPr="0007074F">
        <w:rPr>
          <w:rFonts w:eastAsia="MS PGothic" w:cstheme="minorHAnsi"/>
          <w:szCs w:val="20"/>
          <w:lang w:val="sr-Cyrl-CS" w:eastAsia="ja-JP"/>
        </w:rPr>
        <w:t>%), а у апсолутном износу за 7</w:t>
      </w:r>
      <w:r w:rsidRPr="0007074F">
        <w:rPr>
          <w:rFonts w:eastAsia="MS PGothic" w:cstheme="minorHAnsi"/>
          <w:szCs w:val="20"/>
          <w:lang w:val="sr-Cyrl-CS" w:eastAsia="ja-JP"/>
        </w:rPr>
        <w:t xml:space="preserve"> млрд динара. При пројекцији ове пореске категорије, постоји значајна неизвесност, јер коначни подаци о профитабилности нису познати у тренутку израде буџета. Уобичајена пракса је да се процена прихода од пореза на добит коригује када се изврше уплате по коначним финансијским извештајима (крај јуна текуће године). Међутим, уплате током прва четири месеца 2023. године, као и доступни извештаји појединих компанија, сугеришу да је већ сада могуће извршити одређено повећање процене наплате овог пореског облика, са вероватноћ</w:t>
      </w:r>
      <w:r w:rsidR="00416E7C" w:rsidRPr="0007074F">
        <w:rPr>
          <w:rFonts w:eastAsia="MS PGothic" w:cstheme="minorHAnsi"/>
          <w:szCs w:val="20"/>
          <w:lang w:val="sr-Cyrl-CS" w:eastAsia="ja-JP"/>
        </w:rPr>
        <w:t>ом за даљим корекцијама навише.</w:t>
      </w:r>
    </w:p>
    <w:p w14:paraId="5250A9D4" w14:textId="299F9CC4"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Остварење прихода по основу пореза на додату вредност се, у највећој мери, креће у складу са очекиваним у протекл</w:t>
      </w:r>
      <w:r w:rsidR="00FB04FB" w:rsidRPr="0007074F">
        <w:rPr>
          <w:rFonts w:eastAsia="MS PGothic" w:cstheme="minorHAnsi"/>
          <w:bCs/>
          <w:szCs w:val="20"/>
          <w:lang w:val="sr-Cyrl-CS" w:eastAsia="ja-JP"/>
        </w:rPr>
        <w:t>ом делу године (период јануар–</w:t>
      </w:r>
      <w:r w:rsidRPr="0007074F">
        <w:rPr>
          <w:rFonts w:eastAsia="MS PGothic" w:cstheme="minorHAnsi"/>
          <w:bCs/>
          <w:szCs w:val="20"/>
          <w:lang w:val="sr-Cyrl-CS" w:eastAsia="ja-JP"/>
        </w:rPr>
        <w:t>април), те пројекција прихода по овом основу, током ове ревизије фискалног оквира, није промењена.</w:t>
      </w:r>
      <w:r w:rsidRPr="0007074F">
        <w:rPr>
          <w:rFonts w:eastAsia="MS PGothic" w:cstheme="minorHAnsi"/>
          <w:szCs w:val="20"/>
          <w:lang w:val="sr-Cyrl-CS" w:eastAsia="ja-JP"/>
        </w:rPr>
        <w:t xml:space="preserve"> Међутим, дошло је до одређених промена у структури наплате. Увозна компонента расте спорије него што је очекивано, а последично, бележи се и нешто спорији раст ПДВ повраћаја по основу спољнотрговинске размене. Иновираним макроекономским оквиром, реални раст приватне потрошње за 2023. годину ревидиран је благо наниже. Са друге стране бележи се номинални раст дохотка (пре свега зарада) становништва већи од планираног. У другој половини године очекује се корекција тренутних кретања, успоравање инфлаторне и опоравак реалне компоненте приватне потрошње. </w:t>
      </w:r>
      <w:r w:rsidRPr="0007074F">
        <w:rPr>
          <w:rFonts w:eastAsia="MS PGothic" w:cstheme="minorHAnsi"/>
          <w:szCs w:val="20"/>
          <w:lang w:val="sr-Cyrl-CS" w:eastAsia="ja-JP"/>
        </w:rPr>
        <w:lastRenderedPageBreak/>
        <w:t>Услед тога, пројекција прихода од ПДВ, која је приликом израде буџета за 2023. годину оцењена као конзервативна, овом приликом није измењена.</w:t>
      </w:r>
    </w:p>
    <w:p w14:paraId="7B901024" w14:textId="0107FB9E"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Нижи раст увозне тражње, пре свега енергената, условио је ревизију процене прихода од царина наниже за 3,4 млрд динара у односу на оригин</w:t>
      </w:r>
      <w:r w:rsidR="006848C1" w:rsidRPr="0007074F">
        <w:rPr>
          <w:rFonts w:eastAsia="MS PGothic" w:cstheme="minorHAnsi"/>
          <w:bCs/>
          <w:szCs w:val="20"/>
          <w:lang w:val="sr-Cyrl-CS" w:eastAsia="ja-JP"/>
        </w:rPr>
        <w:t>а</w:t>
      </w:r>
      <w:r w:rsidRPr="0007074F">
        <w:rPr>
          <w:rFonts w:eastAsia="MS PGothic" w:cstheme="minorHAnsi"/>
          <w:bCs/>
          <w:szCs w:val="20"/>
          <w:lang w:val="sr-Cyrl-CS" w:eastAsia="ja-JP"/>
        </w:rPr>
        <w:t>лну пројекцију.</w:t>
      </w:r>
      <w:r w:rsidRPr="0007074F">
        <w:rPr>
          <w:rFonts w:eastAsia="MS PGothic" w:cstheme="minorHAnsi"/>
          <w:szCs w:val="20"/>
          <w:lang w:val="sr-Cyrl-CS" w:eastAsia="ja-JP"/>
        </w:rPr>
        <w:t xml:space="preserve"> Приходи од царина у највећој мери, иако не у потпуности, прате динамику ПДВ из увоза, па је у складу са изменом структуре ПДВ, обима спољнотрговинске размене и кретања царина у првом делу године, извршена ревизија пројекције овог приходног облика. Као и у случају ефеката на ПДВ, нижи раст увозне тражње последица је пре свега слабијег увоза енергената од првобитно очекиваног. Ово је делом последица мањих количинских потреба, али такође и пада цена на међународном тржишту у односу на прву половину претходне године.</w:t>
      </w:r>
    </w:p>
    <w:p w14:paraId="60C82505" w14:textId="13310417"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 xml:space="preserve">Пројекција прихода од акциза повећана је за 16 млрд динара у односу на оригиналну пројекцију, искључиво захваљујући </w:t>
      </w:r>
      <w:r w:rsidR="006848C1" w:rsidRPr="0007074F">
        <w:rPr>
          <w:rFonts w:eastAsia="MS PGothic" w:cstheme="minorHAnsi"/>
          <w:bCs/>
          <w:szCs w:val="20"/>
          <w:lang w:val="sr-Cyrl-CS" w:eastAsia="ja-JP"/>
        </w:rPr>
        <w:t>ревизији</w:t>
      </w:r>
      <w:r w:rsidRPr="0007074F">
        <w:rPr>
          <w:rFonts w:eastAsia="MS PGothic" w:cstheme="minorHAnsi"/>
          <w:bCs/>
          <w:szCs w:val="20"/>
          <w:lang w:val="sr-Cyrl-CS" w:eastAsia="ja-JP"/>
        </w:rPr>
        <w:t xml:space="preserve"> прихода од акциза на деривате нафте, услед промене мера које су биле на снази приликом израде буџетског плана.</w:t>
      </w:r>
      <w:r w:rsidRPr="0007074F">
        <w:rPr>
          <w:rFonts w:eastAsia="MS PGothic" w:cstheme="minorHAnsi"/>
          <w:szCs w:val="20"/>
          <w:lang w:val="sr-Cyrl-CS" w:eastAsia="ja-JP"/>
        </w:rPr>
        <w:t xml:space="preserve"> Како би спречила претерани раст цена нафтних деривата у претходној години и током 2023. године,</w:t>
      </w:r>
      <w:r w:rsidR="0018145E" w:rsidRPr="0007074F">
        <w:rPr>
          <w:rFonts w:eastAsia="MS PGothic" w:cstheme="minorHAnsi"/>
          <w:szCs w:val="20"/>
          <w:lang w:val="sr-Cyrl-CS" w:eastAsia="ja-JP"/>
        </w:rPr>
        <w:t xml:space="preserve"> одложена је редовна индексација</w:t>
      </w:r>
      <w:r w:rsidRPr="0007074F">
        <w:rPr>
          <w:rFonts w:eastAsia="MS PGothic" w:cstheme="minorHAnsi"/>
          <w:szCs w:val="20"/>
          <w:lang w:val="sr-Cyrl-CS" w:eastAsia="ja-JP"/>
        </w:rPr>
        <w:t xml:space="preserve"> акцизних стопа са инфлацијом из претходне године. Такође, искоришћена је законска могућност привременог смањења износа акциза и то у распону од 5% до 20% колики је и законски максимум. Тако су приходи од акциза на деривате нафте за 2023. годин</w:t>
      </w:r>
      <w:r w:rsidR="00FB04FB" w:rsidRPr="0007074F">
        <w:rPr>
          <w:rFonts w:eastAsia="MS PGothic" w:cstheme="minorHAnsi"/>
          <w:szCs w:val="20"/>
          <w:lang w:val="sr-Cyrl-CS" w:eastAsia="ja-JP"/>
        </w:rPr>
        <w:t>у</w:t>
      </w:r>
      <w:r w:rsidRPr="0007074F">
        <w:rPr>
          <w:rFonts w:eastAsia="MS PGothic" w:cstheme="minorHAnsi"/>
          <w:szCs w:val="20"/>
          <w:lang w:val="sr-Cyrl-CS" w:eastAsia="ja-JP"/>
        </w:rPr>
        <w:t>, оригинално планирани узимајући у обзир умањене акциза за 10%. Услед стагнације и пада цена сирове нафте на међународном тржишту, током првог квартала донета је одлука да се примени умањење од 5%</w:t>
      </w:r>
      <w:r w:rsidR="00733476" w:rsidRPr="0007074F">
        <w:rPr>
          <w:rFonts w:eastAsia="MS PGothic" w:cstheme="minorHAnsi"/>
          <w:szCs w:val="20"/>
          <w:lang w:val="sr-Cyrl-CS" w:eastAsia="ja-JP"/>
        </w:rPr>
        <w:t>,</w:t>
      </w:r>
      <w:r w:rsidRPr="0007074F">
        <w:rPr>
          <w:rFonts w:eastAsia="MS PGothic" w:cstheme="minorHAnsi"/>
          <w:szCs w:val="20"/>
          <w:lang w:val="sr-Cyrl-CS" w:eastAsia="ja-JP"/>
        </w:rPr>
        <w:t xml:space="preserve"> а након тога и да се потпуно укине. Такође</w:t>
      </w:r>
      <w:r w:rsidR="00733476" w:rsidRPr="0007074F">
        <w:rPr>
          <w:rFonts w:eastAsia="MS PGothic" w:cstheme="minorHAnsi"/>
          <w:szCs w:val="20"/>
          <w:lang w:val="sr-Cyrl-CS" w:eastAsia="ja-JP"/>
        </w:rPr>
        <w:t>,</w:t>
      </w:r>
      <w:r w:rsidRPr="0007074F">
        <w:rPr>
          <w:rFonts w:eastAsia="MS PGothic" w:cstheme="minorHAnsi"/>
          <w:szCs w:val="20"/>
          <w:lang w:val="sr-Cyrl-CS" w:eastAsia="ja-JP"/>
        </w:rPr>
        <w:t xml:space="preserve"> бележи се и нешто већи раст потрошње током прва четири месеца текуће године. Приходи од акциза на дуван, електричну енергију, алкохол и кафу у овом тренутку нису ревидирани, јер се остварење креће у складу са </w:t>
      </w:r>
      <w:r w:rsidR="006848C1" w:rsidRPr="0007074F">
        <w:rPr>
          <w:rFonts w:eastAsia="MS PGothic" w:cstheme="minorHAnsi"/>
          <w:szCs w:val="20"/>
          <w:lang w:val="sr-Cyrl-CS" w:eastAsia="ja-JP"/>
        </w:rPr>
        <w:t>очекиваним</w:t>
      </w:r>
      <w:r w:rsidRPr="0007074F">
        <w:rPr>
          <w:rFonts w:eastAsia="MS PGothic" w:cstheme="minorHAnsi"/>
          <w:szCs w:val="20"/>
          <w:lang w:val="sr-Cyrl-CS" w:eastAsia="ja-JP"/>
        </w:rPr>
        <w:t xml:space="preserve"> у протеклом делу године.</w:t>
      </w:r>
    </w:p>
    <w:p w14:paraId="7941190A" w14:textId="55D7952C"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Непорески приходи ревидирани су навише за 11 млрд динара, због вишег остварења редовних непореских прихода.</w:t>
      </w:r>
      <w:r w:rsidRPr="0007074F">
        <w:rPr>
          <w:rFonts w:eastAsia="MS PGothic" w:cstheme="minorHAnsi"/>
          <w:szCs w:val="20"/>
          <w:lang w:val="sr-Cyrl-CS" w:eastAsia="ja-JP"/>
        </w:rPr>
        <w:t xml:space="preserve"> Ту спадају различите таксе, накнаде (укључујући и путарине), казне, приходи </w:t>
      </w:r>
      <w:r w:rsidRPr="0007074F">
        <w:rPr>
          <w:rFonts w:eastAsia="MS PGothic" w:cstheme="minorHAnsi"/>
          <w:szCs w:val="20"/>
          <w:lang w:val="sr-Cyrl-CS" w:eastAsia="ja-JP"/>
        </w:rPr>
        <w:t>органа и организација и сви остали приходи који се остварују устаљеном динамиком током године, у приближно сличним износима на месечном нивоу уз одређене сезонске варијације. Близу половине овог повећања односи на приходе од путарина, јер корекција њихове висине иницијално није планирана. Остатак се односи на редовне непореске приходе буџета Републике. Разлози за повећање пројектованог износа су боље остварење на крају претходне године и виша него очекивана наплата током протеклог дела године. Ванредне непореске приходе чине уплате добити јавних предузећа и агенција, дивиденде буџета, приходи по основу наплаћених потраживања Агенције за осигурање депозита, емисионе премије, итд. П</w:t>
      </w:r>
      <w:r w:rsidR="0018145E" w:rsidRPr="0007074F">
        <w:rPr>
          <w:rFonts w:eastAsia="MS PGothic" w:cstheme="minorHAnsi"/>
          <w:szCs w:val="20"/>
          <w:lang w:val="sr-Cyrl-CS" w:eastAsia="ja-JP"/>
        </w:rPr>
        <w:t>лан ванредних непореских прихода</w:t>
      </w:r>
      <w:r w:rsidRPr="0007074F">
        <w:rPr>
          <w:rFonts w:eastAsia="MS PGothic" w:cstheme="minorHAnsi"/>
          <w:szCs w:val="20"/>
          <w:lang w:val="sr-Cyrl-CS" w:eastAsia="ja-JP"/>
        </w:rPr>
        <w:t xml:space="preserve"> није коригован и поред најава одређених уплата по овом основу. С обзиром на карактер ванредних непореских прихода, принцип опрезности налаже њихову корекцију по реализацији. Проширење обухвата сектора државе, са укључивањем свих извора финансирања здравствених установа у 2023. години, на приходној страни довело је до повећања непореских прихода за 29 млрд и обухвата сопствене приходе здравствених установа. Мањи део прихода здравствених установа односи се донације, те је дошло и до повећања ових прихода. Због упоредивости, за исти износ </w:t>
      </w:r>
      <w:r w:rsidR="00844DC9" w:rsidRPr="0007074F">
        <w:rPr>
          <w:rFonts w:eastAsia="MS PGothic" w:cstheme="minorHAnsi"/>
          <w:szCs w:val="20"/>
          <w:lang w:val="sr-Cyrl-CS" w:eastAsia="ja-JP"/>
        </w:rPr>
        <w:t xml:space="preserve">коригован је и оригинални план </w:t>
      </w:r>
      <w:r w:rsidRPr="0007074F">
        <w:rPr>
          <w:rFonts w:eastAsia="MS PGothic" w:cstheme="minorHAnsi"/>
          <w:szCs w:val="20"/>
          <w:lang w:val="sr-Cyrl-CS" w:eastAsia="ja-JP"/>
        </w:rPr>
        <w:t xml:space="preserve">непореских прихода, имајући у виду да се овде не ради о вишем остварењу од планираног износа, већ проширеном обухвату прихода које </w:t>
      </w:r>
      <w:r w:rsidR="00416E7C" w:rsidRPr="0007074F">
        <w:rPr>
          <w:rFonts w:eastAsia="MS PGothic" w:cstheme="minorHAnsi"/>
          <w:szCs w:val="20"/>
          <w:lang w:val="sr-Cyrl-CS" w:eastAsia="ja-JP"/>
        </w:rPr>
        <w:t>остварују здравствене установе.</w:t>
      </w:r>
    </w:p>
    <w:p w14:paraId="7EEB5DEF" w14:textId="543A5BF1" w:rsidR="00A33AAE" w:rsidRPr="0007074F" w:rsidRDefault="00A33AAE" w:rsidP="00536D6B">
      <w:pPr>
        <w:keepLines/>
        <w:widowControl w:val="0"/>
        <w:spacing w:after="120"/>
        <w:jc w:val="center"/>
        <w:rPr>
          <w:rFonts w:cstheme="minorHAnsi"/>
          <w:b/>
          <w:color w:val="002060"/>
          <w:lang w:val="sr-Cyrl-CS"/>
        </w:rPr>
      </w:pPr>
      <w:r w:rsidRPr="0007074F">
        <w:rPr>
          <w:rFonts w:cstheme="minorHAnsi"/>
          <w:b/>
          <w:color w:val="002060"/>
          <w:lang w:val="sr-Cyrl-CS"/>
        </w:rPr>
        <w:t>Допринос појединих фактора корекцији фиск. рез. у односу на план за 2023. годину, % БДП</w:t>
      </w:r>
    </w:p>
    <w:p w14:paraId="267F978E" w14:textId="39920509" w:rsidR="00A33AAE" w:rsidRPr="0007074F" w:rsidRDefault="00536D6B" w:rsidP="000D3688">
      <w:pPr>
        <w:keepLines/>
        <w:widowControl w:val="0"/>
        <w:spacing w:after="120"/>
        <w:rPr>
          <w:rFonts w:cstheme="minorHAnsi"/>
          <w:b/>
          <w:color w:val="2F5496" w:themeColor="accent1" w:themeShade="BF"/>
          <w:lang w:val="sr-Cyrl-CS"/>
        </w:rPr>
        <w:sectPr w:rsidR="00A33AAE" w:rsidRPr="0007074F" w:rsidSect="000D3688">
          <w:type w:val="continuous"/>
          <w:pgSz w:w="12240" w:h="15840" w:code="1"/>
          <w:pgMar w:top="1440" w:right="1440" w:bottom="1440" w:left="1440" w:header="720" w:footer="720" w:gutter="0"/>
          <w:cols w:num="2" w:space="720"/>
          <w:docGrid w:linePitch="360"/>
        </w:sectPr>
      </w:pPr>
      <w:r w:rsidRPr="0007074F">
        <w:rPr>
          <w:rFonts w:cstheme="minorHAnsi"/>
          <w:b/>
          <w:noProof/>
          <w:color w:val="2F5496" w:themeColor="accent1" w:themeShade="BF"/>
        </w:rPr>
        <w:drawing>
          <wp:inline distT="0" distB="0" distL="0" distR="0" wp14:anchorId="31FE596F" wp14:editId="42B2F7C4">
            <wp:extent cx="2761615" cy="1989311"/>
            <wp:effectExtent l="0" t="0" r="63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21894" cy="2032733"/>
                    </a:xfrm>
                    <a:prstGeom prst="rect">
                      <a:avLst/>
                    </a:prstGeom>
                    <a:noFill/>
                  </pic:spPr>
                </pic:pic>
              </a:graphicData>
            </a:graphic>
          </wp:inline>
        </w:drawing>
      </w:r>
    </w:p>
    <w:p w14:paraId="1BE6C0B9" w14:textId="7EF36B12"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lastRenderedPageBreak/>
        <w:t>Укључивањем приходне и расходне стране свих извора финансирања здравствених установа, према планираној динамици усклађивања обухвата сектора државе са међународним стандардима, повећало је приходну и расходну страну финансирања сектора државе и дало тачнији приказ економских класификација потрошње код крајњег корисника, самих здравствених установа.</w:t>
      </w:r>
      <w:r w:rsidRPr="0007074F">
        <w:rPr>
          <w:rFonts w:eastAsia="MS PGothic" w:cstheme="minorHAnsi"/>
          <w:szCs w:val="20"/>
          <w:lang w:val="sr-Cyrl-CS" w:eastAsia="ja-JP"/>
        </w:rPr>
        <w:t xml:space="preserve"> Поједине категорије расхода сада су обухваћене на економским класификацијама на којима су извршене у здравственим установама (плате, робе и услуге, капитални издаци и сл.). Ови расходи су и до сада били укључени али као коначан расход буџета Републике, АПВ или локалне самоуправе. Због упоредивости, приходи и расходи здравствених установа укључени су и у првобитни план, имајући у виду да се овде не ради о вишем остварењу прихода или извршењу расхода од планираног износа, већ проширеном обухвату свих извора финансирања које остваруј</w:t>
      </w:r>
      <w:r w:rsidR="00416E7C" w:rsidRPr="0007074F">
        <w:rPr>
          <w:rFonts w:eastAsia="MS PGothic" w:cstheme="minorHAnsi"/>
          <w:szCs w:val="20"/>
          <w:lang w:val="sr-Cyrl-CS" w:eastAsia="ja-JP"/>
        </w:rPr>
        <w:t>у и троше здравствене установе.</w:t>
      </w:r>
    </w:p>
    <w:p w14:paraId="2C3E9A8A" w14:textId="133D56BE" w:rsidR="005D75CD" w:rsidRPr="0007074F" w:rsidRDefault="005D75CD"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Повећање капиталних улагања, посебно у делу финансирања изградње путне инфраструктуре дало је највећи допринос повећању укупних расхода сектора државе.</w:t>
      </w:r>
      <w:r w:rsidRPr="0007074F">
        <w:rPr>
          <w:rFonts w:eastAsia="MS PGothic" w:cstheme="minorHAnsi"/>
          <w:szCs w:val="20"/>
          <w:lang w:val="sr-Cyrl-CS" w:eastAsia="ja-JP"/>
        </w:rPr>
        <w:t xml:space="preserve"> Процена расхода сектора државе овим фискалним оквиром повећана је за 57,6 млрд дина</w:t>
      </w:r>
      <w:r w:rsidR="00074664" w:rsidRPr="0007074F">
        <w:rPr>
          <w:rFonts w:eastAsia="MS PGothic" w:cstheme="minorHAnsi"/>
          <w:szCs w:val="20"/>
          <w:lang w:val="sr-Cyrl-CS" w:eastAsia="ja-JP"/>
        </w:rPr>
        <w:t>ра у односу на оригинални план.</w:t>
      </w:r>
    </w:p>
    <w:p w14:paraId="7E7C32D3" w14:textId="4E4251FD" w:rsidR="00A33AAE" w:rsidRPr="0007074F" w:rsidRDefault="00A33AAE" w:rsidP="000D3688">
      <w:pPr>
        <w:widowControl w:val="0"/>
        <w:spacing w:after="120"/>
        <w:rPr>
          <w:rFonts w:eastAsia="MS PGothic" w:cstheme="minorHAnsi"/>
          <w:szCs w:val="20"/>
          <w:lang w:val="sr-Cyrl-CS" w:eastAsia="ja-JP"/>
        </w:rPr>
      </w:pPr>
      <w:r w:rsidRPr="0007074F">
        <w:rPr>
          <w:rFonts w:eastAsia="MS PGothic" w:cstheme="minorHAnsi"/>
          <w:bCs/>
          <w:szCs w:val="20"/>
          <w:lang w:val="sr-Cyrl-CS" w:eastAsia="ja-JP"/>
        </w:rPr>
        <w:t>Процена расхода за запослене у 2023. години није ревидирана, али су у нову процену (као и у оригинални план) укључени расходи за зараде који се финансирају из сопствених средстава установа у здравству, у износу од 12,9 млрд динара.</w:t>
      </w:r>
      <w:r w:rsidRPr="0007074F">
        <w:rPr>
          <w:rFonts w:eastAsia="MS PGothic" w:cstheme="minorHAnsi"/>
          <w:szCs w:val="20"/>
          <w:lang w:val="sr-Cyrl-CS" w:eastAsia="ja-JP"/>
        </w:rPr>
        <w:t xml:space="preserve"> Ова промена ће у складу са Законом о буџетском систему и новим сетом фискалних правила, довести и до померања горње дозвољене границе </w:t>
      </w:r>
      <w:r w:rsidR="00416E7C" w:rsidRPr="0007074F">
        <w:rPr>
          <w:rFonts w:eastAsia="MS PGothic" w:cstheme="minorHAnsi"/>
          <w:szCs w:val="20"/>
          <w:lang w:val="sr-Cyrl-CS" w:eastAsia="ja-JP"/>
        </w:rPr>
        <w:t>учешћа расхода за зараде у БДП.</w:t>
      </w:r>
    </w:p>
    <w:p w14:paraId="7DB6BCA3" w14:textId="1668F6F0" w:rsidR="00A33AAE" w:rsidRPr="0007074F" w:rsidRDefault="00A33AAE" w:rsidP="000D3688">
      <w:pPr>
        <w:widowControl w:val="0"/>
        <w:spacing w:after="120"/>
        <w:rPr>
          <w:rFonts w:eastAsia="MS PGothic" w:cstheme="minorHAnsi"/>
          <w:spacing w:val="2"/>
          <w:szCs w:val="20"/>
          <w:lang w:val="sr-Cyrl-CS" w:eastAsia="ja-JP"/>
        </w:rPr>
      </w:pPr>
      <w:r w:rsidRPr="0007074F">
        <w:rPr>
          <w:rFonts w:eastAsia="MS PGothic" w:cstheme="minorHAnsi"/>
          <w:bCs/>
          <w:spacing w:val="2"/>
          <w:szCs w:val="20"/>
          <w:lang w:val="sr-Cyrl-CS" w:eastAsia="ja-JP"/>
        </w:rPr>
        <w:t>Највећи део повећања у оквиру расхода за робе и услуге</w:t>
      </w:r>
      <w:r w:rsidR="00844DC9" w:rsidRPr="0007074F">
        <w:rPr>
          <w:rFonts w:eastAsia="MS PGothic" w:cstheme="minorHAnsi"/>
          <w:bCs/>
          <w:spacing w:val="2"/>
          <w:szCs w:val="20"/>
          <w:lang w:val="sr-Cyrl-CS" w:eastAsia="ja-JP"/>
        </w:rPr>
        <w:t xml:space="preserve"> </w:t>
      </w:r>
      <w:r w:rsidRPr="0007074F">
        <w:rPr>
          <w:rFonts w:eastAsia="MS PGothic" w:cstheme="minorHAnsi"/>
          <w:bCs/>
          <w:spacing w:val="2"/>
          <w:szCs w:val="20"/>
          <w:lang w:val="sr-Cyrl-CS" w:eastAsia="ja-JP"/>
        </w:rPr>
        <w:t>односи се на текуће одржавање путева од стране ЈП „Путеви Србије”.</w:t>
      </w:r>
      <w:r w:rsidRPr="0007074F">
        <w:rPr>
          <w:rFonts w:eastAsia="MS PGothic" w:cstheme="minorHAnsi"/>
          <w:spacing w:val="2"/>
          <w:szCs w:val="20"/>
          <w:lang w:val="sr-Cyrl-CS" w:eastAsia="ja-JP"/>
        </w:rPr>
        <w:t xml:space="preserve"> Расходи за робе и услуге су повећани за 14 млрд динара. Преостало повећање се односи на расходе локалног нивоа власти. Као и код расхода за запослене, и код расхода за робе и услуге извршено је укључивање расхода финансираних из сопствених прихода здравствених установа, у </w:t>
      </w:r>
      <w:r w:rsidRPr="0007074F">
        <w:rPr>
          <w:rFonts w:eastAsia="MS PGothic" w:cstheme="minorHAnsi"/>
          <w:spacing w:val="2"/>
          <w:szCs w:val="20"/>
          <w:lang w:val="sr-Cyrl-CS" w:eastAsia="ja-JP"/>
        </w:rPr>
        <w:t>износу од око 17 млрд динара.</w:t>
      </w:r>
    </w:p>
    <w:p w14:paraId="666FC04F" w14:textId="22CCCB71" w:rsidR="00A33AAE" w:rsidRPr="0007074F" w:rsidRDefault="00A33AAE" w:rsidP="000D3688">
      <w:pPr>
        <w:spacing w:after="120"/>
        <w:rPr>
          <w:rFonts w:eastAsia="MS PGothic" w:cstheme="minorHAnsi"/>
          <w:szCs w:val="20"/>
          <w:lang w:val="sr-Cyrl-CS" w:eastAsia="ja-JP"/>
        </w:rPr>
      </w:pPr>
      <w:r w:rsidRPr="0007074F">
        <w:rPr>
          <w:rFonts w:eastAsia="MS PGothic" w:cstheme="minorHAnsi"/>
          <w:bCs/>
          <w:szCs w:val="20"/>
          <w:lang w:val="sr-Cyrl-CS" w:eastAsia="ja-JP"/>
        </w:rPr>
        <w:t xml:space="preserve">Повећање пољопривредних субвенција кључно су утицале на повећање укупних расхода по основу буџетских субвенција. </w:t>
      </w:r>
      <w:r w:rsidRPr="0007074F">
        <w:rPr>
          <w:rFonts w:eastAsia="MS PGothic" w:cstheme="minorHAnsi"/>
          <w:szCs w:val="20"/>
          <w:lang w:val="sr-Cyrl-CS" w:eastAsia="ja-JP"/>
        </w:rPr>
        <w:t>Расходи за субвенције су повећани у односу на оригинални план за 14,5 млрд динара, од чега повећање субвенција у пољопривреди износи 12 млрд динара. Повећање субвенција за пољопривреду односи се на област сточарства, посебно премија за млеко. Преостали део повећања субвенција односи на субве</w:t>
      </w:r>
      <w:r w:rsidR="00416E7C" w:rsidRPr="0007074F">
        <w:rPr>
          <w:rFonts w:eastAsia="MS PGothic" w:cstheme="minorHAnsi"/>
          <w:szCs w:val="20"/>
          <w:lang w:val="sr-Cyrl-CS" w:eastAsia="ja-JP"/>
        </w:rPr>
        <w:t>нције на локалном нивоу власти.</w:t>
      </w:r>
    </w:p>
    <w:p w14:paraId="683183B8" w14:textId="1C398C22" w:rsidR="00A33AAE" w:rsidRPr="0007074F" w:rsidRDefault="00A33AAE" w:rsidP="000D3688">
      <w:pPr>
        <w:spacing w:after="120"/>
        <w:rPr>
          <w:rFonts w:eastAsia="MS PGothic" w:cstheme="minorHAnsi"/>
          <w:szCs w:val="20"/>
          <w:lang w:val="sr-Cyrl-CS" w:eastAsia="ja-JP"/>
        </w:rPr>
      </w:pPr>
      <w:r w:rsidRPr="0007074F">
        <w:rPr>
          <w:rFonts w:eastAsia="MS PGothic" w:cstheme="minorHAnsi"/>
          <w:bCs/>
          <w:szCs w:val="20"/>
          <w:lang w:val="sr-Cyrl-CS" w:eastAsia="ja-JP"/>
        </w:rPr>
        <w:t>Расходи за социјалну заштиту благо су кориговани и већи су за 2,1 млрд динара у односу на оригинални план, услед повећања процене ових расхода на локалном нивоу власти.</w:t>
      </w:r>
      <w:r w:rsidRPr="0007074F">
        <w:rPr>
          <w:rFonts w:eastAsia="MS PGothic" w:cstheme="minorHAnsi"/>
          <w:szCs w:val="20"/>
          <w:lang w:val="sr-Cyrl-CS" w:eastAsia="ja-JP"/>
        </w:rPr>
        <w:t xml:space="preserve"> Процењени расходи за пензије у 2023. години нису мењани. Проширење обухвата сектора државе свим изворима финансирања здравствених установа, довело је и до исправније класификације одређених расхода. Тако је један део расхода за социјалну заштиту на локалном нивоу, сада било могуће класификовати као трансфер здравственим установама од стране локалне власти. Смањење ове категорије расхода по том основу и</w:t>
      </w:r>
      <w:r w:rsidR="00416E7C" w:rsidRPr="0007074F">
        <w:rPr>
          <w:rFonts w:eastAsia="MS PGothic" w:cstheme="minorHAnsi"/>
          <w:szCs w:val="20"/>
          <w:lang w:val="sr-Cyrl-CS" w:eastAsia="ja-JP"/>
        </w:rPr>
        <w:t>зноси 3,4 млрд.</w:t>
      </w:r>
    </w:p>
    <w:p w14:paraId="4E970EB2" w14:textId="2D83BD4A" w:rsidR="00A33AAE" w:rsidRPr="0007074F" w:rsidRDefault="00A33AAE" w:rsidP="000D3688">
      <w:pPr>
        <w:spacing w:after="120"/>
        <w:rPr>
          <w:rFonts w:eastAsia="MS PGothic" w:cstheme="minorHAnsi"/>
          <w:szCs w:val="20"/>
          <w:lang w:val="sr-Cyrl-CS" w:eastAsia="ja-JP"/>
        </w:rPr>
      </w:pPr>
      <w:r w:rsidRPr="0007074F">
        <w:rPr>
          <w:rFonts w:eastAsia="MS PGothic" w:cstheme="minorHAnsi"/>
          <w:bCs/>
          <w:szCs w:val="20"/>
          <w:lang w:val="sr-Cyrl-CS" w:eastAsia="ja-JP"/>
        </w:rPr>
        <w:t>Процена осталих текућих расхода у 2023. години у односу на оригинални план, овим оквиром није мењана.</w:t>
      </w:r>
      <w:r w:rsidRPr="0007074F">
        <w:rPr>
          <w:rFonts w:eastAsia="MS PGothic" w:cstheme="minorHAnsi"/>
          <w:szCs w:val="20"/>
          <w:lang w:val="sr-Cyrl-CS" w:eastAsia="ja-JP"/>
        </w:rPr>
        <w:t xml:space="preserve"> И код ове групације расхода дошло је до рекласификације њихове намене, услед промене обухвата сектора државе. Део расхода, у износу од 13,2 млрд динара на нивоу буџета Републике и АП Војводине, претходно приказан у оквиру ове категорије, сада је рекласификован као трансфер здравственим установама где се и реализује крајња потрошња.</w:t>
      </w:r>
    </w:p>
    <w:p w14:paraId="141BAF3D" w14:textId="3605B803" w:rsidR="00A33AAE" w:rsidRPr="0007074F" w:rsidRDefault="00A33AAE" w:rsidP="000D3688">
      <w:pPr>
        <w:spacing w:after="120"/>
        <w:rPr>
          <w:rFonts w:eastAsia="MS PGothic" w:cstheme="minorHAnsi"/>
          <w:szCs w:val="20"/>
          <w:lang w:val="sr-Cyrl-CS" w:eastAsia="ja-JP"/>
        </w:rPr>
      </w:pPr>
      <w:r w:rsidRPr="0007074F">
        <w:rPr>
          <w:rFonts w:eastAsia="MS PGothic" w:cstheme="minorHAnsi"/>
          <w:bCs/>
          <w:szCs w:val="20"/>
          <w:lang w:val="sr-Cyrl-CS" w:eastAsia="ja-JP"/>
        </w:rPr>
        <w:t>Процењује се да ће реализација јавних инвестиција бити већа за 26,9 млрд динара од првобитног плана, од чега на инфраструктурне пројекте и изградњу путне мреже одлази око 16 млрд динара.</w:t>
      </w:r>
      <w:r w:rsidRPr="0007074F">
        <w:rPr>
          <w:rFonts w:eastAsia="MS PGothic" w:cstheme="minorHAnsi"/>
          <w:szCs w:val="20"/>
          <w:lang w:val="sr-Cyrl-CS" w:eastAsia="ja-JP"/>
        </w:rPr>
        <w:t xml:space="preserve"> Капитални расходи тако достижу ниво од 7,3% БДП у 2023. години. Укључивање капиталних расхода здравствених установа довело је до повећања и оригиналног и ревид</w:t>
      </w:r>
      <w:r w:rsidR="00416E7C" w:rsidRPr="0007074F">
        <w:rPr>
          <w:rFonts w:eastAsia="MS PGothic" w:cstheme="minorHAnsi"/>
          <w:szCs w:val="20"/>
          <w:lang w:val="sr-Cyrl-CS" w:eastAsia="ja-JP"/>
        </w:rPr>
        <w:t>ираног плана за 16 млрд динара.</w:t>
      </w:r>
    </w:p>
    <w:p w14:paraId="051E7235" w14:textId="2147600E" w:rsidR="00A33AAE" w:rsidRPr="0007074F" w:rsidRDefault="00A33AAE" w:rsidP="00A33AAE">
      <w:pPr>
        <w:spacing w:after="480"/>
        <w:rPr>
          <w:rFonts w:eastAsia="MS PGothic" w:cstheme="minorHAnsi"/>
          <w:szCs w:val="20"/>
          <w:lang w:val="sr-Cyrl-CS" w:eastAsia="ja-JP"/>
        </w:rPr>
      </w:pPr>
      <w:r w:rsidRPr="0007074F">
        <w:rPr>
          <w:rFonts w:eastAsia="MS PGothic" w:cstheme="minorHAnsi"/>
          <w:bCs/>
          <w:szCs w:val="20"/>
          <w:lang w:val="sr-Cyrl-CS" w:eastAsia="ja-JP"/>
        </w:rPr>
        <w:t xml:space="preserve">Планирани износ буџетских позајмица, у оквиру којих су предвиђена средстава за набавку </w:t>
      </w:r>
      <w:r w:rsidRPr="0007074F">
        <w:rPr>
          <w:rFonts w:eastAsia="MS PGothic" w:cstheme="minorHAnsi"/>
          <w:bCs/>
          <w:szCs w:val="20"/>
          <w:lang w:val="sr-Cyrl-CS" w:eastAsia="ja-JP"/>
        </w:rPr>
        <w:lastRenderedPageBreak/>
        <w:t xml:space="preserve">енергената, није ревидиран, и поред позитивних кретања на </w:t>
      </w:r>
      <w:r w:rsidR="006848C1" w:rsidRPr="0007074F">
        <w:rPr>
          <w:rFonts w:eastAsia="MS PGothic" w:cstheme="minorHAnsi"/>
          <w:bCs/>
          <w:szCs w:val="20"/>
          <w:lang w:val="sr-Cyrl-CS" w:eastAsia="ja-JP"/>
        </w:rPr>
        <w:t>тржишту</w:t>
      </w:r>
      <w:r w:rsidRPr="0007074F">
        <w:rPr>
          <w:rFonts w:eastAsia="MS PGothic" w:cstheme="minorHAnsi"/>
          <w:bCs/>
          <w:szCs w:val="20"/>
          <w:lang w:val="sr-Cyrl-CS" w:eastAsia="ja-JP"/>
        </w:rPr>
        <w:t xml:space="preserve"> енергената.</w:t>
      </w:r>
      <w:r w:rsidRPr="0007074F">
        <w:rPr>
          <w:rFonts w:eastAsia="MS PGothic" w:cstheme="minorHAnsi"/>
          <w:szCs w:val="20"/>
          <w:lang w:val="sr-Cyrl-CS" w:eastAsia="ja-JP"/>
        </w:rPr>
        <w:t xml:space="preserve"> С обзиром на то, може се очекивати да ће приликом наредне </w:t>
      </w:r>
      <w:r w:rsidRPr="0007074F">
        <w:rPr>
          <w:rFonts w:eastAsia="MS PGothic" w:cstheme="minorHAnsi"/>
          <w:szCs w:val="20"/>
          <w:lang w:val="sr-Cyrl-CS" w:eastAsia="ja-JP"/>
        </w:rPr>
        <w:t>ревизије овај износ бити усклађен са реалним потребама.</w:t>
      </w:r>
    </w:p>
    <w:p w14:paraId="50217091" w14:textId="77777777" w:rsidR="00A33AAE" w:rsidRPr="0007074F" w:rsidRDefault="00A33AAE" w:rsidP="000D3688">
      <w:pPr>
        <w:spacing w:after="120"/>
        <w:contextualSpacing/>
        <w:rPr>
          <w:rFonts w:eastAsia="MS PGothic" w:cstheme="minorHAnsi"/>
          <w:szCs w:val="20"/>
          <w:lang w:val="sr-Cyrl-CS" w:eastAsia="ja-JP"/>
        </w:rPr>
        <w:sectPr w:rsidR="00A33AAE" w:rsidRPr="0007074F" w:rsidSect="000D3688">
          <w:type w:val="continuous"/>
          <w:pgSz w:w="12240" w:h="15840" w:code="1"/>
          <w:pgMar w:top="1440" w:right="1440" w:bottom="1440" w:left="1440" w:header="720" w:footer="720" w:gutter="0"/>
          <w:cols w:num="2" w:space="720"/>
          <w:docGrid w:linePitch="360"/>
        </w:sectPr>
      </w:pPr>
    </w:p>
    <w:p w14:paraId="7C1013D2" w14:textId="6B57DC91" w:rsidR="00A33AAE" w:rsidRPr="0007074F" w:rsidRDefault="00A33AAE" w:rsidP="000D3688">
      <w:pPr>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t xml:space="preserve">Табела 6. Приходи, расходи и резултат сектора државе, </w:t>
      </w:r>
      <w:r w:rsidR="003902AD" w:rsidRPr="0007074F">
        <w:rPr>
          <w:rFonts w:eastAsia="MS PGothic" w:cstheme="minorHAnsi"/>
          <w:b/>
          <w:color w:val="002060"/>
          <w:szCs w:val="20"/>
          <w:lang w:val="sr-Cyrl-CS" w:eastAsia="ja-JP"/>
        </w:rPr>
        <w:t xml:space="preserve">јануар–март </w:t>
      </w:r>
      <w:r w:rsidR="006636DA" w:rsidRPr="0007074F">
        <w:rPr>
          <w:rFonts w:eastAsia="MS PGothic" w:cstheme="minorHAnsi"/>
          <w:b/>
          <w:color w:val="002060"/>
          <w:szCs w:val="20"/>
          <w:lang w:val="sr-Cyrl-CS" w:eastAsia="ja-JP"/>
        </w:rPr>
        <w:t xml:space="preserve">2022. и </w:t>
      </w:r>
      <w:r w:rsidR="003902AD" w:rsidRPr="0007074F">
        <w:rPr>
          <w:rFonts w:eastAsia="MS PGothic" w:cstheme="minorHAnsi"/>
          <w:b/>
          <w:color w:val="002060"/>
          <w:szCs w:val="20"/>
          <w:lang w:val="sr-Cyrl-CS" w:eastAsia="ja-JP"/>
        </w:rPr>
        <w:t>2023</w:t>
      </w:r>
      <w:r w:rsidR="00194A17" w:rsidRPr="0007074F">
        <w:rPr>
          <w:rFonts w:eastAsia="MS PGothic" w:cstheme="minorHAnsi"/>
          <w:b/>
          <w:color w:val="002060"/>
          <w:szCs w:val="20"/>
          <w:lang w:val="sr-Cyrl-CS" w:eastAsia="ja-JP"/>
        </w:rPr>
        <w:t>. године</w:t>
      </w:r>
      <w:r w:rsidRPr="0007074F">
        <w:rPr>
          <w:rFonts w:eastAsia="MS PGothic" w:cstheme="minorHAnsi"/>
          <w:b/>
          <w:color w:val="002060"/>
          <w:szCs w:val="20"/>
          <w:lang w:val="sr-Cyrl-CS" w:eastAsia="ja-JP"/>
        </w:rPr>
        <w:t>, у млрд динара</w:t>
      </w:r>
    </w:p>
    <w:tbl>
      <w:tblPr>
        <w:tblW w:w="5009" w:type="pct"/>
        <w:jc w:val="right"/>
        <w:tblLook w:val="04A0" w:firstRow="1" w:lastRow="0" w:firstColumn="1" w:lastColumn="0" w:noHBand="0" w:noVBand="1"/>
      </w:tblPr>
      <w:tblGrid>
        <w:gridCol w:w="3301"/>
        <w:gridCol w:w="1519"/>
        <w:gridCol w:w="1519"/>
        <w:gridCol w:w="1519"/>
        <w:gridCol w:w="1519"/>
      </w:tblGrid>
      <w:tr w:rsidR="00462A3F" w:rsidRPr="0007074F" w14:paraId="3F4821C0" w14:textId="77777777" w:rsidTr="00462A3F">
        <w:trPr>
          <w:trHeight w:val="66"/>
          <w:tblHeader/>
          <w:jc w:val="right"/>
        </w:trPr>
        <w:tc>
          <w:tcPr>
            <w:tcW w:w="1760" w:type="pct"/>
            <w:tcBorders>
              <w:top w:val="single" w:sz="4" w:space="0" w:color="002060"/>
            </w:tcBorders>
            <w:shd w:val="clear" w:color="auto" w:fill="auto"/>
            <w:noWrap/>
            <w:vAlign w:val="center"/>
            <w:hideMark/>
          </w:tcPr>
          <w:p w14:paraId="0FD564D1" w14:textId="30343C22" w:rsidR="00A33AAE" w:rsidRPr="0007074F" w:rsidRDefault="00A33AAE" w:rsidP="00E124CF">
            <w:pPr>
              <w:spacing w:after="0" w:line="240" w:lineRule="auto"/>
              <w:rPr>
                <w:rFonts w:cstheme="minorHAnsi"/>
                <w:color w:val="002060"/>
                <w:sz w:val="18"/>
                <w:szCs w:val="18"/>
                <w:lang w:val="sr-Cyrl-CS"/>
              </w:rPr>
            </w:pPr>
          </w:p>
        </w:tc>
        <w:tc>
          <w:tcPr>
            <w:tcW w:w="810" w:type="pct"/>
            <w:tcBorders>
              <w:top w:val="single" w:sz="4" w:space="0" w:color="002060"/>
              <w:bottom w:val="single" w:sz="4" w:space="0" w:color="002060"/>
            </w:tcBorders>
            <w:shd w:val="clear" w:color="auto" w:fill="auto"/>
            <w:vAlign w:val="center"/>
            <w:hideMark/>
          </w:tcPr>
          <w:p w14:paraId="08894D6B" w14:textId="406FDB73" w:rsidR="00A33AAE" w:rsidRPr="0007074F" w:rsidRDefault="006636DA" w:rsidP="000D3688">
            <w:pPr>
              <w:spacing w:after="0" w:line="240" w:lineRule="auto"/>
              <w:jc w:val="center"/>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Q1</w:t>
            </w:r>
            <w:r w:rsidR="0046277F" w:rsidRPr="0007074F">
              <w:rPr>
                <w:rFonts w:eastAsia="MS PGothic" w:cstheme="minorHAnsi"/>
                <w:color w:val="002060"/>
                <w:sz w:val="18"/>
                <w:szCs w:val="18"/>
                <w:lang w:val="sr-Cyrl-CS" w:eastAsia="ja-JP"/>
              </w:rPr>
              <w:t xml:space="preserve"> 2022</w:t>
            </w:r>
            <w:r w:rsidR="00A33AAE" w:rsidRPr="0007074F">
              <w:rPr>
                <w:rFonts w:eastAsia="MS PGothic" w:cstheme="minorHAnsi"/>
                <w:color w:val="002060"/>
                <w:sz w:val="18"/>
                <w:szCs w:val="18"/>
                <w:lang w:val="sr-Cyrl-CS" w:eastAsia="ja-JP"/>
              </w:rPr>
              <w:t>*</w:t>
            </w:r>
          </w:p>
        </w:tc>
        <w:tc>
          <w:tcPr>
            <w:tcW w:w="810" w:type="pct"/>
            <w:tcBorders>
              <w:top w:val="single" w:sz="4" w:space="0" w:color="002060"/>
              <w:bottom w:val="single" w:sz="4" w:space="0" w:color="002060"/>
            </w:tcBorders>
            <w:shd w:val="clear" w:color="auto" w:fill="auto"/>
            <w:vAlign w:val="center"/>
            <w:hideMark/>
          </w:tcPr>
          <w:p w14:paraId="166BAAC9" w14:textId="3FACF127" w:rsidR="00A33AAE" w:rsidRPr="0007074F" w:rsidRDefault="006636DA" w:rsidP="000D3688">
            <w:pPr>
              <w:spacing w:after="0" w:line="240" w:lineRule="auto"/>
              <w:jc w:val="center"/>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Q1</w:t>
            </w:r>
            <w:r w:rsidR="0046277F" w:rsidRPr="0007074F">
              <w:rPr>
                <w:rFonts w:eastAsia="MS PGothic" w:cstheme="minorHAnsi"/>
                <w:color w:val="002060"/>
                <w:sz w:val="18"/>
                <w:szCs w:val="18"/>
                <w:lang w:val="sr-Cyrl-CS" w:eastAsia="ja-JP"/>
              </w:rPr>
              <w:t xml:space="preserve"> 2023</w:t>
            </w:r>
            <w:r w:rsidR="00A33AAE" w:rsidRPr="0007074F">
              <w:rPr>
                <w:rFonts w:eastAsia="MS PGothic" w:cstheme="minorHAnsi"/>
                <w:color w:val="002060"/>
                <w:sz w:val="18"/>
                <w:szCs w:val="18"/>
                <w:lang w:val="sr-Cyrl-CS" w:eastAsia="ja-JP"/>
              </w:rPr>
              <w:t>*</w:t>
            </w:r>
          </w:p>
        </w:tc>
        <w:tc>
          <w:tcPr>
            <w:tcW w:w="810" w:type="pct"/>
            <w:tcBorders>
              <w:top w:val="single" w:sz="4" w:space="0" w:color="002060"/>
              <w:bottom w:val="single" w:sz="4" w:space="0" w:color="002060"/>
            </w:tcBorders>
            <w:vAlign w:val="center"/>
          </w:tcPr>
          <w:p w14:paraId="3B839B3D" w14:textId="1FF62707" w:rsidR="00A33AAE" w:rsidRPr="0007074F" w:rsidRDefault="0046277F" w:rsidP="000D3688">
            <w:pPr>
              <w:spacing w:after="0" w:line="240" w:lineRule="auto"/>
              <w:jc w:val="center"/>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Q1</w:t>
            </w:r>
            <w:r w:rsidR="00A33AAE" w:rsidRPr="0007074F">
              <w:rPr>
                <w:rFonts w:eastAsia="MS PGothic" w:cstheme="minorHAnsi"/>
                <w:color w:val="002060"/>
                <w:sz w:val="18"/>
                <w:szCs w:val="18"/>
                <w:lang w:val="sr-Cyrl-CS" w:eastAsia="ja-JP"/>
              </w:rPr>
              <w:t xml:space="preserve"> </w:t>
            </w:r>
            <w:r w:rsidRPr="0007074F">
              <w:rPr>
                <w:rFonts w:eastAsia="MS PGothic" w:cstheme="minorHAnsi"/>
                <w:color w:val="002060"/>
                <w:sz w:val="18"/>
                <w:szCs w:val="18"/>
                <w:lang w:val="sr-Cyrl-CS" w:eastAsia="ja-JP"/>
              </w:rPr>
              <w:t xml:space="preserve">2023/2022 </w:t>
            </w:r>
            <w:r w:rsidR="00A33AAE" w:rsidRPr="0007074F">
              <w:rPr>
                <w:rFonts w:eastAsia="MS PGothic" w:cstheme="minorHAnsi"/>
                <w:color w:val="002060"/>
                <w:sz w:val="18"/>
                <w:szCs w:val="18"/>
                <w:lang w:val="sr-Cyrl-CS" w:eastAsia="ja-JP"/>
              </w:rPr>
              <w:t>стопа раста у %</w:t>
            </w:r>
          </w:p>
        </w:tc>
        <w:tc>
          <w:tcPr>
            <w:tcW w:w="810" w:type="pct"/>
            <w:tcBorders>
              <w:top w:val="single" w:sz="4" w:space="0" w:color="002060"/>
              <w:bottom w:val="single" w:sz="4" w:space="0" w:color="002060"/>
            </w:tcBorders>
            <w:shd w:val="clear" w:color="auto" w:fill="auto"/>
            <w:vAlign w:val="center"/>
            <w:hideMark/>
          </w:tcPr>
          <w:p w14:paraId="42E7522B" w14:textId="3636459B" w:rsidR="00A33AAE" w:rsidRPr="0007074F" w:rsidRDefault="00A33AAE" w:rsidP="00E124CF">
            <w:pPr>
              <w:spacing w:after="0" w:line="240" w:lineRule="auto"/>
              <w:jc w:val="center"/>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2023</w:t>
            </w:r>
            <w:r w:rsidR="0046277F" w:rsidRPr="0007074F">
              <w:rPr>
                <w:rFonts w:eastAsia="MS PGothic" w:cstheme="minorHAnsi"/>
                <w:color w:val="002060"/>
                <w:sz w:val="18"/>
                <w:szCs w:val="18"/>
                <w:lang w:val="sr-Cyrl-CS" w:eastAsia="ja-JP"/>
              </w:rPr>
              <w:t xml:space="preserve"> план</w:t>
            </w:r>
            <w:r w:rsidRPr="0007074F">
              <w:rPr>
                <w:rFonts w:eastAsia="MS PGothic" w:cstheme="minorHAnsi"/>
                <w:color w:val="002060"/>
                <w:sz w:val="18"/>
                <w:szCs w:val="18"/>
                <w:lang w:val="sr-Cyrl-CS" w:eastAsia="ja-JP"/>
              </w:rPr>
              <w:t>/2022 стопа раста у %</w:t>
            </w:r>
          </w:p>
        </w:tc>
      </w:tr>
      <w:tr w:rsidR="00462A3F" w:rsidRPr="0007074F" w14:paraId="72E61A19" w14:textId="77777777" w:rsidTr="00462A3F">
        <w:trPr>
          <w:trHeight w:val="66"/>
          <w:tblHeader/>
          <w:jc w:val="right"/>
        </w:trPr>
        <w:tc>
          <w:tcPr>
            <w:tcW w:w="1760" w:type="pct"/>
            <w:shd w:val="clear" w:color="auto" w:fill="E7E6E6" w:themeFill="background2"/>
            <w:noWrap/>
            <w:vAlign w:val="center"/>
            <w:hideMark/>
          </w:tcPr>
          <w:p w14:paraId="4D438C54" w14:textId="77777777" w:rsidR="0046277F" w:rsidRPr="0007074F" w:rsidRDefault="0046277F" w:rsidP="0046277F">
            <w:pPr>
              <w:spacing w:after="0" w:line="240" w:lineRule="auto"/>
              <w:jc w:val="left"/>
              <w:rPr>
                <w:rFonts w:cstheme="minorHAnsi"/>
                <w:color w:val="002060"/>
                <w:sz w:val="18"/>
                <w:szCs w:val="18"/>
                <w:lang w:val="sr-Cyrl-CS"/>
              </w:rPr>
            </w:pPr>
            <w:r w:rsidRPr="0007074F">
              <w:rPr>
                <w:rFonts w:eastAsia="MS PGothic" w:cstheme="minorHAnsi"/>
                <w:color w:val="002060"/>
                <w:sz w:val="18"/>
                <w:szCs w:val="18"/>
                <w:lang w:val="sr-Cyrl-CS" w:eastAsia="ja-JP"/>
              </w:rPr>
              <w:t>ЈАВНИ ПРИХОДИ</w:t>
            </w:r>
          </w:p>
        </w:tc>
        <w:tc>
          <w:tcPr>
            <w:tcW w:w="810" w:type="pct"/>
            <w:tcBorders>
              <w:top w:val="single" w:sz="4" w:space="0" w:color="002060"/>
            </w:tcBorders>
            <w:shd w:val="clear" w:color="auto" w:fill="E7E6E6" w:themeFill="background2"/>
            <w:hideMark/>
          </w:tcPr>
          <w:p w14:paraId="336B5A98" w14:textId="12DDD0D6"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684,9</w:t>
            </w:r>
          </w:p>
        </w:tc>
        <w:tc>
          <w:tcPr>
            <w:tcW w:w="810" w:type="pct"/>
            <w:tcBorders>
              <w:top w:val="single" w:sz="4" w:space="0" w:color="002060"/>
            </w:tcBorders>
            <w:shd w:val="clear" w:color="auto" w:fill="E7E6E6" w:themeFill="background2"/>
            <w:hideMark/>
          </w:tcPr>
          <w:p w14:paraId="387F3829" w14:textId="63FE439D"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772,9</w:t>
            </w:r>
          </w:p>
        </w:tc>
        <w:tc>
          <w:tcPr>
            <w:tcW w:w="810" w:type="pct"/>
            <w:tcBorders>
              <w:top w:val="single" w:sz="4" w:space="0" w:color="002060"/>
            </w:tcBorders>
            <w:shd w:val="clear" w:color="auto" w:fill="E7E6E6" w:themeFill="background2"/>
          </w:tcPr>
          <w:p w14:paraId="039A468E" w14:textId="19C6A41D"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12,9</w:t>
            </w:r>
          </w:p>
        </w:tc>
        <w:tc>
          <w:tcPr>
            <w:tcW w:w="810" w:type="pct"/>
            <w:tcBorders>
              <w:top w:val="single" w:sz="4" w:space="0" w:color="002060"/>
            </w:tcBorders>
            <w:shd w:val="clear" w:color="auto" w:fill="E7E6E6" w:themeFill="background2"/>
            <w:hideMark/>
          </w:tcPr>
          <w:p w14:paraId="509157E7" w14:textId="37482DD1"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9,2</w:t>
            </w:r>
          </w:p>
        </w:tc>
      </w:tr>
      <w:tr w:rsidR="00462A3F" w:rsidRPr="0007074F" w14:paraId="305955AD" w14:textId="77777777" w:rsidTr="00462A3F">
        <w:trPr>
          <w:trHeight w:val="66"/>
          <w:tblHeader/>
          <w:jc w:val="right"/>
        </w:trPr>
        <w:tc>
          <w:tcPr>
            <w:tcW w:w="1760" w:type="pct"/>
            <w:shd w:val="clear" w:color="auto" w:fill="auto"/>
            <w:noWrap/>
            <w:vAlign w:val="center"/>
            <w:hideMark/>
          </w:tcPr>
          <w:p w14:paraId="0084217B"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Текући приходи</w:t>
            </w:r>
          </w:p>
        </w:tc>
        <w:tc>
          <w:tcPr>
            <w:tcW w:w="810" w:type="pct"/>
            <w:shd w:val="clear" w:color="auto" w:fill="auto"/>
            <w:hideMark/>
          </w:tcPr>
          <w:p w14:paraId="68050A7A" w14:textId="49A7C577"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682,7</w:t>
            </w:r>
          </w:p>
        </w:tc>
        <w:tc>
          <w:tcPr>
            <w:tcW w:w="810" w:type="pct"/>
            <w:shd w:val="clear" w:color="auto" w:fill="auto"/>
            <w:noWrap/>
            <w:hideMark/>
          </w:tcPr>
          <w:p w14:paraId="246FDD43" w14:textId="2FB00055"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752,1</w:t>
            </w:r>
          </w:p>
        </w:tc>
        <w:tc>
          <w:tcPr>
            <w:tcW w:w="810" w:type="pct"/>
          </w:tcPr>
          <w:p w14:paraId="72882AB4" w14:textId="1F8EF209"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10,2</w:t>
            </w:r>
          </w:p>
        </w:tc>
        <w:tc>
          <w:tcPr>
            <w:tcW w:w="810" w:type="pct"/>
            <w:shd w:val="clear" w:color="auto" w:fill="auto"/>
            <w:hideMark/>
          </w:tcPr>
          <w:p w14:paraId="6CDB33A6" w14:textId="67FF54DC"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8,1</w:t>
            </w:r>
          </w:p>
        </w:tc>
      </w:tr>
      <w:tr w:rsidR="00462A3F" w:rsidRPr="0007074F" w14:paraId="424D6216" w14:textId="77777777" w:rsidTr="00462A3F">
        <w:trPr>
          <w:trHeight w:val="66"/>
          <w:tblHeader/>
          <w:jc w:val="right"/>
        </w:trPr>
        <w:tc>
          <w:tcPr>
            <w:tcW w:w="1760" w:type="pct"/>
            <w:shd w:val="clear" w:color="auto" w:fill="auto"/>
            <w:noWrap/>
            <w:vAlign w:val="center"/>
            <w:hideMark/>
          </w:tcPr>
          <w:p w14:paraId="6E3896C0"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Порески приходи</w:t>
            </w:r>
          </w:p>
        </w:tc>
        <w:tc>
          <w:tcPr>
            <w:tcW w:w="810" w:type="pct"/>
            <w:shd w:val="clear" w:color="auto" w:fill="auto"/>
            <w:hideMark/>
          </w:tcPr>
          <w:p w14:paraId="0BFC39D7" w14:textId="200C4094"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616,9</w:t>
            </w:r>
          </w:p>
        </w:tc>
        <w:tc>
          <w:tcPr>
            <w:tcW w:w="810" w:type="pct"/>
            <w:shd w:val="clear" w:color="auto" w:fill="auto"/>
            <w:hideMark/>
          </w:tcPr>
          <w:p w14:paraId="6643AAC5" w14:textId="1AE343BB"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680,8</w:t>
            </w:r>
          </w:p>
        </w:tc>
        <w:tc>
          <w:tcPr>
            <w:tcW w:w="810" w:type="pct"/>
          </w:tcPr>
          <w:p w14:paraId="4CFB3436" w14:textId="672A5378"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10,3</w:t>
            </w:r>
          </w:p>
        </w:tc>
        <w:tc>
          <w:tcPr>
            <w:tcW w:w="810" w:type="pct"/>
            <w:shd w:val="clear" w:color="auto" w:fill="auto"/>
            <w:hideMark/>
          </w:tcPr>
          <w:p w14:paraId="5C0EE3FE" w14:textId="37B5A5E0"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8,8</w:t>
            </w:r>
          </w:p>
        </w:tc>
      </w:tr>
      <w:tr w:rsidR="00462A3F" w:rsidRPr="0007074F" w14:paraId="5467D616" w14:textId="77777777" w:rsidTr="00462A3F">
        <w:trPr>
          <w:trHeight w:val="66"/>
          <w:tblHeader/>
          <w:jc w:val="right"/>
        </w:trPr>
        <w:tc>
          <w:tcPr>
            <w:tcW w:w="1760" w:type="pct"/>
            <w:shd w:val="clear" w:color="auto" w:fill="auto"/>
            <w:noWrap/>
            <w:vAlign w:val="center"/>
            <w:hideMark/>
          </w:tcPr>
          <w:p w14:paraId="2DB8C587"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Порез на доходак грађана</w:t>
            </w:r>
          </w:p>
        </w:tc>
        <w:tc>
          <w:tcPr>
            <w:tcW w:w="810" w:type="pct"/>
            <w:shd w:val="clear" w:color="auto" w:fill="auto"/>
            <w:hideMark/>
          </w:tcPr>
          <w:p w14:paraId="247E9639" w14:textId="4E2D2ABA"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63,5</w:t>
            </w:r>
          </w:p>
        </w:tc>
        <w:tc>
          <w:tcPr>
            <w:tcW w:w="810" w:type="pct"/>
            <w:shd w:val="clear" w:color="auto" w:fill="auto"/>
            <w:hideMark/>
          </w:tcPr>
          <w:p w14:paraId="2755DBCE" w14:textId="1459F6DF"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72,6</w:t>
            </w:r>
          </w:p>
        </w:tc>
        <w:tc>
          <w:tcPr>
            <w:tcW w:w="810" w:type="pct"/>
          </w:tcPr>
          <w:p w14:paraId="23DE322C" w14:textId="42D995FA"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14,4</w:t>
            </w:r>
          </w:p>
        </w:tc>
        <w:tc>
          <w:tcPr>
            <w:tcW w:w="810" w:type="pct"/>
            <w:shd w:val="clear" w:color="auto" w:fill="auto"/>
            <w:hideMark/>
          </w:tcPr>
          <w:p w14:paraId="1E378EA3" w14:textId="417FD6E8"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10,1</w:t>
            </w:r>
          </w:p>
        </w:tc>
      </w:tr>
      <w:tr w:rsidR="00462A3F" w:rsidRPr="0007074F" w14:paraId="05959A25" w14:textId="77777777" w:rsidTr="00462A3F">
        <w:trPr>
          <w:trHeight w:val="66"/>
          <w:tblHeader/>
          <w:jc w:val="right"/>
        </w:trPr>
        <w:tc>
          <w:tcPr>
            <w:tcW w:w="1760" w:type="pct"/>
            <w:shd w:val="clear" w:color="auto" w:fill="auto"/>
            <w:noWrap/>
            <w:vAlign w:val="center"/>
            <w:hideMark/>
          </w:tcPr>
          <w:p w14:paraId="2E8CDFC9"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Порез на добит правних лица</w:t>
            </w:r>
          </w:p>
        </w:tc>
        <w:tc>
          <w:tcPr>
            <w:tcW w:w="810" w:type="pct"/>
            <w:shd w:val="clear" w:color="auto" w:fill="auto"/>
            <w:hideMark/>
          </w:tcPr>
          <w:p w14:paraId="6D71FB08" w14:textId="07A7467C"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35,7</w:t>
            </w:r>
          </w:p>
        </w:tc>
        <w:tc>
          <w:tcPr>
            <w:tcW w:w="810" w:type="pct"/>
            <w:shd w:val="clear" w:color="auto" w:fill="auto"/>
            <w:hideMark/>
          </w:tcPr>
          <w:p w14:paraId="48B85A04" w14:textId="573D2CD0"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44,4</w:t>
            </w:r>
          </w:p>
        </w:tc>
        <w:tc>
          <w:tcPr>
            <w:tcW w:w="810" w:type="pct"/>
          </w:tcPr>
          <w:p w14:paraId="63622BE2" w14:textId="01DF8120"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24,4</w:t>
            </w:r>
          </w:p>
        </w:tc>
        <w:tc>
          <w:tcPr>
            <w:tcW w:w="810" w:type="pct"/>
            <w:shd w:val="clear" w:color="auto" w:fill="auto"/>
            <w:hideMark/>
          </w:tcPr>
          <w:p w14:paraId="483A7489" w14:textId="4291E809"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4,7</w:t>
            </w:r>
          </w:p>
        </w:tc>
      </w:tr>
      <w:tr w:rsidR="00462A3F" w:rsidRPr="0007074F" w14:paraId="2A3D7ECE" w14:textId="77777777" w:rsidTr="00462A3F">
        <w:trPr>
          <w:trHeight w:val="66"/>
          <w:tblHeader/>
          <w:jc w:val="right"/>
        </w:trPr>
        <w:tc>
          <w:tcPr>
            <w:tcW w:w="1760" w:type="pct"/>
            <w:shd w:val="clear" w:color="auto" w:fill="auto"/>
            <w:noWrap/>
            <w:vAlign w:val="center"/>
            <w:hideMark/>
          </w:tcPr>
          <w:p w14:paraId="57471FE8"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ПДВ</w:t>
            </w:r>
          </w:p>
        </w:tc>
        <w:tc>
          <w:tcPr>
            <w:tcW w:w="810" w:type="pct"/>
            <w:shd w:val="clear" w:color="auto" w:fill="auto"/>
            <w:hideMark/>
          </w:tcPr>
          <w:p w14:paraId="5E9FF666" w14:textId="1DBFC893"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181,4</w:t>
            </w:r>
          </w:p>
        </w:tc>
        <w:tc>
          <w:tcPr>
            <w:tcW w:w="810" w:type="pct"/>
            <w:shd w:val="clear" w:color="auto" w:fill="auto"/>
            <w:hideMark/>
          </w:tcPr>
          <w:p w14:paraId="39BC8F35" w14:textId="48DDA0D3"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197,5</w:t>
            </w:r>
          </w:p>
        </w:tc>
        <w:tc>
          <w:tcPr>
            <w:tcW w:w="810" w:type="pct"/>
          </w:tcPr>
          <w:p w14:paraId="11CEAA2A" w14:textId="484E360D"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8,8</w:t>
            </w:r>
          </w:p>
        </w:tc>
        <w:tc>
          <w:tcPr>
            <w:tcW w:w="810" w:type="pct"/>
            <w:shd w:val="clear" w:color="auto" w:fill="auto"/>
            <w:hideMark/>
          </w:tcPr>
          <w:p w14:paraId="4062D2CB" w14:textId="6DE5F56F"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11,0</w:t>
            </w:r>
          </w:p>
        </w:tc>
      </w:tr>
      <w:tr w:rsidR="00462A3F" w:rsidRPr="0007074F" w14:paraId="3F45CB4C" w14:textId="77777777" w:rsidTr="00462A3F">
        <w:trPr>
          <w:trHeight w:val="66"/>
          <w:tblHeader/>
          <w:jc w:val="right"/>
        </w:trPr>
        <w:tc>
          <w:tcPr>
            <w:tcW w:w="1760" w:type="pct"/>
            <w:shd w:val="clear" w:color="auto" w:fill="auto"/>
            <w:noWrap/>
            <w:vAlign w:val="center"/>
            <w:hideMark/>
          </w:tcPr>
          <w:p w14:paraId="14365C23"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Акцизе</w:t>
            </w:r>
          </w:p>
        </w:tc>
        <w:tc>
          <w:tcPr>
            <w:tcW w:w="810" w:type="pct"/>
            <w:shd w:val="clear" w:color="auto" w:fill="auto"/>
            <w:hideMark/>
          </w:tcPr>
          <w:p w14:paraId="04796025" w14:textId="3090FB24"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84,3</w:t>
            </w:r>
          </w:p>
        </w:tc>
        <w:tc>
          <w:tcPr>
            <w:tcW w:w="810" w:type="pct"/>
            <w:shd w:val="clear" w:color="auto" w:fill="auto"/>
            <w:hideMark/>
          </w:tcPr>
          <w:p w14:paraId="3F6A0C1C" w14:textId="17003859"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82,0</w:t>
            </w:r>
          </w:p>
        </w:tc>
        <w:tc>
          <w:tcPr>
            <w:tcW w:w="810" w:type="pct"/>
          </w:tcPr>
          <w:p w14:paraId="625F6F81" w14:textId="51167866"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-2,7</w:t>
            </w:r>
          </w:p>
        </w:tc>
        <w:tc>
          <w:tcPr>
            <w:tcW w:w="810" w:type="pct"/>
            <w:shd w:val="clear" w:color="auto" w:fill="auto"/>
            <w:hideMark/>
          </w:tcPr>
          <w:p w14:paraId="02457FD5" w14:textId="693FC56A"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3,1</w:t>
            </w:r>
          </w:p>
        </w:tc>
      </w:tr>
      <w:tr w:rsidR="00462A3F" w:rsidRPr="0007074F" w14:paraId="4F9D60C8" w14:textId="77777777" w:rsidTr="00462A3F">
        <w:trPr>
          <w:trHeight w:val="66"/>
          <w:tblHeader/>
          <w:jc w:val="right"/>
        </w:trPr>
        <w:tc>
          <w:tcPr>
            <w:tcW w:w="1760" w:type="pct"/>
            <w:shd w:val="clear" w:color="auto" w:fill="auto"/>
            <w:noWrap/>
            <w:vAlign w:val="center"/>
            <w:hideMark/>
          </w:tcPr>
          <w:p w14:paraId="7394EFEF"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Царине</w:t>
            </w:r>
          </w:p>
        </w:tc>
        <w:tc>
          <w:tcPr>
            <w:tcW w:w="810" w:type="pct"/>
            <w:shd w:val="clear" w:color="auto" w:fill="auto"/>
            <w:hideMark/>
          </w:tcPr>
          <w:p w14:paraId="33C5A60D" w14:textId="6F33B01E"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18,4</w:t>
            </w:r>
          </w:p>
        </w:tc>
        <w:tc>
          <w:tcPr>
            <w:tcW w:w="810" w:type="pct"/>
            <w:shd w:val="clear" w:color="auto" w:fill="auto"/>
            <w:hideMark/>
          </w:tcPr>
          <w:p w14:paraId="40800EE0" w14:textId="4E3EB30F"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19,4</w:t>
            </w:r>
          </w:p>
        </w:tc>
        <w:tc>
          <w:tcPr>
            <w:tcW w:w="810" w:type="pct"/>
          </w:tcPr>
          <w:p w14:paraId="0BC76C2A" w14:textId="745520EC"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5,5</w:t>
            </w:r>
          </w:p>
        </w:tc>
        <w:tc>
          <w:tcPr>
            <w:tcW w:w="810" w:type="pct"/>
            <w:shd w:val="clear" w:color="auto" w:fill="auto"/>
            <w:hideMark/>
          </w:tcPr>
          <w:p w14:paraId="7C8D30FD" w14:textId="37042902"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4,6</w:t>
            </w:r>
          </w:p>
        </w:tc>
      </w:tr>
      <w:tr w:rsidR="00462A3F" w:rsidRPr="0007074F" w14:paraId="02B032D4" w14:textId="77777777" w:rsidTr="00462A3F">
        <w:trPr>
          <w:trHeight w:val="66"/>
          <w:tblHeader/>
          <w:jc w:val="right"/>
        </w:trPr>
        <w:tc>
          <w:tcPr>
            <w:tcW w:w="1760" w:type="pct"/>
            <w:shd w:val="clear" w:color="auto" w:fill="auto"/>
            <w:noWrap/>
            <w:vAlign w:val="center"/>
            <w:hideMark/>
          </w:tcPr>
          <w:p w14:paraId="6396B0B2"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Остали порески приходи</w:t>
            </w:r>
          </w:p>
        </w:tc>
        <w:tc>
          <w:tcPr>
            <w:tcW w:w="810" w:type="pct"/>
            <w:shd w:val="clear" w:color="auto" w:fill="auto"/>
            <w:hideMark/>
          </w:tcPr>
          <w:p w14:paraId="270586EA" w14:textId="3F55A875"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22,7</w:t>
            </w:r>
          </w:p>
        </w:tc>
        <w:tc>
          <w:tcPr>
            <w:tcW w:w="810" w:type="pct"/>
            <w:shd w:val="clear" w:color="auto" w:fill="auto"/>
            <w:hideMark/>
          </w:tcPr>
          <w:p w14:paraId="1A158837" w14:textId="4623CD36"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26,1</w:t>
            </w:r>
          </w:p>
        </w:tc>
        <w:tc>
          <w:tcPr>
            <w:tcW w:w="810" w:type="pct"/>
          </w:tcPr>
          <w:p w14:paraId="47176B37" w14:textId="0098E052"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14,9</w:t>
            </w:r>
          </w:p>
        </w:tc>
        <w:tc>
          <w:tcPr>
            <w:tcW w:w="810" w:type="pct"/>
            <w:shd w:val="clear" w:color="auto" w:fill="auto"/>
            <w:hideMark/>
          </w:tcPr>
          <w:p w14:paraId="6878F086" w14:textId="1AD3B167"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7,8</w:t>
            </w:r>
          </w:p>
        </w:tc>
      </w:tr>
      <w:tr w:rsidR="00462A3F" w:rsidRPr="0007074F" w14:paraId="1E66AB58" w14:textId="77777777" w:rsidTr="00462A3F">
        <w:trPr>
          <w:trHeight w:val="66"/>
          <w:tblHeader/>
          <w:jc w:val="right"/>
        </w:trPr>
        <w:tc>
          <w:tcPr>
            <w:tcW w:w="1760" w:type="pct"/>
            <w:shd w:val="clear" w:color="auto" w:fill="auto"/>
            <w:noWrap/>
            <w:vAlign w:val="center"/>
            <w:hideMark/>
          </w:tcPr>
          <w:p w14:paraId="3C9AA2F1"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Доприноси</w:t>
            </w:r>
          </w:p>
        </w:tc>
        <w:tc>
          <w:tcPr>
            <w:tcW w:w="810" w:type="pct"/>
            <w:shd w:val="clear" w:color="auto" w:fill="auto"/>
            <w:hideMark/>
          </w:tcPr>
          <w:p w14:paraId="1369CCAD" w14:textId="09972076"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211,0</w:t>
            </w:r>
          </w:p>
        </w:tc>
        <w:tc>
          <w:tcPr>
            <w:tcW w:w="810" w:type="pct"/>
            <w:shd w:val="clear" w:color="auto" w:fill="auto"/>
            <w:hideMark/>
          </w:tcPr>
          <w:p w14:paraId="5CDDBA26" w14:textId="729014C9"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238,8</w:t>
            </w:r>
          </w:p>
        </w:tc>
        <w:tc>
          <w:tcPr>
            <w:tcW w:w="810" w:type="pct"/>
          </w:tcPr>
          <w:p w14:paraId="413B3193" w14:textId="1A2FA238"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13,2</w:t>
            </w:r>
          </w:p>
        </w:tc>
        <w:tc>
          <w:tcPr>
            <w:tcW w:w="810" w:type="pct"/>
            <w:shd w:val="clear" w:color="auto" w:fill="auto"/>
            <w:hideMark/>
          </w:tcPr>
          <w:p w14:paraId="16E9B237" w14:textId="2C006E4C"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9,9</w:t>
            </w:r>
          </w:p>
        </w:tc>
      </w:tr>
      <w:tr w:rsidR="00462A3F" w:rsidRPr="0007074F" w14:paraId="6F224749" w14:textId="77777777" w:rsidTr="00462A3F">
        <w:trPr>
          <w:trHeight w:val="66"/>
          <w:tblHeader/>
          <w:jc w:val="right"/>
        </w:trPr>
        <w:tc>
          <w:tcPr>
            <w:tcW w:w="1760" w:type="pct"/>
            <w:shd w:val="clear" w:color="auto" w:fill="auto"/>
            <w:noWrap/>
            <w:vAlign w:val="center"/>
            <w:hideMark/>
          </w:tcPr>
          <w:p w14:paraId="63C80DC2"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Непорески приходи</w:t>
            </w:r>
          </w:p>
        </w:tc>
        <w:tc>
          <w:tcPr>
            <w:tcW w:w="810" w:type="pct"/>
            <w:shd w:val="clear" w:color="auto" w:fill="auto"/>
            <w:hideMark/>
          </w:tcPr>
          <w:p w14:paraId="0CC4AD90" w14:textId="7A530249"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65,8</w:t>
            </w:r>
          </w:p>
        </w:tc>
        <w:tc>
          <w:tcPr>
            <w:tcW w:w="810" w:type="pct"/>
            <w:shd w:val="clear" w:color="auto" w:fill="auto"/>
            <w:hideMark/>
          </w:tcPr>
          <w:p w14:paraId="704317DF" w14:textId="4F278F4D"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71,4</w:t>
            </w:r>
          </w:p>
        </w:tc>
        <w:tc>
          <w:tcPr>
            <w:tcW w:w="810" w:type="pct"/>
          </w:tcPr>
          <w:p w14:paraId="58F7A671" w14:textId="1C50E744"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8,5</w:t>
            </w:r>
          </w:p>
        </w:tc>
        <w:tc>
          <w:tcPr>
            <w:tcW w:w="810" w:type="pct"/>
            <w:shd w:val="clear" w:color="auto" w:fill="auto"/>
            <w:hideMark/>
          </w:tcPr>
          <w:p w14:paraId="2FB93490" w14:textId="272D4ACF"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2,1</w:t>
            </w:r>
          </w:p>
        </w:tc>
      </w:tr>
      <w:tr w:rsidR="00462A3F" w:rsidRPr="0007074F" w14:paraId="7B129EE5" w14:textId="77777777" w:rsidTr="00462A3F">
        <w:trPr>
          <w:trHeight w:val="66"/>
          <w:tblHeader/>
          <w:jc w:val="right"/>
        </w:trPr>
        <w:tc>
          <w:tcPr>
            <w:tcW w:w="1760" w:type="pct"/>
            <w:shd w:val="clear" w:color="auto" w:fill="auto"/>
            <w:noWrap/>
            <w:vAlign w:val="center"/>
            <w:hideMark/>
          </w:tcPr>
          <w:p w14:paraId="1115A698"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Донације</w:t>
            </w:r>
          </w:p>
        </w:tc>
        <w:tc>
          <w:tcPr>
            <w:tcW w:w="810" w:type="pct"/>
            <w:shd w:val="clear" w:color="auto" w:fill="auto"/>
            <w:hideMark/>
          </w:tcPr>
          <w:p w14:paraId="06A4DE6D" w14:textId="6083C544"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2,2</w:t>
            </w:r>
          </w:p>
        </w:tc>
        <w:tc>
          <w:tcPr>
            <w:tcW w:w="810" w:type="pct"/>
            <w:shd w:val="clear" w:color="auto" w:fill="auto"/>
            <w:hideMark/>
          </w:tcPr>
          <w:p w14:paraId="7DF5C0D4" w14:textId="6C94AA9E"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20,8</w:t>
            </w:r>
          </w:p>
        </w:tc>
        <w:tc>
          <w:tcPr>
            <w:tcW w:w="810" w:type="pct"/>
          </w:tcPr>
          <w:p w14:paraId="57F37EEC" w14:textId="3F57F02D"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851,7</w:t>
            </w:r>
          </w:p>
        </w:tc>
        <w:tc>
          <w:tcPr>
            <w:tcW w:w="810" w:type="pct"/>
            <w:shd w:val="clear" w:color="auto" w:fill="auto"/>
            <w:hideMark/>
          </w:tcPr>
          <w:p w14:paraId="335911F4" w14:textId="10CFD8B1"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229,9</w:t>
            </w:r>
          </w:p>
        </w:tc>
      </w:tr>
      <w:tr w:rsidR="00462A3F" w:rsidRPr="0007074F" w14:paraId="2245E9EB" w14:textId="77777777" w:rsidTr="00462A3F">
        <w:trPr>
          <w:trHeight w:val="66"/>
          <w:tblHeader/>
          <w:jc w:val="right"/>
        </w:trPr>
        <w:tc>
          <w:tcPr>
            <w:tcW w:w="1760" w:type="pct"/>
            <w:shd w:val="clear" w:color="auto" w:fill="E7E6E6" w:themeFill="background2"/>
            <w:noWrap/>
            <w:vAlign w:val="center"/>
            <w:hideMark/>
          </w:tcPr>
          <w:p w14:paraId="1466AE8E" w14:textId="77777777" w:rsidR="0046277F" w:rsidRPr="0007074F" w:rsidRDefault="0046277F" w:rsidP="0046277F">
            <w:pPr>
              <w:spacing w:after="0" w:line="240" w:lineRule="auto"/>
              <w:jc w:val="left"/>
              <w:rPr>
                <w:rFonts w:cstheme="minorHAnsi"/>
                <w:color w:val="002060"/>
                <w:sz w:val="18"/>
                <w:szCs w:val="18"/>
                <w:lang w:val="sr-Cyrl-CS"/>
              </w:rPr>
            </w:pPr>
            <w:r w:rsidRPr="0007074F">
              <w:rPr>
                <w:rFonts w:eastAsia="MS PGothic" w:cstheme="minorHAnsi"/>
                <w:color w:val="002060"/>
                <w:sz w:val="18"/>
                <w:szCs w:val="18"/>
                <w:lang w:val="sr-Cyrl-CS" w:eastAsia="ja-JP"/>
              </w:rPr>
              <w:t>ЈАВНИ РАСХОДИ</w:t>
            </w:r>
          </w:p>
        </w:tc>
        <w:tc>
          <w:tcPr>
            <w:tcW w:w="810" w:type="pct"/>
            <w:shd w:val="clear" w:color="auto" w:fill="E7E6E6" w:themeFill="background2"/>
            <w:hideMark/>
          </w:tcPr>
          <w:p w14:paraId="42433EB3" w14:textId="1A12BF40"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764,2</w:t>
            </w:r>
          </w:p>
        </w:tc>
        <w:tc>
          <w:tcPr>
            <w:tcW w:w="810" w:type="pct"/>
            <w:shd w:val="clear" w:color="auto" w:fill="E7E6E6" w:themeFill="background2"/>
            <w:noWrap/>
            <w:hideMark/>
          </w:tcPr>
          <w:p w14:paraId="28C92CF3" w14:textId="13881845"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797,9</w:t>
            </w:r>
          </w:p>
        </w:tc>
        <w:tc>
          <w:tcPr>
            <w:tcW w:w="810" w:type="pct"/>
            <w:shd w:val="clear" w:color="auto" w:fill="E7E6E6" w:themeFill="background2"/>
          </w:tcPr>
          <w:p w14:paraId="48CE2A89" w14:textId="15E27C6C"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4,4</w:t>
            </w:r>
          </w:p>
        </w:tc>
        <w:tc>
          <w:tcPr>
            <w:tcW w:w="810" w:type="pct"/>
            <w:shd w:val="clear" w:color="auto" w:fill="E7E6E6" w:themeFill="background2"/>
            <w:hideMark/>
          </w:tcPr>
          <w:p w14:paraId="2842B5D1" w14:textId="25D6B632"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9,2</w:t>
            </w:r>
          </w:p>
        </w:tc>
      </w:tr>
      <w:tr w:rsidR="00462A3F" w:rsidRPr="0007074F" w14:paraId="335B7B7B" w14:textId="77777777" w:rsidTr="00462A3F">
        <w:trPr>
          <w:trHeight w:val="66"/>
          <w:tblHeader/>
          <w:jc w:val="right"/>
        </w:trPr>
        <w:tc>
          <w:tcPr>
            <w:tcW w:w="1760" w:type="pct"/>
            <w:shd w:val="clear" w:color="auto" w:fill="auto"/>
            <w:noWrap/>
            <w:vAlign w:val="center"/>
            <w:hideMark/>
          </w:tcPr>
          <w:p w14:paraId="6F2BB1C9"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Текући расходи</w:t>
            </w:r>
          </w:p>
        </w:tc>
        <w:tc>
          <w:tcPr>
            <w:tcW w:w="810" w:type="pct"/>
            <w:shd w:val="clear" w:color="auto" w:fill="auto"/>
            <w:hideMark/>
          </w:tcPr>
          <w:p w14:paraId="7A506EEB" w14:textId="7A48B7F9"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674,6</w:t>
            </w:r>
          </w:p>
        </w:tc>
        <w:tc>
          <w:tcPr>
            <w:tcW w:w="810" w:type="pct"/>
            <w:shd w:val="clear" w:color="auto" w:fill="auto"/>
            <w:noWrap/>
            <w:hideMark/>
          </w:tcPr>
          <w:p w14:paraId="7ABC13CB" w14:textId="2D329EBB"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666,8</w:t>
            </w:r>
          </w:p>
        </w:tc>
        <w:tc>
          <w:tcPr>
            <w:tcW w:w="810" w:type="pct"/>
          </w:tcPr>
          <w:p w14:paraId="1C505EA4" w14:textId="43E6D81D"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-1,1</w:t>
            </w:r>
          </w:p>
        </w:tc>
        <w:tc>
          <w:tcPr>
            <w:tcW w:w="810" w:type="pct"/>
            <w:shd w:val="clear" w:color="auto" w:fill="auto"/>
            <w:hideMark/>
          </w:tcPr>
          <w:p w14:paraId="524B71D9" w14:textId="6632B761"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12,6</w:t>
            </w:r>
          </w:p>
        </w:tc>
      </w:tr>
      <w:tr w:rsidR="00462A3F" w:rsidRPr="0007074F" w14:paraId="69B2ACA1" w14:textId="77777777" w:rsidTr="00462A3F">
        <w:trPr>
          <w:trHeight w:val="66"/>
          <w:tblHeader/>
          <w:jc w:val="right"/>
        </w:trPr>
        <w:tc>
          <w:tcPr>
            <w:tcW w:w="1760" w:type="pct"/>
            <w:shd w:val="clear" w:color="auto" w:fill="auto"/>
            <w:noWrap/>
            <w:vAlign w:val="center"/>
            <w:hideMark/>
          </w:tcPr>
          <w:p w14:paraId="579CFBDE"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Расходи за запослене</w:t>
            </w:r>
          </w:p>
        </w:tc>
        <w:tc>
          <w:tcPr>
            <w:tcW w:w="810" w:type="pct"/>
            <w:shd w:val="clear" w:color="auto" w:fill="auto"/>
            <w:hideMark/>
          </w:tcPr>
          <w:p w14:paraId="3C7759DA" w14:textId="3D341058"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171,6</w:t>
            </w:r>
          </w:p>
        </w:tc>
        <w:tc>
          <w:tcPr>
            <w:tcW w:w="810" w:type="pct"/>
            <w:shd w:val="clear" w:color="auto" w:fill="auto"/>
            <w:hideMark/>
          </w:tcPr>
          <w:p w14:paraId="49BED0BE" w14:textId="3BD62C55"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185,1</w:t>
            </w:r>
          </w:p>
        </w:tc>
        <w:tc>
          <w:tcPr>
            <w:tcW w:w="810" w:type="pct"/>
          </w:tcPr>
          <w:p w14:paraId="385AECFB" w14:textId="2D1491C0"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7,9</w:t>
            </w:r>
          </w:p>
        </w:tc>
        <w:tc>
          <w:tcPr>
            <w:tcW w:w="810" w:type="pct"/>
            <w:shd w:val="clear" w:color="auto" w:fill="auto"/>
            <w:hideMark/>
          </w:tcPr>
          <w:p w14:paraId="13421880" w14:textId="682F041F"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12,2</w:t>
            </w:r>
          </w:p>
        </w:tc>
      </w:tr>
      <w:tr w:rsidR="00462A3F" w:rsidRPr="0007074F" w14:paraId="09701820" w14:textId="77777777" w:rsidTr="00462A3F">
        <w:trPr>
          <w:trHeight w:val="66"/>
          <w:tblHeader/>
          <w:jc w:val="right"/>
        </w:trPr>
        <w:tc>
          <w:tcPr>
            <w:tcW w:w="1760" w:type="pct"/>
            <w:shd w:val="clear" w:color="auto" w:fill="auto"/>
            <w:noWrap/>
            <w:vAlign w:val="center"/>
            <w:hideMark/>
          </w:tcPr>
          <w:p w14:paraId="06959D4B"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Куповина робе и услуга</w:t>
            </w:r>
          </w:p>
        </w:tc>
        <w:tc>
          <w:tcPr>
            <w:tcW w:w="810" w:type="pct"/>
            <w:shd w:val="clear" w:color="auto" w:fill="auto"/>
            <w:hideMark/>
          </w:tcPr>
          <w:p w14:paraId="34C002F0" w14:textId="0D7960B1"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123,2</w:t>
            </w:r>
          </w:p>
        </w:tc>
        <w:tc>
          <w:tcPr>
            <w:tcW w:w="810" w:type="pct"/>
            <w:shd w:val="clear" w:color="auto" w:fill="auto"/>
            <w:hideMark/>
          </w:tcPr>
          <w:p w14:paraId="453D8FF9" w14:textId="1AD8FB4C"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122,0</w:t>
            </w:r>
          </w:p>
        </w:tc>
        <w:tc>
          <w:tcPr>
            <w:tcW w:w="810" w:type="pct"/>
          </w:tcPr>
          <w:p w14:paraId="65C914AD" w14:textId="107390D7"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-1,0</w:t>
            </w:r>
          </w:p>
        </w:tc>
        <w:tc>
          <w:tcPr>
            <w:tcW w:w="810" w:type="pct"/>
            <w:shd w:val="clear" w:color="auto" w:fill="auto"/>
            <w:hideMark/>
          </w:tcPr>
          <w:p w14:paraId="6E2B2D27" w14:textId="530641EB"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8,7</w:t>
            </w:r>
          </w:p>
        </w:tc>
      </w:tr>
      <w:tr w:rsidR="00462A3F" w:rsidRPr="0007074F" w14:paraId="24BB9C49" w14:textId="77777777" w:rsidTr="00462A3F">
        <w:trPr>
          <w:trHeight w:val="66"/>
          <w:tblHeader/>
          <w:jc w:val="right"/>
        </w:trPr>
        <w:tc>
          <w:tcPr>
            <w:tcW w:w="1760" w:type="pct"/>
            <w:shd w:val="clear" w:color="auto" w:fill="auto"/>
            <w:noWrap/>
            <w:vAlign w:val="center"/>
            <w:hideMark/>
          </w:tcPr>
          <w:p w14:paraId="2C5A26EB"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Отплата камата</w:t>
            </w:r>
          </w:p>
        </w:tc>
        <w:tc>
          <w:tcPr>
            <w:tcW w:w="810" w:type="pct"/>
            <w:shd w:val="clear" w:color="auto" w:fill="auto"/>
            <w:hideMark/>
          </w:tcPr>
          <w:p w14:paraId="1993CE0E" w14:textId="6CB78B1D"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53,2</w:t>
            </w:r>
          </w:p>
        </w:tc>
        <w:tc>
          <w:tcPr>
            <w:tcW w:w="810" w:type="pct"/>
            <w:shd w:val="clear" w:color="auto" w:fill="auto"/>
            <w:hideMark/>
          </w:tcPr>
          <w:p w14:paraId="5654A9E7" w14:textId="11D4B25D"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47,7</w:t>
            </w:r>
          </w:p>
        </w:tc>
        <w:tc>
          <w:tcPr>
            <w:tcW w:w="810" w:type="pct"/>
          </w:tcPr>
          <w:p w14:paraId="0906F350" w14:textId="4037144B"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-10,3</w:t>
            </w:r>
          </w:p>
        </w:tc>
        <w:tc>
          <w:tcPr>
            <w:tcW w:w="810" w:type="pct"/>
            <w:shd w:val="clear" w:color="auto" w:fill="auto"/>
            <w:hideMark/>
          </w:tcPr>
          <w:p w14:paraId="6AB10938" w14:textId="06265936"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36,2</w:t>
            </w:r>
          </w:p>
        </w:tc>
      </w:tr>
      <w:tr w:rsidR="00462A3F" w:rsidRPr="0007074F" w14:paraId="484B7B94" w14:textId="77777777" w:rsidTr="00462A3F">
        <w:trPr>
          <w:trHeight w:val="66"/>
          <w:tblHeader/>
          <w:jc w:val="right"/>
        </w:trPr>
        <w:tc>
          <w:tcPr>
            <w:tcW w:w="1760" w:type="pct"/>
            <w:shd w:val="clear" w:color="auto" w:fill="auto"/>
            <w:noWrap/>
            <w:vAlign w:val="center"/>
            <w:hideMark/>
          </w:tcPr>
          <w:p w14:paraId="4C67686C"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Субвенције</w:t>
            </w:r>
          </w:p>
        </w:tc>
        <w:tc>
          <w:tcPr>
            <w:tcW w:w="810" w:type="pct"/>
            <w:shd w:val="clear" w:color="auto" w:fill="auto"/>
            <w:hideMark/>
          </w:tcPr>
          <w:p w14:paraId="361DD126" w14:textId="14E9CF5D"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38,5</w:t>
            </w:r>
          </w:p>
        </w:tc>
        <w:tc>
          <w:tcPr>
            <w:tcW w:w="810" w:type="pct"/>
            <w:shd w:val="clear" w:color="auto" w:fill="auto"/>
            <w:hideMark/>
          </w:tcPr>
          <w:p w14:paraId="30ED7772" w14:textId="65731672"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34,0</w:t>
            </w:r>
          </w:p>
        </w:tc>
        <w:tc>
          <w:tcPr>
            <w:tcW w:w="810" w:type="pct"/>
          </w:tcPr>
          <w:p w14:paraId="210C25AF" w14:textId="719CEAAB"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-11,7</w:t>
            </w:r>
          </w:p>
        </w:tc>
        <w:tc>
          <w:tcPr>
            <w:tcW w:w="810" w:type="pct"/>
            <w:shd w:val="clear" w:color="auto" w:fill="auto"/>
            <w:hideMark/>
          </w:tcPr>
          <w:p w14:paraId="6A0E792C" w14:textId="53536474"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46,2</w:t>
            </w:r>
          </w:p>
        </w:tc>
      </w:tr>
      <w:tr w:rsidR="00462A3F" w:rsidRPr="0007074F" w14:paraId="2A14D787" w14:textId="77777777" w:rsidTr="00462A3F">
        <w:trPr>
          <w:trHeight w:val="66"/>
          <w:tblHeader/>
          <w:jc w:val="right"/>
        </w:trPr>
        <w:tc>
          <w:tcPr>
            <w:tcW w:w="1760" w:type="pct"/>
            <w:shd w:val="clear" w:color="auto" w:fill="auto"/>
            <w:noWrap/>
            <w:vAlign w:val="center"/>
            <w:hideMark/>
          </w:tcPr>
          <w:p w14:paraId="12D0BA81"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Социјална помоћ и трансфери</w:t>
            </w:r>
          </w:p>
        </w:tc>
        <w:tc>
          <w:tcPr>
            <w:tcW w:w="810" w:type="pct"/>
            <w:shd w:val="clear" w:color="auto" w:fill="auto"/>
            <w:hideMark/>
          </w:tcPr>
          <w:p w14:paraId="6C8FA341" w14:textId="0B18038A"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249,0</w:t>
            </w:r>
          </w:p>
        </w:tc>
        <w:tc>
          <w:tcPr>
            <w:tcW w:w="810" w:type="pct"/>
            <w:shd w:val="clear" w:color="auto" w:fill="auto"/>
            <w:hideMark/>
          </w:tcPr>
          <w:p w14:paraId="5D76DDE3" w14:textId="19F210DF"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255,2</w:t>
            </w:r>
          </w:p>
        </w:tc>
        <w:tc>
          <w:tcPr>
            <w:tcW w:w="810" w:type="pct"/>
          </w:tcPr>
          <w:p w14:paraId="342B2F3F" w14:textId="57332E97"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2,5</w:t>
            </w:r>
          </w:p>
        </w:tc>
        <w:tc>
          <w:tcPr>
            <w:tcW w:w="810" w:type="pct"/>
            <w:shd w:val="clear" w:color="auto" w:fill="auto"/>
            <w:hideMark/>
          </w:tcPr>
          <w:p w14:paraId="77C05F4C" w14:textId="507689DE"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12,3</w:t>
            </w:r>
          </w:p>
        </w:tc>
      </w:tr>
      <w:tr w:rsidR="00462A3F" w:rsidRPr="0007074F" w14:paraId="27EC565D" w14:textId="77777777" w:rsidTr="00462A3F">
        <w:trPr>
          <w:trHeight w:val="66"/>
          <w:tblHeader/>
          <w:jc w:val="right"/>
        </w:trPr>
        <w:tc>
          <w:tcPr>
            <w:tcW w:w="1760" w:type="pct"/>
            <w:shd w:val="clear" w:color="auto" w:fill="auto"/>
            <w:noWrap/>
            <w:vAlign w:val="center"/>
            <w:hideMark/>
          </w:tcPr>
          <w:p w14:paraId="7C9D25B0"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од чега пензије</w:t>
            </w:r>
          </w:p>
        </w:tc>
        <w:tc>
          <w:tcPr>
            <w:tcW w:w="810" w:type="pct"/>
            <w:shd w:val="clear" w:color="auto" w:fill="auto"/>
            <w:hideMark/>
          </w:tcPr>
          <w:p w14:paraId="33BBD45D" w14:textId="38CA9842"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156,8</w:t>
            </w:r>
          </w:p>
        </w:tc>
        <w:tc>
          <w:tcPr>
            <w:tcW w:w="810" w:type="pct"/>
            <w:shd w:val="clear" w:color="auto" w:fill="auto"/>
            <w:hideMark/>
          </w:tcPr>
          <w:p w14:paraId="47CEBE57" w14:textId="62563526"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186,9</w:t>
            </w:r>
          </w:p>
        </w:tc>
        <w:tc>
          <w:tcPr>
            <w:tcW w:w="810" w:type="pct"/>
          </w:tcPr>
          <w:p w14:paraId="6168DF2D" w14:textId="1B9336BB"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19,2</w:t>
            </w:r>
          </w:p>
        </w:tc>
        <w:tc>
          <w:tcPr>
            <w:tcW w:w="810" w:type="pct"/>
            <w:shd w:val="clear" w:color="auto" w:fill="auto"/>
            <w:hideMark/>
          </w:tcPr>
          <w:p w14:paraId="0F46BDCF" w14:textId="26048F78"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20,7</w:t>
            </w:r>
          </w:p>
        </w:tc>
      </w:tr>
      <w:tr w:rsidR="00462A3F" w:rsidRPr="0007074F" w14:paraId="22E8CAD2" w14:textId="77777777" w:rsidTr="00462A3F">
        <w:trPr>
          <w:trHeight w:val="66"/>
          <w:tblHeader/>
          <w:jc w:val="right"/>
        </w:trPr>
        <w:tc>
          <w:tcPr>
            <w:tcW w:w="1760" w:type="pct"/>
            <w:shd w:val="clear" w:color="auto" w:fill="auto"/>
            <w:noWrap/>
            <w:vAlign w:val="center"/>
            <w:hideMark/>
          </w:tcPr>
          <w:p w14:paraId="30B9EF0D"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Остали текући расходи</w:t>
            </w:r>
          </w:p>
        </w:tc>
        <w:tc>
          <w:tcPr>
            <w:tcW w:w="810" w:type="pct"/>
            <w:shd w:val="clear" w:color="auto" w:fill="auto"/>
            <w:hideMark/>
          </w:tcPr>
          <w:p w14:paraId="68148137" w14:textId="70BA2022"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39,1</w:t>
            </w:r>
          </w:p>
        </w:tc>
        <w:tc>
          <w:tcPr>
            <w:tcW w:w="810" w:type="pct"/>
            <w:shd w:val="clear" w:color="auto" w:fill="auto"/>
            <w:hideMark/>
          </w:tcPr>
          <w:p w14:paraId="75ADFD5C" w14:textId="68BAD75A"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22,8</w:t>
            </w:r>
          </w:p>
        </w:tc>
        <w:tc>
          <w:tcPr>
            <w:tcW w:w="810" w:type="pct"/>
          </w:tcPr>
          <w:p w14:paraId="2EDD9F38" w14:textId="753714A6"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-41,8</w:t>
            </w:r>
          </w:p>
        </w:tc>
        <w:tc>
          <w:tcPr>
            <w:tcW w:w="810" w:type="pct"/>
            <w:shd w:val="clear" w:color="auto" w:fill="auto"/>
            <w:hideMark/>
          </w:tcPr>
          <w:p w14:paraId="0731F74C" w14:textId="3306197E"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-26,4</w:t>
            </w:r>
          </w:p>
        </w:tc>
      </w:tr>
      <w:tr w:rsidR="00462A3F" w:rsidRPr="0007074F" w14:paraId="49D29D69" w14:textId="77777777" w:rsidTr="00462A3F">
        <w:trPr>
          <w:trHeight w:val="66"/>
          <w:tblHeader/>
          <w:jc w:val="right"/>
        </w:trPr>
        <w:tc>
          <w:tcPr>
            <w:tcW w:w="1760" w:type="pct"/>
            <w:shd w:val="clear" w:color="auto" w:fill="auto"/>
            <w:noWrap/>
            <w:vAlign w:val="center"/>
            <w:hideMark/>
          </w:tcPr>
          <w:p w14:paraId="57B99435"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Капитални расходи</w:t>
            </w:r>
          </w:p>
        </w:tc>
        <w:tc>
          <w:tcPr>
            <w:tcW w:w="810" w:type="pct"/>
            <w:shd w:val="clear" w:color="auto" w:fill="auto"/>
            <w:hideMark/>
          </w:tcPr>
          <w:p w14:paraId="05779EC2" w14:textId="60AF1F99"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81,0</w:t>
            </w:r>
          </w:p>
        </w:tc>
        <w:tc>
          <w:tcPr>
            <w:tcW w:w="810" w:type="pct"/>
            <w:shd w:val="clear" w:color="auto" w:fill="auto"/>
            <w:hideMark/>
          </w:tcPr>
          <w:p w14:paraId="5912225C" w14:textId="1B0B82C8"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92,6</w:t>
            </w:r>
          </w:p>
        </w:tc>
        <w:tc>
          <w:tcPr>
            <w:tcW w:w="810" w:type="pct"/>
          </w:tcPr>
          <w:p w14:paraId="27BD11DE" w14:textId="076E1FEB"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14,2</w:t>
            </w:r>
          </w:p>
        </w:tc>
        <w:tc>
          <w:tcPr>
            <w:tcW w:w="810" w:type="pct"/>
            <w:shd w:val="clear" w:color="auto" w:fill="auto"/>
            <w:hideMark/>
          </w:tcPr>
          <w:p w14:paraId="1B634173" w14:textId="59072DE5"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11,8</w:t>
            </w:r>
          </w:p>
        </w:tc>
      </w:tr>
      <w:tr w:rsidR="00462A3F" w:rsidRPr="0007074F" w14:paraId="36AC6DF7" w14:textId="77777777" w:rsidTr="00462A3F">
        <w:trPr>
          <w:trHeight w:val="66"/>
          <w:tblHeader/>
          <w:jc w:val="right"/>
        </w:trPr>
        <w:tc>
          <w:tcPr>
            <w:tcW w:w="1760" w:type="pct"/>
            <w:shd w:val="clear" w:color="auto" w:fill="auto"/>
            <w:noWrap/>
            <w:vAlign w:val="center"/>
            <w:hideMark/>
          </w:tcPr>
          <w:p w14:paraId="2FEDADAC"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Нето буџетске позајмице</w:t>
            </w:r>
          </w:p>
        </w:tc>
        <w:tc>
          <w:tcPr>
            <w:tcW w:w="810" w:type="pct"/>
            <w:shd w:val="clear" w:color="auto" w:fill="auto"/>
            <w:hideMark/>
          </w:tcPr>
          <w:p w14:paraId="4C2C61DF" w14:textId="42C40930"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7,1</w:t>
            </w:r>
          </w:p>
        </w:tc>
        <w:tc>
          <w:tcPr>
            <w:tcW w:w="810" w:type="pct"/>
            <w:shd w:val="clear" w:color="auto" w:fill="auto"/>
            <w:hideMark/>
          </w:tcPr>
          <w:p w14:paraId="5DB37F4D" w14:textId="49BF57E3"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32,5</w:t>
            </w:r>
          </w:p>
        </w:tc>
        <w:tc>
          <w:tcPr>
            <w:tcW w:w="810" w:type="pct"/>
          </w:tcPr>
          <w:p w14:paraId="4A279E44" w14:textId="01E00A27"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360,4</w:t>
            </w:r>
          </w:p>
        </w:tc>
        <w:tc>
          <w:tcPr>
            <w:tcW w:w="810" w:type="pct"/>
            <w:shd w:val="clear" w:color="auto" w:fill="auto"/>
            <w:hideMark/>
          </w:tcPr>
          <w:p w14:paraId="6CEF62C1" w14:textId="07272C1F"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-43,0</w:t>
            </w:r>
          </w:p>
        </w:tc>
      </w:tr>
      <w:tr w:rsidR="00462A3F" w:rsidRPr="0007074F" w14:paraId="419DF3A9" w14:textId="77777777" w:rsidTr="00462A3F">
        <w:trPr>
          <w:trHeight w:val="66"/>
          <w:tblHeader/>
          <w:jc w:val="right"/>
        </w:trPr>
        <w:tc>
          <w:tcPr>
            <w:tcW w:w="1760" w:type="pct"/>
            <w:shd w:val="clear" w:color="auto" w:fill="auto"/>
            <w:noWrap/>
            <w:vAlign w:val="center"/>
            <w:hideMark/>
          </w:tcPr>
          <w:p w14:paraId="10036D48" w14:textId="77777777" w:rsidR="0046277F" w:rsidRPr="0007074F" w:rsidRDefault="0046277F" w:rsidP="0046277F">
            <w:pPr>
              <w:spacing w:after="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Активиране гаранције</w:t>
            </w:r>
          </w:p>
        </w:tc>
        <w:tc>
          <w:tcPr>
            <w:tcW w:w="810" w:type="pct"/>
            <w:shd w:val="clear" w:color="auto" w:fill="auto"/>
            <w:hideMark/>
          </w:tcPr>
          <w:p w14:paraId="6E8420BF" w14:textId="5FB7F860"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1,5</w:t>
            </w:r>
          </w:p>
        </w:tc>
        <w:tc>
          <w:tcPr>
            <w:tcW w:w="810" w:type="pct"/>
            <w:shd w:val="clear" w:color="auto" w:fill="auto"/>
            <w:hideMark/>
          </w:tcPr>
          <w:p w14:paraId="5DE92510" w14:textId="012ADE63"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6,0</w:t>
            </w:r>
          </w:p>
        </w:tc>
        <w:tc>
          <w:tcPr>
            <w:tcW w:w="810" w:type="pct"/>
          </w:tcPr>
          <w:p w14:paraId="543FC362" w14:textId="3A11B59C"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287,1</w:t>
            </w:r>
          </w:p>
        </w:tc>
        <w:tc>
          <w:tcPr>
            <w:tcW w:w="810" w:type="pct"/>
            <w:shd w:val="clear" w:color="auto" w:fill="auto"/>
            <w:hideMark/>
          </w:tcPr>
          <w:p w14:paraId="2D376803" w14:textId="0A2927E6" w:rsidR="0046277F" w:rsidRPr="0007074F" w:rsidRDefault="0046277F" w:rsidP="0046277F">
            <w:pPr>
              <w:spacing w:after="0" w:line="240" w:lineRule="auto"/>
              <w:ind w:right="510"/>
              <w:jc w:val="right"/>
              <w:rPr>
                <w:rFonts w:cstheme="minorHAnsi"/>
                <w:color w:val="002060"/>
                <w:sz w:val="18"/>
                <w:szCs w:val="18"/>
                <w:lang w:val="sr-Cyrl-CS"/>
              </w:rPr>
            </w:pPr>
            <w:r w:rsidRPr="0007074F">
              <w:rPr>
                <w:color w:val="002060"/>
                <w:sz w:val="18"/>
                <w:szCs w:val="18"/>
                <w:lang w:val="sr-Cyrl-CS"/>
              </w:rPr>
              <w:t>43,7</w:t>
            </w:r>
          </w:p>
        </w:tc>
      </w:tr>
      <w:tr w:rsidR="00462A3F" w:rsidRPr="0007074F" w14:paraId="14ED2EE9" w14:textId="77777777" w:rsidTr="00462A3F">
        <w:trPr>
          <w:trHeight w:val="66"/>
          <w:tblHeader/>
          <w:jc w:val="right"/>
        </w:trPr>
        <w:tc>
          <w:tcPr>
            <w:tcW w:w="1760" w:type="pct"/>
            <w:tcBorders>
              <w:bottom w:val="single" w:sz="4" w:space="0" w:color="002060"/>
            </w:tcBorders>
            <w:shd w:val="clear" w:color="auto" w:fill="E7E6E6" w:themeFill="background2"/>
            <w:noWrap/>
            <w:vAlign w:val="center"/>
            <w:hideMark/>
          </w:tcPr>
          <w:p w14:paraId="6399798D" w14:textId="77777777" w:rsidR="0046277F" w:rsidRPr="0007074F" w:rsidRDefault="0046277F" w:rsidP="0046277F">
            <w:pPr>
              <w:spacing w:after="0" w:line="240" w:lineRule="auto"/>
              <w:jc w:val="left"/>
              <w:rPr>
                <w:rFonts w:cstheme="minorHAnsi"/>
                <w:color w:val="002060"/>
                <w:sz w:val="18"/>
                <w:szCs w:val="18"/>
                <w:lang w:val="sr-Cyrl-CS"/>
              </w:rPr>
            </w:pPr>
            <w:r w:rsidRPr="0007074F">
              <w:rPr>
                <w:rFonts w:eastAsia="MS PGothic" w:cstheme="minorHAnsi"/>
                <w:color w:val="002060"/>
                <w:sz w:val="18"/>
                <w:szCs w:val="18"/>
                <w:lang w:val="sr-Cyrl-CS" w:eastAsia="ja-JP"/>
              </w:rPr>
              <w:t>Фискални резултат</w:t>
            </w:r>
          </w:p>
        </w:tc>
        <w:tc>
          <w:tcPr>
            <w:tcW w:w="810" w:type="pct"/>
            <w:tcBorders>
              <w:bottom w:val="single" w:sz="4" w:space="0" w:color="002060"/>
            </w:tcBorders>
            <w:shd w:val="clear" w:color="auto" w:fill="E7E6E6" w:themeFill="background2"/>
            <w:hideMark/>
          </w:tcPr>
          <w:p w14:paraId="11D90A4A" w14:textId="721A5227"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-79,3</w:t>
            </w:r>
          </w:p>
        </w:tc>
        <w:tc>
          <w:tcPr>
            <w:tcW w:w="810" w:type="pct"/>
            <w:tcBorders>
              <w:bottom w:val="single" w:sz="4" w:space="0" w:color="002060"/>
            </w:tcBorders>
            <w:shd w:val="clear" w:color="auto" w:fill="E7E6E6" w:themeFill="background2"/>
            <w:hideMark/>
          </w:tcPr>
          <w:p w14:paraId="4E6C7A38" w14:textId="6C74F381" w:rsidR="0046277F" w:rsidRPr="0007074F" w:rsidRDefault="0046277F" w:rsidP="0046277F">
            <w:pPr>
              <w:spacing w:after="0" w:line="240" w:lineRule="auto"/>
              <w:ind w:right="340"/>
              <w:jc w:val="right"/>
              <w:rPr>
                <w:rFonts w:cstheme="minorHAnsi"/>
                <w:color w:val="002060"/>
                <w:sz w:val="18"/>
                <w:szCs w:val="18"/>
                <w:lang w:val="sr-Cyrl-CS"/>
              </w:rPr>
            </w:pPr>
            <w:r w:rsidRPr="0007074F">
              <w:rPr>
                <w:color w:val="002060"/>
                <w:sz w:val="18"/>
                <w:szCs w:val="18"/>
                <w:lang w:val="sr-Cyrl-CS"/>
              </w:rPr>
              <w:t>-24,9</w:t>
            </w:r>
          </w:p>
        </w:tc>
        <w:tc>
          <w:tcPr>
            <w:tcW w:w="810" w:type="pct"/>
            <w:tcBorders>
              <w:bottom w:val="single" w:sz="4" w:space="0" w:color="002060"/>
            </w:tcBorders>
            <w:shd w:val="clear" w:color="auto" w:fill="E7E6E6" w:themeFill="background2"/>
          </w:tcPr>
          <w:p w14:paraId="32999F2B" w14:textId="77777777" w:rsidR="0046277F" w:rsidRPr="0007074F" w:rsidRDefault="0046277F" w:rsidP="0046277F">
            <w:pPr>
              <w:spacing w:after="0" w:line="240" w:lineRule="auto"/>
              <w:ind w:right="737"/>
              <w:jc w:val="right"/>
              <w:rPr>
                <w:rFonts w:cstheme="minorHAnsi"/>
                <w:color w:val="002060"/>
                <w:sz w:val="18"/>
                <w:szCs w:val="18"/>
                <w:lang w:val="sr-Cyrl-CS"/>
              </w:rPr>
            </w:pPr>
          </w:p>
        </w:tc>
        <w:tc>
          <w:tcPr>
            <w:tcW w:w="810" w:type="pct"/>
            <w:tcBorders>
              <w:bottom w:val="single" w:sz="4" w:space="0" w:color="002060"/>
            </w:tcBorders>
            <w:shd w:val="clear" w:color="auto" w:fill="E7E6E6" w:themeFill="background2"/>
            <w:hideMark/>
          </w:tcPr>
          <w:p w14:paraId="4A7C12E1" w14:textId="77777777" w:rsidR="0046277F" w:rsidRPr="0007074F" w:rsidRDefault="0046277F" w:rsidP="0046277F">
            <w:pPr>
              <w:spacing w:after="0" w:line="240" w:lineRule="auto"/>
              <w:ind w:right="737"/>
              <w:jc w:val="right"/>
              <w:rPr>
                <w:rFonts w:cstheme="minorHAnsi"/>
                <w:color w:val="002060"/>
                <w:sz w:val="18"/>
                <w:szCs w:val="18"/>
                <w:lang w:val="sr-Cyrl-CS"/>
              </w:rPr>
            </w:pPr>
          </w:p>
        </w:tc>
      </w:tr>
    </w:tbl>
    <w:p w14:paraId="6A2D6D12" w14:textId="77777777" w:rsidR="00A33AAE" w:rsidRPr="0007074F" w:rsidRDefault="00A33AAE" w:rsidP="000D3688">
      <w:pPr>
        <w:tabs>
          <w:tab w:val="left" w:pos="623"/>
        </w:tabs>
        <w:spacing w:after="0" w:line="240" w:lineRule="auto"/>
        <w:rPr>
          <w:rFonts w:cstheme="minorHAnsi"/>
          <w:sz w:val="16"/>
          <w:szCs w:val="16"/>
          <w:lang w:val="sr-Cyrl-CS"/>
        </w:rPr>
      </w:pPr>
      <w:r w:rsidRPr="0007074F">
        <w:rPr>
          <w:rFonts w:eastAsia="Calibri" w:cstheme="minorHAnsi"/>
          <w:bCs/>
          <w:sz w:val="16"/>
          <w:szCs w:val="16"/>
          <w:lang w:val="sr-Cyrl-CS" w:eastAsia="ja-JP"/>
        </w:rPr>
        <w:t xml:space="preserve">Извор: </w:t>
      </w:r>
      <w:r w:rsidRPr="0007074F">
        <w:rPr>
          <w:rFonts w:cstheme="minorHAnsi"/>
          <w:sz w:val="16"/>
          <w:szCs w:val="16"/>
          <w:lang w:val="sr-Cyrl-CS"/>
        </w:rPr>
        <w:t>Министарство финансија</w:t>
      </w:r>
    </w:p>
    <w:p w14:paraId="6BBE2FDE" w14:textId="77777777" w:rsidR="00A33AAE" w:rsidRPr="0007074F" w:rsidRDefault="00A33AAE" w:rsidP="00A33AAE">
      <w:pPr>
        <w:tabs>
          <w:tab w:val="left" w:pos="623"/>
        </w:tabs>
        <w:spacing w:after="120" w:line="240" w:lineRule="auto"/>
        <w:rPr>
          <w:lang w:val="sr-Cyrl-CS" w:eastAsia="ja-JP"/>
        </w:rPr>
        <w:sectPr w:rsidR="00A33AAE" w:rsidRPr="0007074F" w:rsidSect="000D3688">
          <w:type w:val="continuous"/>
          <w:pgSz w:w="12240" w:h="15840" w:code="1"/>
          <w:pgMar w:top="1440" w:right="1440" w:bottom="1440" w:left="1440" w:header="720" w:footer="720" w:gutter="0"/>
          <w:cols w:space="720"/>
          <w:docGrid w:linePitch="360"/>
        </w:sectPr>
      </w:pPr>
      <w:r w:rsidRPr="0007074F">
        <w:rPr>
          <w:rFonts w:cstheme="minorHAnsi"/>
          <w:sz w:val="16"/>
          <w:szCs w:val="16"/>
          <w:lang w:val="sr-Cyrl-CS"/>
        </w:rPr>
        <w:t xml:space="preserve">*Подаци за обе године сада обухватају сопствене приходе здравствених установа и расходе настале по том основу. </w:t>
      </w:r>
    </w:p>
    <w:p w14:paraId="7A3F39CD" w14:textId="4E5F6120" w:rsidR="00A33AAE" w:rsidRPr="0007074F" w:rsidRDefault="00A33AAE" w:rsidP="00A33AAE">
      <w:pPr>
        <w:rPr>
          <w:rFonts w:eastAsia="MS PGothic" w:cstheme="minorHAnsi"/>
          <w:szCs w:val="20"/>
          <w:lang w:val="sr-Cyrl-CS" w:eastAsia="ja-JP"/>
        </w:rPr>
      </w:pPr>
      <w:r w:rsidRPr="0007074F">
        <w:rPr>
          <w:rFonts w:eastAsia="MS PGothic" w:cstheme="minorHAnsi"/>
          <w:szCs w:val="20"/>
          <w:lang w:val="sr-Cyrl-CS" w:eastAsia="ja-JP"/>
        </w:rPr>
        <w:t xml:space="preserve">Стање доцњи (преко 60 дана кашњења)* буџетских корисника и организација обавезног социјалног осигурања последњег дана </w:t>
      </w:r>
      <w:r w:rsidRPr="0007074F">
        <w:rPr>
          <w:lang w:val="sr-Cyrl-CS"/>
        </w:rPr>
        <w:t xml:space="preserve">марта </w:t>
      </w:r>
      <w:r w:rsidRPr="0007074F">
        <w:rPr>
          <w:rFonts w:eastAsia="MS PGothic" w:cstheme="minorHAnsi"/>
          <w:szCs w:val="20"/>
          <w:lang w:val="sr-Cyrl-CS" w:eastAsia="ja-JP"/>
        </w:rPr>
        <w:t>2023. године износило је 4,1 млрд динара (око 0,05% БДП), и повећано је у односу на крај 2022. године.</w:t>
      </w:r>
    </w:p>
    <w:p w14:paraId="111197EA" w14:textId="219B6FDF" w:rsidR="00A33AAE" w:rsidRPr="0007074F" w:rsidRDefault="00A33AAE" w:rsidP="000D3688">
      <w:pPr>
        <w:spacing w:after="120"/>
        <w:rPr>
          <w:rFonts w:eastAsia="MS PGothic" w:cstheme="minorHAnsi"/>
          <w:szCs w:val="20"/>
          <w:lang w:val="sr-Cyrl-CS" w:eastAsia="ja-JP"/>
        </w:rPr>
      </w:pPr>
      <w:r w:rsidRPr="0007074F">
        <w:rPr>
          <w:rFonts w:eastAsia="MS PGothic" w:cstheme="minorHAnsi"/>
          <w:szCs w:val="20"/>
          <w:lang w:val="sr-Cyrl-CS" w:eastAsia="ja-JP"/>
        </w:rPr>
        <w:t>Корисници буџета и ЈП „Путеви Србије” креирали су доцње у плаћању од 2,9 млрд динара, док је стање доцњи организација обавезног социјалног осигурања 1,1 млрд динара.</w:t>
      </w:r>
    </w:p>
    <w:p w14:paraId="26CC5AB3" w14:textId="77777777" w:rsidR="00A33AAE" w:rsidRPr="0007074F" w:rsidRDefault="00A33AAE" w:rsidP="000D3688">
      <w:pPr>
        <w:spacing w:after="120"/>
        <w:rPr>
          <w:rFonts w:eastAsia="MS PGothic" w:cstheme="minorHAnsi"/>
          <w:szCs w:val="20"/>
          <w:lang w:val="sr-Cyrl-CS" w:eastAsia="ja-JP"/>
        </w:rPr>
        <w:sectPr w:rsidR="00A33AAE" w:rsidRPr="0007074F" w:rsidSect="000D3688">
          <w:headerReference w:type="even" r:id="rId111"/>
          <w:headerReference w:type="default" r:id="rId112"/>
          <w:footerReference w:type="even" r:id="rId113"/>
          <w:footerReference w:type="default" r:id="rId114"/>
          <w:headerReference w:type="first" r:id="rId115"/>
          <w:type w:val="continuous"/>
          <w:pgSz w:w="12240" w:h="15840" w:code="1"/>
          <w:pgMar w:top="1440" w:right="1440" w:bottom="1440" w:left="1440" w:header="720" w:footer="720" w:gutter="0"/>
          <w:cols w:num="2" w:space="720"/>
          <w:docGrid w:linePitch="360"/>
        </w:sectPr>
      </w:pPr>
    </w:p>
    <w:p w14:paraId="08C05534" w14:textId="77777777" w:rsidR="00A33AAE" w:rsidRPr="0007074F" w:rsidRDefault="00A33AAE" w:rsidP="000D3688">
      <w:pPr>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t xml:space="preserve">Табела 7. Стање доцњи буџетских корисника и ООСО, крај 2022. године и </w:t>
      </w:r>
      <w:r w:rsidRPr="0007074F">
        <w:rPr>
          <w:rFonts w:eastAsia="MS PGothic" w:cstheme="minorHAnsi"/>
          <w:b/>
          <w:color w:val="002060"/>
          <w:szCs w:val="20"/>
          <w:lang w:val="sr-Cyrl-CS" w:eastAsia="ja-JP"/>
        </w:rPr>
        <w:br w:type="textWrapping" w:clear="all"/>
        <w:t>март 2023. године, у млрд динара</w:t>
      </w:r>
    </w:p>
    <w:tbl>
      <w:tblPr>
        <w:tblStyle w:val="LightShading-Accent335"/>
        <w:tblpPr w:leftFromText="180" w:rightFromText="180" w:vertAnchor="text" w:horzAnchor="margin" w:tblpY="56"/>
        <w:tblW w:w="4879" w:type="pct"/>
        <w:tblBorders>
          <w:top w:val="none" w:sz="0" w:space="0" w:color="auto"/>
          <w:bottom w:val="none" w:sz="0" w:space="0" w:color="auto"/>
        </w:tblBorders>
        <w:tblLook w:val="04A0" w:firstRow="1" w:lastRow="0" w:firstColumn="1" w:lastColumn="0" w:noHBand="0" w:noVBand="1"/>
      </w:tblPr>
      <w:tblGrid>
        <w:gridCol w:w="5451"/>
        <w:gridCol w:w="1841"/>
        <w:gridCol w:w="1841"/>
      </w:tblGrid>
      <w:tr w:rsidR="00A33AAE" w:rsidRPr="0007074F" w14:paraId="6F408D56" w14:textId="77777777" w:rsidTr="0004786A">
        <w:trPr>
          <w:cnfStyle w:val="100000000000" w:firstRow="1" w:lastRow="0" w:firstColumn="0" w:lastColumn="0" w:oddVBand="0" w:evenVBand="0" w:oddHBand="0"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bottom w:val="single" w:sz="4" w:space="0" w:color="002060"/>
            </w:tcBorders>
            <w:shd w:val="clear" w:color="auto" w:fill="auto"/>
            <w:noWrap/>
            <w:hideMark/>
          </w:tcPr>
          <w:p w14:paraId="55916D01" w14:textId="77777777" w:rsidR="00A33AAE" w:rsidRPr="0007074F" w:rsidRDefault="00A33AAE" w:rsidP="00E124CF">
            <w:pPr>
              <w:jc w:val="right"/>
              <w:rPr>
                <w:rFonts w:asciiTheme="minorHAnsi" w:hAnsiTheme="minorHAnsi" w:cstheme="minorHAnsi"/>
                <w:b w:val="0"/>
                <w:color w:val="002060"/>
                <w:sz w:val="18"/>
                <w:szCs w:val="18"/>
                <w:lang w:val="sr-Cyrl-CS"/>
              </w:rPr>
            </w:pPr>
            <w:r w:rsidRPr="0007074F">
              <w:rPr>
                <w:rFonts w:asciiTheme="minorHAnsi" w:hAnsiTheme="minorHAnsi" w:cstheme="minorHAnsi"/>
                <w:b w:val="0"/>
                <w:color w:val="002060"/>
                <w:sz w:val="18"/>
                <w:szCs w:val="18"/>
                <w:lang w:val="sr-Cyrl-CS"/>
              </w:rPr>
              <w:t> </w:t>
            </w:r>
          </w:p>
        </w:tc>
        <w:tc>
          <w:tcPr>
            <w:tcW w:w="1008" w:type="pct"/>
            <w:tcBorders>
              <w:top w:val="single" w:sz="4" w:space="0" w:color="002060"/>
              <w:bottom w:val="single" w:sz="4" w:space="0" w:color="002060"/>
            </w:tcBorders>
            <w:shd w:val="clear" w:color="auto" w:fill="auto"/>
          </w:tcPr>
          <w:p w14:paraId="470F9348" w14:textId="77777777" w:rsidR="00A33AAE" w:rsidRPr="0007074F" w:rsidRDefault="00A33AAE" w:rsidP="00FE1A2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CS"/>
              </w:rPr>
            </w:pPr>
            <w:r w:rsidRPr="0007074F">
              <w:rPr>
                <w:rFonts w:asciiTheme="minorHAnsi" w:hAnsiTheme="minorHAnsi" w:cstheme="minorHAnsi"/>
                <w:b w:val="0"/>
                <w:color w:val="002060"/>
                <w:sz w:val="18"/>
                <w:szCs w:val="18"/>
                <w:lang w:val="sr-Cyrl-CS"/>
              </w:rPr>
              <w:t>31.12.2022.</w:t>
            </w:r>
          </w:p>
        </w:tc>
        <w:tc>
          <w:tcPr>
            <w:tcW w:w="1008" w:type="pct"/>
            <w:tcBorders>
              <w:top w:val="single" w:sz="4" w:space="0" w:color="002060"/>
              <w:bottom w:val="single" w:sz="4" w:space="0" w:color="002060"/>
            </w:tcBorders>
            <w:shd w:val="clear" w:color="auto" w:fill="auto"/>
          </w:tcPr>
          <w:p w14:paraId="3B921BC8" w14:textId="1668F603" w:rsidR="00A33AAE" w:rsidRPr="0007074F" w:rsidRDefault="00194A17" w:rsidP="00FE1A2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CS"/>
              </w:rPr>
            </w:pPr>
            <w:r w:rsidRPr="0007074F">
              <w:rPr>
                <w:rFonts w:asciiTheme="minorHAnsi" w:hAnsiTheme="minorHAnsi" w:cstheme="minorHAnsi"/>
                <w:b w:val="0"/>
                <w:color w:val="002060"/>
                <w:sz w:val="18"/>
                <w:szCs w:val="18"/>
                <w:lang w:val="sr-Cyrl-CS"/>
              </w:rPr>
              <w:t>31.</w:t>
            </w:r>
            <w:r w:rsidR="00A33AAE" w:rsidRPr="0007074F">
              <w:rPr>
                <w:rFonts w:asciiTheme="minorHAnsi" w:hAnsiTheme="minorHAnsi" w:cstheme="minorHAnsi"/>
                <w:b w:val="0"/>
                <w:color w:val="002060"/>
                <w:sz w:val="18"/>
                <w:szCs w:val="18"/>
                <w:lang w:val="sr-Cyrl-CS"/>
              </w:rPr>
              <w:t>3.2023.</w:t>
            </w:r>
          </w:p>
        </w:tc>
      </w:tr>
      <w:tr w:rsidR="00A33AAE" w:rsidRPr="0007074F" w14:paraId="43B65C03" w14:textId="77777777" w:rsidTr="0004786A">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tcBorders>
            <w:shd w:val="clear" w:color="auto" w:fill="auto"/>
            <w:noWrap/>
            <w:hideMark/>
          </w:tcPr>
          <w:p w14:paraId="1A7B199A" w14:textId="77777777" w:rsidR="00A33AAE" w:rsidRPr="0007074F" w:rsidRDefault="00A33AAE" w:rsidP="00FE1A26">
            <w:pPr>
              <w:rPr>
                <w:rFonts w:asciiTheme="minorHAnsi" w:hAnsiTheme="minorHAnsi" w:cstheme="minorHAnsi"/>
                <w:b w:val="0"/>
                <w:color w:val="002060"/>
                <w:sz w:val="18"/>
                <w:szCs w:val="18"/>
                <w:lang w:val="sr-Cyrl-CS"/>
              </w:rPr>
            </w:pPr>
            <w:r w:rsidRPr="0007074F">
              <w:rPr>
                <w:rFonts w:asciiTheme="minorHAnsi" w:hAnsiTheme="minorHAnsi" w:cstheme="minorHAnsi"/>
                <w:b w:val="0"/>
                <w:color w:val="002060"/>
                <w:sz w:val="18"/>
                <w:szCs w:val="18"/>
                <w:lang w:val="sr-Cyrl-CS"/>
              </w:rPr>
              <w:t xml:space="preserve">Буџетски корисници и ЈП „Путеви Србије” </w:t>
            </w:r>
          </w:p>
        </w:tc>
        <w:tc>
          <w:tcPr>
            <w:tcW w:w="1008" w:type="pct"/>
            <w:tcBorders>
              <w:top w:val="single" w:sz="4" w:space="0" w:color="002060"/>
            </w:tcBorders>
            <w:shd w:val="clear" w:color="auto" w:fill="auto"/>
          </w:tcPr>
          <w:p w14:paraId="7F91D812" w14:textId="77777777" w:rsidR="00A33AAE" w:rsidRPr="0007074F" w:rsidRDefault="00A33AAE"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2,1</w:t>
            </w:r>
          </w:p>
        </w:tc>
        <w:tc>
          <w:tcPr>
            <w:tcW w:w="1008" w:type="pct"/>
            <w:tcBorders>
              <w:top w:val="single" w:sz="4" w:space="0" w:color="002060"/>
            </w:tcBorders>
            <w:shd w:val="clear" w:color="auto" w:fill="auto"/>
          </w:tcPr>
          <w:p w14:paraId="191B3469" w14:textId="77777777" w:rsidR="00A33AAE" w:rsidRPr="0007074F" w:rsidRDefault="00A33AAE"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2,9</w:t>
            </w:r>
          </w:p>
        </w:tc>
      </w:tr>
      <w:tr w:rsidR="00A33AAE" w:rsidRPr="0007074F" w14:paraId="5591C5D5" w14:textId="77777777" w:rsidTr="0004786A">
        <w:trPr>
          <w:trHeight w:val="239"/>
        </w:trPr>
        <w:tc>
          <w:tcPr>
            <w:cnfStyle w:val="001000000000" w:firstRow="0" w:lastRow="0" w:firstColumn="1" w:lastColumn="0" w:oddVBand="0" w:evenVBand="0" w:oddHBand="0" w:evenHBand="0" w:firstRowFirstColumn="0" w:firstRowLastColumn="0" w:lastRowFirstColumn="0" w:lastRowLastColumn="0"/>
            <w:tcW w:w="2984" w:type="pct"/>
            <w:shd w:val="clear" w:color="auto" w:fill="auto"/>
            <w:noWrap/>
            <w:hideMark/>
          </w:tcPr>
          <w:p w14:paraId="45F4BDF3" w14:textId="77777777" w:rsidR="00A33AAE" w:rsidRPr="0007074F" w:rsidRDefault="00A33AAE" w:rsidP="00FE1A26">
            <w:pPr>
              <w:rPr>
                <w:rFonts w:asciiTheme="minorHAnsi" w:hAnsiTheme="minorHAnsi" w:cstheme="minorHAnsi"/>
                <w:b w:val="0"/>
                <w:color w:val="002060"/>
                <w:sz w:val="18"/>
                <w:szCs w:val="18"/>
                <w:lang w:val="sr-Cyrl-CS"/>
              </w:rPr>
            </w:pPr>
            <w:r w:rsidRPr="0007074F">
              <w:rPr>
                <w:rFonts w:asciiTheme="minorHAnsi" w:hAnsiTheme="minorHAnsi" w:cstheme="minorHAnsi"/>
                <w:b w:val="0"/>
                <w:color w:val="002060"/>
                <w:sz w:val="18"/>
                <w:szCs w:val="18"/>
                <w:lang w:val="sr-Cyrl-CS"/>
              </w:rPr>
              <w:t>ООСО</w:t>
            </w:r>
          </w:p>
        </w:tc>
        <w:tc>
          <w:tcPr>
            <w:tcW w:w="1008" w:type="pct"/>
            <w:shd w:val="clear" w:color="auto" w:fill="auto"/>
          </w:tcPr>
          <w:p w14:paraId="5927EB77" w14:textId="77777777" w:rsidR="00A33AAE" w:rsidRPr="0007074F" w:rsidRDefault="00A33AAE" w:rsidP="00FE1A26">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w:t>
            </w:r>
          </w:p>
        </w:tc>
        <w:tc>
          <w:tcPr>
            <w:tcW w:w="1008" w:type="pct"/>
            <w:shd w:val="clear" w:color="auto" w:fill="auto"/>
          </w:tcPr>
          <w:p w14:paraId="6B812C6A" w14:textId="77777777" w:rsidR="00A33AAE" w:rsidRPr="0007074F" w:rsidRDefault="00A33AAE" w:rsidP="00FE1A26">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1,1</w:t>
            </w:r>
          </w:p>
        </w:tc>
      </w:tr>
      <w:tr w:rsidR="00A33AAE" w:rsidRPr="0007074F" w14:paraId="597B5D0E" w14:textId="77777777" w:rsidTr="0004786A">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bottom w:val="single" w:sz="4" w:space="0" w:color="002060"/>
            </w:tcBorders>
            <w:shd w:val="clear" w:color="auto" w:fill="auto"/>
            <w:noWrap/>
            <w:hideMark/>
          </w:tcPr>
          <w:p w14:paraId="545F68CD" w14:textId="77777777" w:rsidR="00A33AAE" w:rsidRPr="0007074F" w:rsidRDefault="00A33AAE" w:rsidP="00FE1A26">
            <w:pPr>
              <w:rPr>
                <w:rFonts w:asciiTheme="minorHAnsi" w:hAnsiTheme="minorHAnsi" w:cstheme="minorHAnsi"/>
                <w:b w:val="0"/>
                <w:color w:val="002060"/>
                <w:sz w:val="18"/>
                <w:szCs w:val="18"/>
                <w:lang w:val="sr-Cyrl-CS"/>
              </w:rPr>
            </w:pPr>
            <w:r w:rsidRPr="0007074F">
              <w:rPr>
                <w:rFonts w:asciiTheme="minorHAnsi" w:hAnsiTheme="minorHAnsi" w:cstheme="minorHAnsi"/>
                <w:b w:val="0"/>
                <w:color w:val="002060"/>
                <w:sz w:val="18"/>
                <w:szCs w:val="18"/>
                <w:lang w:val="sr-Cyrl-CS"/>
              </w:rPr>
              <w:t>УКУПНО</w:t>
            </w:r>
          </w:p>
        </w:tc>
        <w:tc>
          <w:tcPr>
            <w:tcW w:w="1008" w:type="pct"/>
            <w:tcBorders>
              <w:bottom w:val="single" w:sz="4" w:space="0" w:color="002060"/>
            </w:tcBorders>
            <w:shd w:val="clear" w:color="auto" w:fill="auto"/>
          </w:tcPr>
          <w:p w14:paraId="6B4453F1" w14:textId="77777777" w:rsidR="00A33AAE" w:rsidRPr="0007074F" w:rsidRDefault="00A33AAE"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3,5</w:t>
            </w:r>
          </w:p>
        </w:tc>
        <w:tc>
          <w:tcPr>
            <w:tcW w:w="1008" w:type="pct"/>
            <w:tcBorders>
              <w:bottom w:val="single" w:sz="4" w:space="0" w:color="002060"/>
            </w:tcBorders>
            <w:shd w:val="clear" w:color="auto" w:fill="auto"/>
          </w:tcPr>
          <w:p w14:paraId="37552BBA" w14:textId="77777777" w:rsidR="00A33AAE" w:rsidRPr="0007074F" w:rsidRDefault="00A33AAE"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w:t>
            </w:r>
          </w:p>
        </w:tc>
      </w:tr>
    </w:tbl>
    <w:p w14:paraId="6CADBDCC" w14:textId="77777777" w:rsidR="00A33AAE" w:rsidRPr="0007074F" w:rsidRDefault="00A33AAE" w:rsidP="00FE1A26">
      <w:pPr>
        <w:spacing w:before="40" w:after="0" w:line="240" w:lineRule="auto"/>
        <w:rPr>
          <w:rFonts w:cstheme="minorHAnsi"/>
          <w:sz w:val="16"/>
          <w:szCs w:val="20"/>
          <w:lang w:val="sr-Cyrl-CS"/>
        </w:rPr>
      </w:pPr>
      <w:r w:rsidRPr="0007074F">
        <w:rPr>
          <w:rFonts w:eastAsia="Calibri" w:cstheme="minorHAnsi"/>
          <w:bCs/>
          <w:sz w:val="16"/>
          <w:szCs w:val="20"/>
          <w:lang w:val="sr-Cyrl-CS" w:eastAsia="ja-JP"/>
        </w:rPr>
        <w:t xml:space="preserve">Извор: </w:t>
      </w:r>
      <w:r w:rsidRPr="0007074F">
        <w:rPr>
          <w:rFonts w:cstheme="minorHAnsi"/>
          <w:sz w:val="16"/>
          <w:szCs w:val="20"/>
          <w:lang w:val="sr-Cyrl-CS"/>
        </w:rPr>
        <w:t>Министарство финансија</w:t>
      </w:r>
    </w:p>
    <w:p w14:paraId="60572189" w14:textId="77777777" w:rsidR="00A33AAE" w:rsidRPr="0007074F" w:rsidRDefault="00A33AAE" w:rsidP="000D3688">
      <w:pPr>
        <w:spacing w:after="0" w:line="240" w:lineRule="auto"/>
        <w:rPr>
          <w:lang w:val="sr-Cyrl-CS" w:eastAsia="ja-JP"/>
        </w:rPr>
      </w:pPr>
      <w:r w:rsidRPr="0007074F">
        <w:rPr>
          <w:rFonts w:eastAsia="MS PGothic" w:cstheme="minorHAnsi"/>
          <w:sz w:val="16"/>
          <w:szCs w:val="16"/>
          <w:lang w:val="sr-Cyrl-CS" w:eastAsia="ja-JP"/>
        </w:rPr>
        <w:t>* У складу са дефиницијом која се користила за потребе праћења спровођења аранжмана са ММФ.</w:t>
      </w:r>
    </w:p>
    <w:p w14:paraId="00E2884E" w14:textId="77777777" w:rsidR="00A33AAE" w:rsidRPr="0007074F" w:rsidRDefault="00A33AAE" w:rsidP="00A33AAE">
      <w:pPr>
        <w:rPr>
          <w:highlight w:val="red"/>
          <w:lang w:val="sr-Cyrl-CS"/>
        </w:rPr>
      </w:pPr>
    </w:p>
    <w:p w14:paraId="0D93D449" w14:textId="77777777" w:rsidR="00A33AAE" w:rsidRPr="0007074F" w:rsidRDefault="00A33AAE" w:rsidP="00A33AAE">
      <w:pPr>
        <w:rPr>
          <w:highlight w:val="red"/>
          <w:lang w:val="sr-Cyrl-CS"/>
        </w:rPr>
        <w:sectPr w:rsidR="00A33AAE" w:rsidRPr="0007074F" w:rsidSect="00C95509">
          <w:headerReference w:type="even" r:id="rId116"/>
          <w:headerReference w:type="default" r:id="rId117"/>
          <w:footerReference w:type="even" r:id="rId118"/>
          <w:footerReference w:type="default" r:id="rId119"/>
          <w:headerReference w:type="first" r:id="rId120"/>
          <w:type w:val="continuous"/>
          <w:pgSz w:w="12240" w:h="15840"/>
          <w:pgMar w:top="1440" w:right="1440" w:bottom="1440" w:left="1440" w:header="720" w:footer="720" w:gutter="0"/>
          <w:cols w:space="720"/>
          <w:docGrid w:linePitch="360"/>
        </w:sectPr>
      </w:pPr>
    </w:p>
    <w:p w14:paraId="5FC4D9AF" w14:textId="77777777" w:rsidR="00416E7C" w:rsidRPr="0007074F" w:rsidRDefault="00416E7C" w:rsidP="00416E7C">
      <w:pPr>
        <w:rPr>
          <w:lang w:val="sr-Cyrl-CS"/>
        </w:rPr>
      </w:pPr>
      <w:bookmarkStart w:id="39" w:name="_Toc11155993"/>
      <w:r w:rsidRPr="0007074F">
        <w:rPr>
          <w:lang w:val="sr-Cyrl-CS"/>
        </w:rPr>
        <w:br w:type="page"/>
      </w:r>
    </w:p>
    <w:p w14:paraId="1273E786" w14:textId="70CC1169" w:rsidR="00891280" w:rsidRPr="0007074F" w:rsidRDefault="00891280" w:rsidP="00E05893">
      <w:pPr>
        <w:spacing w:after="240" w:line="240" w:lineRule="auto"/>
        <w:contextualSpacing/>
        <w:jc w:val="center"/>
        <w:rPr>
          <w:rFonts w:ascii="Calibri" w:eastAsia="Calibri" w:hAnsi="Calibri" w:cs="Calibri"/>
          <w:b/>
          <w:color w:val="2F5496" w:themeColor="accent1" w:themeShade="BF"/>
          <w:sz w:val="24"/>
          <w:szCs w:val="24"/>
          <w:lang w:val="sr-Cyrl-CS"/>
        </w:rPr>
      </w:pPr>
      <w:r w:rsidRPr="0007074F">
        <w:rPr>
          <w:rFonts w:ascii="Calibri" w:eastAsia="Calibri" w:hAnsi="Calibri" w:cs="Calibri"/>
          <w:b/>
          <w:noProof/>
          <w:color w:val="2F5496" w:themeColor="accent1" w:themeShade="BF"/>
          <w:sz w:val="24"/>
          <w:szCs w:val="24"/>
        </w:rPr>
        <w:lastRenderedPageBreak/>
        <mc:AlternateContent>
          <mc:Choice Requires="wps">
            <w:drawing>
              <wp:anchor distT="0" distB="0" distL="114300" distR="114300" simplePos="0" relativeHeight="251680256" behindDoc="1" locked="0" layoutInCell="1" allowOverlap="1" wp14:anchorId="392508FE" wp14:editId="5CD6BC4F">
                <wp:simplePos x="0" y="0"/>
                <wp:positionH relativeFrom="margin">
                  <wp:posOffset>-266700</wp:posOffset>
                </wp:positionH>
                <wp:positionV relativeFrom="paragraph">
                  <wp:posOffset>-95249</wp:posOffset>
                </wp:positionV>
                <wp:extent cx="6480000" cy="8058150"/>
                <wp:effectExtent l="0" t="0" r="0" b="0"/>
                <wp:wrapNone/>
                <wp:docPr id="308761644" name="Rectangle 308761644"/>
                <wp:cNvGraphicFramePr/>
                <a:graphic xmlns:a="http://schemas.openxmlformats.org/drawingml/2006/main">
                  <a:graphicData uri="http://schemas.microsoft.com/office/word/2010/wordprocessingShape">
                    <wps:wsp>
                      <wps:cNvSpPr/>
                      <wps:spPr>
                        <a:xfrm>
                          <a:off x="0" y="0"/>
                          <a:ext cx="6480000" cy="805815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651553D" id="Rectangle 308761644" o:spid="_x0000_s1026" style="position:absolute;margin-left:-21pt;margin-top:-7.5pt;width:510.25pt;height:634.5pt;z-index:-251636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" fillcolor="#d9d9d9" stroked="f" strokeweight="1pt">
                <v:fill r:id="rId121" o:title="" color2="window" type="pattern"/>
                <w10:wrap anchorx="margin"/>
              </v:rect>
            </w:pict>
          </mc:Fallback>
        </mc:AlternateContent>
      </w:r>
      <w:r w:rsidRPr="0007074F">
        <w:rPr>
          <w:rFonts w:ascii="Calibri" w:eastAsia="Calibri" w:hAnsi="Calibri" w:cs="Calibri"/>
          <w:b/>
          <w:color w:val="2F5496" w:themeColor="accent1" w:themeShade="BF"/>
          <w:sz w:val="24"/>
          <w:szCs w:val="24"/>
          <w:lang w:val="sr-Cyrl-CS"/>
        </w:rPr>
        <w:t>S0 индикатор краткорочне фискалне одрживости</w:t>
      </w:r>
    </w:p>
    <w:p w14:paraId="0385AA65" w14:textId="77777777" w:rsidR="00891280" w:rsidRPr="0007074F" w:rsidRDefault="00891280" w:rsidP="00E05893">
      <w:pPr>
        <w:spacing w:after="60"/>
        <w:rPr>
          <w:rFonts w:cstheme="minorHAnsi"/>
          <w:color w:val="auto"/>
          <w:szCs w:val="20"/>
          <w:lang w:val="sr-Cyrl-CS"/>
        </w:rPr>
      </w:pPr>
    </w:p>
    <w:p w14:paraId="39E68656" w14:textId="77777777" w:rsidR="00891280" w:rsidRPr="0007074F" w:rsidRDefault="00891280" w:rsidP="00E05893">
      <w:pPr>
        <w:spacing w:after="60"/>
        <w:rPr>
          <w:rFonts w:cstheme="minorHAnsi"/>
          <w:color w:val="auto"/>
          <w:szCs w:val="20"/>
          <w:lang w:val="sr-Cyrl-CS"/>
        </w:rPr>
        <w:sectPr w:rsidR="00891280" w:rsidRPr="0007074F" w:rsidSect="00E05893">
          <w:headerReference w:type="even" r:id="rId122"/>
          <w:headerReference w:type="default" r:id="rId123"/>
          <w:footerReference w:type="even" r:id="rId124"/>
          <w:footerReference w:type="default" r:id="rId125"/>
          <w:headerReference w:type="first" r:id="rId126"/>
          <w:type w:val="continuous"/>
          <w:pgSz w:w="12240" w:h="15840" w:code="1"/>
          <w:pgMar w:top="1440" w:right="1440" w:bottom="1440" w:left="1440" w:header="720" w:footer="720" w:gutter="0"/>
          <w:cols w:space="720"/>
          <w:titlePg/>
          <w:docGrid w:linePitch="360"/>
        </w:sectPr>
      </w:pPr>
    </w:p>
    <w:p w14:paraId="5BBC5A12" w14:textId="7EFAC194" w:rsidR="00891280" w:rsidRPr="0007074F" w:rsidRDefault="00891280" w:rsidP="00E05893">
      <w:pPr>
        <w:rPr>
          <w:rFonts w:cstheme="minorHAnsi"/>
          <w:szCs w:val="20"/>
          <w:lang w:val="sr-Cyrl-CS"/>
        </w:rPr>
      </w:pPr>
      <w:r w:rsidRPr="0007074F">
        <w:rPr>
          <w:rFonts w:cstheme="minorHAnsi"/>
          <w:szCs w:val="20"/>
          <w:lang w:val="sr-Cyrl-CS"/>
        </w:rPr>
        <w:t>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да антиципира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макро-финансијске одрживости. Вредност</w:t>
      </w:r>
      <w:r w:rsidR="003F04FE" w:rsidRPr="0007074F">
        <w:rPr>
          <w:rFonts w:cstheme="minorHAnsi"/>
          <w:szCs w:val="20"/>
          <w:lang w:val="sr-Cyrl-CS"/>
        </w:rPr>
        <w:t>и</w:t>
      </w:r>
      <w:r w:rsidRPr="0007074F">
        <w:rPr>
          <w:rFonts w:cstheme="minorHAnsi"/>
          <w:szCs w:val="20"/>
          <w:lang w:val="sr-Cyrl-CS"/>
        </w:rPr>
        <w:t xml:space="preserve"> ових подиндекса</w:t>
      </w:r>
      <w:r w:rsidR="003F04FE" w:rsidRPr="0007074F">
        <w:rPr>
          <w:rFonts w:cstheme="minorHAnsi"/>
          <w:szCs w:val="20"/>
          <w:lang w:val="sr-Cyrl-CS"/>
        </w:rPr>
        <w:t xml:space="preserve"> испод дефинисаног прага указују</w:t>
      </w:r>
      <w:r w:rsidRPr="0007074F">
        <w:rPr>
          <w:rFonts w:cstheme="minorHAnsi"/>
          <w:szCs w:val="20"/>
          <w:lang w:val="sr-Cyrl-CS"/>
        </w:rPr>
        <w:t xml:space="preserve"> на одсуство краткорочног фискалног ризика.</w:t>
      </w:r>
    </w:p>
    <w:p w14:paraId="63D853A8" w14:textId="77777777" w:rsidR="00891280" w:rsidRPr="0007074F" w:rsidRDefault="00891280" w:rsidP="00E05893">
      <w:pPr>
        <w:rPr>
          <w:rFonts w:cstheme="minorHAnsi"/>
          <w:szCs w:val="20"/>
          <w:lang w:val="sr-Cyrl-CS"/>
        </w:rPr>
      </w:pPr>
      <w:r w:rsidRPr="0007074F">
        <w:rPr>
          <w:rFonts w:cstheme="minorHAnsi"/>
          <w:szCs w:val="20"/>
          <w:lang w:val="sr-Cyrl-CS"/>
        </w:rPr>
        <w:t>У 2022. години вредности фискалног (0,22) и финансијског подиндекса (0,27) су унутар за њих дефинисаног прага, као и вредност целокупног S0 индикатора за Републику Србију (0,25), што начелно указује да не постоји опасност од појаве макроекономске нестабилности у наредном средњорочном периоду. Успешно очувана макроекономска и фискална стабилност успостављена у претходном периоду обезбедила је простор за брзе и значајне мере подршке фискалне и монетарне политике.</w:t>
      </w:r>
    </w:p>
    <w:p w14:paraId="7D0E3C2E" w14:textId="77777777" w:rsidR="00891280" w:rsidRPr="0007074F" w:rsidRDefault="00891280">
      <w:pPr>
        <w:jc w:val="left"/>
        <w:rPr>
          <w:rFonts w:cstheme="minorHAnsi"/>
          <w:color w:val="auto"/>
          <w:szCs w:val="20"/>
          <w:lang w:val="sr-Cyrl-CS"/>
        </w:rPr>
      </w:pPr>
      <w:r w:rsidRPr="0007074F">
        <w:rPr>
          <w:noProof/>
        </w:rPr>
        <w:drawing>
          <wp:inline distT="0" distB="0" distL="0" distR="0" wp14:anchorId="3502F9D8" wp14:editId="4E379076">
            <wp:extent cx="2743200" cy="4323600"/>
            <wp:effectExtent l="0" t="0" r="0" b="0"/>
            <wp:docPr id="1001145819" name="Chart 1">
              <a:extLst xmlns:a="http://schemas.openxmlformats.org/drawingml/2006/main">
                <a:ext uri="{FF2B5EF4-FFF2-40B4-BE49-F238E27FC236}">
                  <a16:creationId xmlns:a16="http://schemas.microsoft.com/office/drawing/2014/main" id="{00000000-0008-0000-09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14:paraId="26279CFC" w14:textId="77777777" w:rsidR="00891280" w:rsidRPr="0007074F" w:rsidRDefault="00891280" w:rsidP="00E05893">
      <w:pPr>
        <w:rPr>
          <w:rFonts w:cstheme="minorHAnsi"/>
          <w:color w:val="auto"/>
          <w:szCs w:val="20"/>
          <w:lang w:val="sr-Cyrl-CS"/>
        </w:rPr>
      </w:pPr>
    </w:p>
    <w:p w14:paraId="58BE3527" w14:textId="77777777" w:rsidR="00891280" w:rsidRPr="0007074F" w:rsidRDefault="00891280" w:rsidP="00E05893">
      <w:pPr>
        <w:rPr>
          <w:rFonts w:cstheme="minorHAnsi"/>
          <w:color w:val="auto"/>
          <w:szCs w:val="20"/>
          <w:lang w:val="sr-Cyrl-CS"/>
        </w:rPr>
      </w:pPr>
    </w:p>
    <w:p w14:paraId="140A0F8F" w14:textId="77777777" w:rsidR="00891280" w:rsidRPr="0007074F" w:rsidRDefault="00891280" w:rsidP="00E05893">
      <w:pPr>
        <w:rPr>
          <w:rFonts w:eastAsia="Calibri" w:cstheme="minorHAnsi"/>
          <w:b/>
          <w:color w:val="auto"/>
          <w:sz w:val="24"/>
          <w:szCs w:val="26"/>
          <w:lang w:val="sr-Cyrl-CS"/>
        </w:rPr>
        <w:sectPr w:rsidR="00891280" w:rsidRPr="0007074F" w:rsidSect="00C95509">
          <w:type w:val="continuous"/>
          <w:pgSz w:w="12240" w:h="15840"/>
          <w:pgMar w:top="1440" w:right="1440" w:bottom="1440" w:left="1440" w:header="720" w:footer="720" w:gutter="0"/>
          <w:cols w:num="2" w:space="720"/>
          <w:docGrid w:linePitch="360"/>
        </w:sectPr>
      </w:pPr>
    </w:p>
    <w:p w14:paraId="61039420" w14:textId="77777777" w:rsidR="00891280" w:rsidRPr="0007074F" w:rsidRDefault="00891280" w:rsidP="00E05893">
      <w:pPr>
        <w:jc w:val="center"/>
        <w:rPr>
          <w:rFonts w:cstheme="minorHAnsi"/>
          <w:color w:val="auto"/>
          <w:szCs w:val="20"/>
          <w:lang w:val="sr-Cyrl-CS"/>
        </w:rPr>
      </w:pPr>
      <w:r w:rsidRPr="0007074F">
        <w:rPr>
          <w:noProof/>
        </w:rPr>
        <w:drawing>
          <wp:inline distT="0" distB="0" distL="0" distR="0" wp14:anchorId="44ADD329" wp14:editId="2B711D28">
            <wp:extent cx="5943600" cy="2343600"/>
            <wp:effectExtent l="0" t="0" r="0" b="0"/>
            <wp:docPr id="1713724737" name="Chart 1">
              <a:extLst xmlns:a="http://schemas.openxmlformats.org/drawingml/2006/main">
                <a:ext uri="{FF2B5EF4-FFF2-40B4-BE49-F238E27FC236}">
                  <a16:creationId xmlns:a16="http://schemas.microsoft.com/office/drawing/2014/main" id="{00000000-0008-0000-09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p w14:paraId="61566BC9" w14:textId="77777777" w:rsidR="00891280" w:rsidRPr="0007074F" w:rsidRDefault="00891280" w:rsidP="00E05893">
      <w:pPr>
        <w:jc w:val="center"/>
        <w:rPr>
          <w:rFonts w:cstheme="minorHAnsi"/>
          <w:color w:val="auto"/>
          <w:szCs w:val="20"/>
          <w:lang w:val="sr-Cyrl-CS"/>
        </w:rPr>
      </w:pPr>
    </w:p>
    <w:p w14:paraId="4B71E7E5" w14:textId="77777777" w:rsidR="00891280" w:rsidRPr="0007074F" w:rsidRDefault="00891280" w:rsidP="00E05893">
      <w:pPr>
        <w:rPr>
          <w:rFonts w:cstheme="minorHAnsi"/>
          <w:color w:val="auto"/>
          <w:szCs w:val="20"/>
          <w:lang w:val="sr-Cyrl-CS"/>
        </w:rPr>
      </w:pPr>
    </w:p>
    <w:p w14:paraId="6BDA08EA" w14:textId="77777777" w:rsidR="00891280" w:rsidRPr="0007074F" w:rsidRDefault="00891280" w:rsidP="00E05893">
      <w:pPr>
        <w:rPr>
          <w:rFonts w:cstheme="minorHAnsi"/>
          <w:color w:val="auto"/>
          <w:szCs w:val="20"/>
          <w:lang w:val="sr-Cyrl-CS"/>
        </w:rPr>
        <w:sectPr w:rsidR="00891280" w:rsidRPr="0007074F" w:rsidSect="00C95509">
          <w:type w:val="continuous"/>
          <w:pgSz w:w="12240" w:h="15840"/>
          <w:pgMar w:top="1440" w:right="1440" w:bottom="1440" w:left="1440" w:header="720" w:footer="720" w:gutter="0"/>
          <w:cols w:space="720"/>
          <w:docGrid w:linePitch="360"/>
        </w:sectPr>
      </w:pPr>
    </w:p>
    <w:p w14:paraId="2694F936" w14:textId="77777777" w:rsidR="00891280" w:rsidRPr="0007074F" w:rsidRDefault="00891280" w:rsidP="00E05893">
      <w:pPr>
        <w:rPr>
          <w:rFonts w:cstheme="minorHAnsi"/>
          <w:szCs w:val="20"/>
          <w:lang w:val="sr-Cyrl-CS"/>
        </w:rPr>
      </w:pPr>
      <w:r w:rsidRPr="0007074F">
        <w:rPr>
          <w:noProof/>
        </w:rPr>
        <w:drawing>
          <wp:inline distT="0" distB="0" distL="0" distR="0" wp14:anchorId="7301B813" wp14:editId="233825DB">
            <wp:extent cx="3027600" cy="4050000"/>
            <wp:effectExtent l="0" t="0" r="1905" b="8255"/>
            <wp:docPr id="1961915284" name="Chart 1">
              <a:extLst xmlns:a="http://schemas.openxmlformats.org/drawingml/2006/main">
                <a:ext uri="{FF2B5EF4-FFF2-40B4-BE49-F238E27FC236}">
                  <a16:creationId xmlns:a16="http://schemas.microsoft.com/office/drawing/2014/main" id="{00000000-0008-0000-0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p w14:paraId="3C295E5D" w14:textId="77777777" w:rsidR="00891280" w:rsidRPr="0007074F" w:rsidRDefault="00891280" w:rsidP="00E05893">
      <w:pPr>
        <w:rPr>
          <w:rFonts w:cstheme="minorHAnsi"/>
          <w:szCs w:val="20"/>
          <w:lang w:val="sr-Cyrl-CS"/>
        </w:rPr>
      </w:pPr>
      <w:r w:rsidRPr="0007074F">
        <w:rPr>
          <w:rFonts w:cstheme="minorHAnsi"/>
          <w:noProof/>
          <w:color w:val="auto"/>
        </w:rPr>
        <mc:AlternateContent>
          <mc:Choice Requires="wps">
            <w:drawing>
              <wp:anchor distT="0" distB="0" distL="114300" distR="114300" simplePos="0" relativeHeight="251681280" behindDoc="1" locked="0" layoutInCell="1" allowOverlap="1" wp14:anchorId="2314CC50" wp14:editId="6FEEE93C">
                <wp:simplePos x="0" y="0"/>
                <wp:positionH relativeFrom="margin">
                  <wp:posOffset>-239395</wp:posOffset>
                </wp:positionH>
                <wp:positionV relativeFrom="paragraph">
                  <wp:posOffset>-85725</wp:posOffset>
                </wp:positionV>
                <wp:extent cx="6480000" cy="4238625"/>
                <wp:effectExtent l="0" t="0" r="0" b="9525"/>
                <wp:wrapNone/>
                <wp:docPr id="1771899838" name="Rectangle 1771899838"/>
                <wp:cNvGraphicFramePr/>
                <a:graphic xmlns:a="http://schemas.openxmlformats.org/drawingml/2006/main">
                  <a:graphicData uri="http://schemas.microsoft.com/office/word/2010/wordprocessingShape">
                    <wps:wsp>
                      <wps:cNvSpPr/>
                      <wps:spPr>
                        <a:xfrm>
                          <a:off x="0" y="0"/>
                          <a:ext cx="6480000" cy="4238625"/>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08BB634" id="Rectangle 1771899838" o:spid="_x0000_s1026" style="position:absolute;margin-left:-18.85pt;margin-top:-6.75pt;width:510.25pt;height:333.75pt;z-index:-251635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" fillcolor="#d9d9d9" stroked="f" strokeweight="1pt">
                <v:fill r:id="rId121" o:title="" color2="window" type="pattern"/>
                <w10:wrap anchorx="margin"/>
              </v:rect>
            </w:pict>
          </mc:Fallback>
        </mc:AlternateContent>
      </w:r>
      <w:r w:rsidRPr="0007074F">
        <w:rPr>
          <w:rFonts w:cstheme="minorHAnsi"/>
          <w:szCs w:val="20"/>
          <w:lang w:val="sr-Cyrl-CS"/>
        </w:rPr>
        <w:t>Обрачун S0 индикатора за Републику Србију, урађен је од стране Министарства финансија, и базира се на методологији ЕК.</w:t>
      </w:r>
    </w:p>
    <w:p w14:paraId="1A15F625" w14:textId="38707620" w:rsidR="00891280" w:rsidRPr="0007074F" w:rsidRDefault="00891280" w:rsidP="00E05893">
      <w:pPr>
        <w:rPr>
          <w:rFonts w:cstheme="minorHAnsi"/>
          <w:szCs w:val="20"/>
          <w:lang w:val="sr-Cyrl-CS"/>
        </w:rPr>
      </w:pPr>
      <w:r w:rsidRPr="0007074F">
        <w:rPr>
          <w:rFonts w:cstheme="minorHAnsi"/>
          <w:szCs w:val="20"/>
          <w:lang w:val="sr-Cyrl-CS"/>
        </w:rPr>
        <w:t>На основу података Е</w:t>
      </w:r>
      <w:r w:rsidR="004D14CE" w:rsidRPr="0007074F">
        <w:rPr>
          <w:rFonts w:cstheme="minorHAnsi"/>
          <w:szCs w:val="20"/>
          <w:lang w:val="sr-Cyrl-CS"/>
        </w:rPr>
        <w:t>вропске комисије</w:t>
      </w:r>
      <w:r w:rsidRPr="0007074F">
        <w:rPr>
          <w:rFonts w:cstheme="minorHAnsi"/>
          <w:szCs w:val="20"/>
          <w:lang w:val="sr-Cyrl-CS"/>
        </w:rPr>
        <w:t xml:space="preserve"> за земље ЕУ за 2022. годину и обрачуна Министарства финансија за Републику Србију, закључујемо да већина посматраних земаља, као и Србија, није била изложена краткорочном ризику реализације фискалног стреса, будући да вредност S0 нигде не премашује дефинисани праг. Минимизирање потенцијалних ризика за настанак фискалног стреса у посматраним земљама допринело је стварању простора за доношење мера економске политике без преседана по свом обиму, а као одговор на здравствену </w:t>
      </w:r>
      <w:r w:rsidR="00035ABD" w:rsidRPr="0007074F">
        <w:rPr>
          <w:rFonts w:cstheme="minorHAnsi"/>
          <w:szCs w:val="20"/>
          <w:lang w:val="sr-Cyrl-CS"/>
        </w:rPr>
        <w:t>и енергетску кризу које</w:t>
      </w:r>
      <w:r w:rsidRPr="0007074F">
        <w:rPr>
          <w:rFonts w:cstheme="minorHAnsi"/>
          <w:szCs w:val="20"/>
          <w:lang w:val="sr-Cyrl-CS"/>
        </w:rPr>
        <w:t xml:space="preserve"> с</w:t>
      </w:r>
      <w:r w:rsidR="00035ABD" w:rsidRPr="0007074F">
        <w:rPr>
          <w:rFonts w:cstheme="minorHAnsi"/>
          <w:szCs w:val="20"/>
          <w:lang w:val="sr-Cyrl-CS"/>
        </w:rPr>
        <w:t>у се</w:t>
      </w:r>
      <w:r w:rsidRPr="0007074F">
        <w:rPr>
          <w:rFonts w:cstheme="minorHAnsi"/>
          <w:szCs w:val="20"/>
          <w:lang w:val="sr-Cyrl-CS"/>
        </w:rPr>
        <w:t xml:space="preserve"> прелил</w:t>
      </w:r>
      <w:r w:rsidR="00035ABD" w:rsidRPr="0007074F">
        <w:rPr>
          <w:rFonts w:cstheme="minorHAnsi"/>
          <w:szCs w:val="20"/>
          <w:lang w:val="sr-Cyrl-CS"/>
        </w:rPr>
        <w:t>е</w:t>
      </w:r>
      <w:r w:rsidRPr="0007074F">
        <w:rPr>
          <w:rFonts w:cstheme="minorHAnsi"/>
          <w:szCs w:val="20"/>
          <w:lang w:val="sr-Cyrl-CS"/>
        </w:rPr>
        <w:t xml:space="preserve"> у све сфере економије.</w:t>
      </w:r>
    </w:p>
    <w:p w14:paraId="5790B38B" w14:textId="77777777" w:rsidR="00891280" w:rsidRPr="0007074F" w:rsidRDefault="00891280" w:rsidP="00E05893">
      <w:pPr>
        <w:rPr>
          <w:rFonts w:cstheme="minorHAnsi"/>
          <w:color w:val="auto"/>
          <w:szCs w:val="20"/>
          <w:lang w:val="sr-Cyrl-CS"/>
        </w:rPr>
        <w:sectPr w:rsidR="00891280" w:rsidRPr="0007074F" w:rsidSect="00E05893">
          <w:headerReference w:type="even" r:id="rId130"/>
          <w:headerReference w:type="default" r:id="rId131"/>
          <w:footerReference w:type="even" r:id="rId132"/>
          <w:footerReference w:type="default" r:id="rId133"/>
          <w:headerReference w:type="first" r:id="rId134"/>
          <w:type w:val="continuous"/>
          <w:pgSz w:w="12240" w:h="15840" w:code="1"/>
          <w:pgMar w:top="1440" w:right="1440" w:bottom="1440" w:left="1440" w:header="720" w:footer="720" w:gutter="0"/>
          <w:cols w:num="2" w:space="332"/>
          <w:docGrid w:linePitch="360"/>
        </w:sectPr>
      </w:pPr>
    </w:p>
    <w:p w14:paraId="6544CDFC" w14:textId="77777777" w:rsidR="00891280" w:rsidRPr="0007074F" w:rsidRDefault="00891280" w:rsidP="00CE2DC7">
      <w:pPr>
        <w:rPr>
          <w:lang w:val="sr-Cyrl-CS"/>
        </w:rPr>
      </w:pPr>
    </w:p>
    <w:p w14:paraId="1B9F2B5E" w14:textId="77777777" w:rsidR="00891280" w:rsidRPr="0007074F" w:rsidRDefault="00891280" w:rsidP="00E124CF">
      <w:pPr>
        <w:rPr>
          <w:rFonts w:ascii="Calibri" w:eastAsia="Calibri" w:hAnsi="Calibri" w:cs="Calibri"/>
          <w:color w:val="auto"/>
          <w:szCs w:val="20"/>
          <w:lang w:val="sr-Cyrl-CS"/>
        </w:rPr>
        <w:sectPr w:rsidR="00891280" w:rsidRPr="0007074F" w:rsidSect="00E05893">
          <w:headerReference w:type="even" r:id="rId135"/>
          <w:footerReference w:type="even" r:id="rId136"/>
          <w:footerReference w:type="default" r:id="rId137"/>
          <w:headerReference w:type="first" r:id="rId138"/>
          <w:type w:val="continuous"/>
          <w:pgSz w:w="12240" w:h="15840"/>
          <w:pgMar w:top="1440" w:right="1440" w:bottom="1440" w:left="1440" w:header="720" w:footer="720" w:gutter="0"/>
          <w:cols w:space="720"/>
          <w:docGrid w:linePitch="360"/>
        </w:sectPr>
      </w:pPr>
    </w:p>
    <w:p w14:paraId="444F816D" w14:textId="2676ECA2" w:rsidR="00891280" w:rsidRPr="0007074F" w:rsidRDefault="00891280">
      <w:pPr>
        <w:jc w:val="left"/>
        <w:rPr>
          <w:lang w:val="sr-Cyrl-CS"/>
        </w:rPr>
      </w:pPr>
      <w:r w:rsidRPr="0007074F">
        <w:rPr>
          <w:lang w:val="sr-Cyrl-CS"/>
        </w:rPr>
        <w:br w:type="page"/>
      </w:r>
    </w:p>
    <w:p w14:paraId="57D6F0C9" w14:textId="46800236" w:rsidR="00CE2F2F" w:rsidRPr="0007074F" w:rsidRDefault="007912B6" w:rsidP="00E05893">
      <w:pPr>
        <w:pStyle w:val="Heading2"/>
        <w:spacing w:before="0" w:after="320"/>
        <w:jc w:val="center"/>
        <w:rPr>
          <w:rFonts w:asciiTheme="minorHAnsi" w:eastAsia="Calibri" w:hAnsiTheme="minorHAnsi" w:cstheme="minorHAnsi"/>
          <w:b/>
          <w:sz w:val="24"/>
          <w:lang w:val="sr-Cyrl-CS"/>
        </w:rPr>
      </w:pPr>
      <w:bookmarkStart w:id="40" w:name="_Toc119654146"/>
      <w:bookmarkStart w:id="41" w:name="_Toc135994503"/>
      <w:bookmarkStart w:id="42" w:name="_Toc56667078"/>
      <w:bookmarkStart w:id="43" w:name="_Toc119326595"/>
      <w:bookmarkEnd w:id="39"/>
      <w:r w:rsidRPr="0007074F">
        <w:rPr>
          <w:rFonts w:asciiTheme="minorHAnsi" w:eastAsia="Calibri" w:hAnsiTheme="minorHAnsi" w:cstheme="minorHAnsi"/>
          <w:b/>
          <w:sz w:val="24"/>
          <w:lang w:val="sr-Cyrl-CS"/>
        </w:rPr>
        <w:lastRenderedPageBreak/>
        <w:t>4</w:t>
      </w:r>
      <w:r w:rsidR="00CE2F2F" w:rsidRPr="0007074F">
        <w:rPr>
          <w:rFonts w:asciiTheme="minorHAnsi" w:eastAsia="Calibri" w:hAnsiTheme="minorHAnsi" w:cstheme="minorHAnsi"/>
          <w:b/>
          <w:sz w:val="24"/>
          <w:lang w:val="sr-Cyrl-CS"/>
        </w:rPr>
        <w:t>. Фискалне пројекције у периоду 2024–2026. године</w:t>
      </w:r>
      <w:bookmarkEnd w:id="40"/>
      <w:bookmarkEnd w:id="41"/>
    </w:p>
    <w:p w14:paraId="6BE0428E" w14:textId="77777777" w:rsidR="00CE2F2F" w:rsidRPr="0007074F" w:rsidRDefault="00CE2F2F" w:rsidP="00E05893">
      <w:pPr>
        <w:rPr>
          <w:lang w:val="sr-Cyrl-CS" w:eastAsia="ja-JP"/>
        </w:rPr>
        <w:sectPr w:rsidR="00CE2F2F" w:rsidRPr="0007074F" w:rsidSect="00E05893">
          <w:headerReference w:type="default" r:id="rId139"/>
          <w:footerReference w:type="even" r:id="rId140"/>
          <w:footerReference w:type="default" r:id="rId141"/>
          <w:headerReference w:type="first" r:id="rId142"/>
          <w:type w:val="continuous"/>
          <w:pgSz w:w="12240" w:h="15840" w:code="1"/>
          <w:pgMar w:top="1440" w:right="1440" w:bottom="1440" w:left="1440" w:header="720" w:footer="720" w:gutter="0"/>
          <w:cols w:space="720"/>
          <w:docGrid w:linePitch="360"/>
        </w:sectPr>
      </w:pPr>
    </w:p>
    <w:p w14:paraId="1566453D" w14:textId="7BF87C71" w:rsidR="00CE2F2F" w:rsidRPr="0007074F" w:rsidRDefault="00CE2F2F" w:rsidP="00333B2E">
      <w:pPr>
        <w:rPr>
          <w:lang w:val="sr-Cyrl-CS" w:eastAsia="ja-JP"/>
        </w:rPr>
      </w:pPr>
      <w:r w:rsidRPr="0007074F">
        <w:rPr>
          <w:lang w:val="sr-Cyrl-CS" w:eastAsia="ja-JP"/>
        </w:rPr>
        <w:t xml:space="preserve">Циљеви фискалне политике су усмерени на одржање фискалне стабилности и смањење учешћа јавног дуга у БДП. Средњорочни фискални оквир предвиђа постепено смањење дефицита </w:t>
      </w:r>
      <w:r w:rsidR="00332897" w:rsidRPr="0007074F">
        <w:rPr>
          <w:lang w:val="sr-Cyrl-CS" w:eastAsia="ja-JP"/>
        </w:rPr>
        <w:t xml:space="preserve">сектора </w:t>
      </w:r>
      <w:r w:rsidRPr="0007074F">
        <w:rPr>
          <w:lang w:val="sr-Cyrl-CS" w:eastAsia="ja-JP"/>
        </w:rPr>
        <w:t>државе на ниво од 1,5%</w:t>
      </w:r>
      <w:r w:rsidRPr="0007074F">
        <w:rPr>
          <w:color w:val="1F3864" w:themeColor="accent1" w:themeShade="80"/>
          <w:lang w:val="sr-Cyrl-CS" w:eastAsia="ja-JP"/>
        </w:rPr>
        <w:t xml:space="preserve"> </w:t>
      </w:r>
      <w:r w:rsidRPr="0007074F">
        <w:rPr>
          <w:lang w:val="sr-Cyrl-CS" w:eastAsia="ja-JP"/>
        </w:rPr>
        <w:t>БДП до 2026. године и пад учешћа јавног дуга на испод 52% БДП. Пројекције фискалних агрегата у периоду од 2023. до 2026.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даљу реформу великих јавних предузећа.</w:t>
      </w:r>
    </w:p>
    <w:p w14:paraId="0F7AEE2F" w14:textId="141D5426" w:rsidR="00CE2F2F" w:rsidRPr="0007074F" w:rsidRDefault="00CE2F2F" w:rsidP="00E05893">
      <w:pPr>
        <w:spacing w:after="240"/>
        <w:rPr>
          <w:lang w:val="sr-Cyrl-CS" w:eastAsia="ja-JP"/>
        </w:rPr>
      </w:pPr>
      <w:r w:rsidRPr="0007074F">
        <w:rPr>
          <w:lang w:val="sr-Cyrl-CS" w:eastAsia="ja-JP"/>
        </w:rPr>
        <w:t xml:space="preserve">Захваљујући мерама фискалне консолидације у претходном периоду створен је фискални простор који је омогућио богате пакете мера у склопу борбе против ефеката кризе изазване пандемијом током 2020. и 2021. године. Смиривање пандемије у 2022. години довело је до стварања фискалног простора који </w:t>
      </w:r>
      <w:r w:rsidR="00BD4A38" w:rsidRPr="0007074F">
        <w:rPr>
          <w:lang w:val="sr-Cyrl-CS" w:eastAsia="ja-JP"/>
        </w:rPr>
        <w:t xml:space="preserve">је </w:t>
      </w:r>
      <w:r w:rsidRPr="0007074F">
        <w:rPr>
          <w:lang w:val="sr-Cyrl-CS" w:eastAsia="ja-JP"/>
        </w:rPr>
        <w:t xml:space="preserve">коришћен за ублажавање ефеката енергетске кризе, изазване сукобом у </w:t>
      </w:r>
      <w:r w:rsidR="006848C1" w:rsidRPr="0007074F">
        <w:rPr>
          <w:lang w:val="sr-Cyrl-CS" w:eastAsia="ja-JP"/>
        </w:rPr>
        <w:t>Украјини</w:t>
      </w:r>
      <w:r w:rsidRPr="0007074F">
        <w:rPr>
          <w:lang w:val="sr-Cyrl-CS" w:eastAsia="ja-JP"/>
        </w:rPr>
        <w:t>. Реакција фискалне политике у наредном периоду, креиране мере и њихове фискалне импликације биће дизајнирани тако да не угрозе стабилност јавних финансија и темпо смањења јавног дуга, затим да одрже животни стандард становништва и помогну привредни развој, али и да осигурају флексибилност реакције на евентуално снажнији удар кризе.</w:t>
      </w:r>
    </w:p>
    <w:p w14:paraId="7A103D50" w14:textId="77777777" w:rsidR="00CE2F2F" w:rsidRPr="0007074F" w:rsidRDefault="00CE2F2F" w:rsidP="00953528">
      <w:pPr>
        <w:rPr>
          <w:rFonts w:eastAsia="MS PGothic" w:cstheme="minorHAnsi"/>
          <w:b/>
          <w:color w:val="002060"/>
          <w:szCs w:val="20"/>
          <w:lang w:val="sr-Cyrl-CS" w:eastAsia="ja-JP"/>
        </w:rPr>
        <w:sectPr w:rsidR="00CE2F2F" w:rsidRPr="0007074F" w:rsidSect="00E05893">
          <w:type w:val="continuous"/>
          <w:pgSz w:w="12240" w:h="15840" w:code="1"/>
          <w:pgMar w:top="1440" w:right="1440" w:bottom="1440" w:left="1440" w:header="720" w:footer="720" w:gutter="0"/>
          <w:cols w:num="2" w:space="720"/>
          <w:docGrid w:linePitch="360"/>
        </w:sectPr>
      </w:pPr>
    </w:p>
    <w:p w14:paraId="5C0D27C3" w14:textId="77777777" w:rsidR="00CE2F2F" w:rsidRPr="0007074F" w:rsidRDefault="00CE2F2F" w:rsidP="00953528">
      <w:pPr>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t>Табела 8. Фискални агрегати у периоду 2022–2026. године, % БДП</w:t>
      </w:r>
    </w:p>
    <w:tbl>
      <w:tblPr>
        <w:tblStyle w:val="LightShading-Accent1221"/>
        <w:tblW w:w="5000" w:type="pct"/>
        <w:tblBorders>
          <w:top w:val="none" w:sz="0" w:space="0" w:color="auto"/>
          <w:bottom w:val="none" w:sz="0" w:space="0" w:color="auto"/>
        </w:tblBorders>
        <w:tblLook w:val="0420" w:firstRow="1" w:lastRow="0" w:firstColumn="0" w:lastColumn="0" w:noHBand="0" w:noVBand="1"/>
      </w:tblPr>
      <w:tblGrid>
        <w:gridCol w:w="3971"/>
        <w:gridCol w:w="1133"/>
        <w:gridCol w:w="1133"/>
        <w:gridCol w:w="1041"/>
        <w:gridCol w:w="1041"/>
        <w:gridCol w:w="1041"/>
      </w:tblGrid>
      <w:tr w:rsidR="00CE2F2F" w:rsidRPr="0007074F" w14:paraId="0F05373D" w14:textId="77777777" w:rsidTr="00E05893">
        <w:trPr>
          <w:cnfStyle w:val="100000000000" w:firstRow="1" w:lastRow="0" w:firstColumn="0" w:lastColumn="0" w:oddVBand="0" w:evenVBand="0" w:oddHBand="0" w:evenHBand="0" w:firstRowFirstColumn="0" w:firstRowLastColumn="0" w:lastRowFirstColumn="0" w:lastRowLastColumn="0"/>
          <w:trHeight w:val="253"/>
        </w:trPr>
        <w:tc>
          <w:tcPr>
            <w:tcW w:w="2122" w:type="pct"/>
            <w:tcBorders>
              <w:top w:val="single" w:sz="4" w:space="0" w:color="002060"/>
              <w:bottom w:val="single" w:sz="4" w:space="0" w:color="002060"/>
            </w:tcBorders>
            <w:shd w:val="clear" w:color="auto" w:fill="auto"/>
            <w:noWrap/>
            <w:vAlign w:val="center"/>
          </w:tcPr>
          <w:p w14:paraId="7FBB4DDC" w14:textId="77777777" w:rsidR="00CE2F2F" w:rsidRPr="0007074F" w:rsidRDefault="00CE2F2F" w:rsidP="00C130D2">
            <w:pPr>
              <w:spacing w:line="276" w:lineRule="auto"/>
              <w:rPr>
                <w:rFonts w:asciiTheme="minorHAnsi" w:hAnsiTheme="minorHAnsi" w:cstheme="minorHAnsi"/>
                <w:b w:val="0"/>
                <w:color w:val="002060"/>
                <w:sz w:val="18"/>
                <w:lang w:val="sr-Cyrl-CS"/>
              </w:rPr>
            </w:pPr>
            <w:r w:rsidRPr="0007074F">
              <w:rPr>
                <w:rFonts w:asciiTheme="minorHAnsi" w:hAnsiTheme="minorHAnsi" w:cstheme="minorHAnsi"/>
                <w:b w:val="0"/>
                <w:color w:val="002060"/>
                <w:sz w:val="18"/>
                <w:lang w:val="sr-Cyrl-CS"/>
              </w:rPr>
              <w:t>Опис</w:t>
            </w:r>
          </w:p>
        </w:tc>
        <w:tc>
          <w:tcPr>
            <w:tcW w:w="605" w:type="pct"/>
            <w:tcBorders>
              <w:top w:val="single" w:sz="4" w:space="0" w:color="002060"/>
              <w:bottom w:val="single" w:sz="4" w:space="0" w:color="002060"/>
            </w:tcBorders>
            <w:shd w:val="clear" w:color="auto" w:fill="auto"/>
            <w:vAlign w:val="center"/>
          </w:tcPr>
          <w:p w14:paraId="4FA6F1F3" w14:textId="77777777" w:rsidR="00CE2F2F" w:rsidRPr="0007074F" w:rsidRDefault="00CE2F2F" w:rsidP="00C130D2">
            <w:pPr>
              <w:spacing w:line="276" w:lineRule="auto"/>
              <w:jc w:val="right"/>
              <w:rPr>
                <w:rFonts w:asciiTheme="minorHAnsi" w:hAnsiTheme="minorHAnsi" w:cstheme="minorHAnsi"/>
                <w:b w:val="0"/>
                <w:color w:val="002060"/>
                <w:sz w:val="18"/>
                <w:lang w:val="sr-Cyrl-CS"/>
              </w:rPr>
            </w:pPr>
            <w:r w:rsidRPr="0007074F">
              <w:rPr>
                <w:rFonts w:asciiTheme="minorHAnsi" w:hAnsiTheme="minorHAnsi" w:cstheme="minorHAnsi"/>
                <w:b w:val="0"/>
                <w:color w:val="002060"/>
                <w:sz w:val="18"/>
                <w:lang w:val="sr-Cyrl-CS"/>
              </w:rPr>
              <w:t>Извршење</w:t>
            </w:r>
          </w:p>
        </w:tc>
        <w:tc>
          <w:tcPr>
            <w:tcW w:w="605" w:type="pct"/>
            <w:tcBorders>
              <w:top w:val="single" w:sz="4" w:space="0" w:color="002060"/>
              <w:bottom w:val="single" w:sz="4" w:space="0" w:color="002060"/>
            </w:tcBorders>
            <w:shd w:val="clear" w:color="auto" w:fill="auto"/>
            <w:vAlign w:val="center"/>
          </w:tcPr>
          <w:p w14:paraId="529CC906" w14:textId="77777777" w:rsidR="00CE2F2F" w:rsidRPr="0007074F" w:rsidRDefault="00CE2F2F" w:rsidP="00C130D2">
            <w:pPr>
              <w:spacing w:line="276" w:lineRule="auto"/>
              <w:jc w:val="right"/>
              <w:rPr>
                <w:rFonts w:asciiTheme="minorHAnsi" w:hAnsiTheme="minorHAnsi" w:cstheme="minorHAnsi"/>
                <w:b w:val="0"/>
                <w:color w:val="002060"/>
                <w:sz w:val="18"/>
                <w:lang w:val="sr-Cyrl-CS"/>
              </w:rPr>
            </w:pPr>
            <w:r w:rsidRPr="0007074F">
              <w:rPr>
                <w:rFonts w:asciiTheme="minorHAnsi" w:hAnsiTheme="minorHAnsi" w:cstheme="minorHAnsi"/>
                <w:b w:val="0"/>
                <w:color w:val="002060"/>
                <w:sz w:val="18"/>
                <w:lang w:val="sr-Cyrl-CS"/>
              </w:rPr>
              <w:t>Процена</w:t>
            </w:r>
          </w:p>
        </w:tc>
        <w:tc>
          <w:tcPr>
            <w:tcW w:w="1669" w:type="pct"/>
            <w:gridSpan w:val="3"/>
            <w:tcBorders>
              <w:top w:val="single" w:sz="4" w:space="0" w:color="002060"/>
              <w:bottom w:val="single" w:sz="4" w:space="0" w:color="002060"/>
            </w:tcBorders>
            <w:shd w:val="clear" w:color="auto" w:fill="auto"/>
            <w:vAlign w:val="center"/>
          </w:tcPr>
          <w:p w14:paraId="63D8CB89" w14:textId="77777777" w:rsidR="00CE2F2F" w:rsidRPr="0007074F" w:rsidRDefault="00CE2F2F" w:rsidP="00C130D2">
            <w:pPr>
              <w:spacing w:line="276" w:lineRule="auto"/>
              <w:jc w:val="center"/>
              <w:rPr>
                <w:rFonts w:asciiTheme="minorHAnsi" w:hAnsiTheme="minorHAnsi" w:cstheme="minorHAnsi"/>
                <w:b w:val="0"/>
                <w:color w:val="002060"/>
                <w:sz w:val="18"/>
                <w:lang w:val="sr-Cyrl-CS"/>
              </w:rPr>
            </w:pPr>
            <w:r w:rsidRPr="0007074F">
              <w:rPr>
                <w:rFonts w:asciiTheme="minorHAnsi" w:hAnsiTheme="minorHAnsi" w:cstheme="minorHAnsi"/>
                <w:b w:val="0"/>
                <w:color w:val="002060"/>
                <w:sz w:val="18"/>
                <w:lang w:val="sr-Cyrl-CS"/>
              </w:rPr>
              <w:t>Пројекција</w:t>
            </w:r>
          </w:p>
        </w:tc>
      </w:tr>
      <w:tr w:rsidR="00CE2F2F" w:rsidRPr="0007074F" w14:paraId="00E9FCFC"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tcBorders>
              <w:top w:val="single" w:sz="4" w:space="0" w:color="002060"/>
            </w:tcBorders>
            <w:shd w:val="clear" w:color="auto" w:fill="auto"/>
            <w:noWrap/>
            <w:vAlign w:val="center"/>
          </w:tcPr>
          <w:p w14:paraId="5624EB49" w14:textId="77777777" w:rsidR="00CE2F2F" w:rsidRPr="0007074F" w:rsidRDefault="00CE2F2F" w:rsidP="00C130D2">
            <w:pPr>
              <w:spacing w:line="276" w:lineRule="auto"/>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 </w:t>
            </w:r>
          </w:p>
        </w:tc>
        <w:tc>
          <w:tcPr>
            <w:tcW w:w="605" w:type="pct"/>
            <w:tcBorders>
              <w:top w:val="single" w:sz="4" w:space="0" w:color="002060"/>
              <w:bottom w:val="single" w:sz="4" w:space="0" w:color="002060"/>
            </w:tcBorders>
            <w:shd w:val="clear" w:color="auto" w:fill="auto"/>
            <w:vAlign w:val="center"/>
          </w:tcPr>
          <w:p w14:paraId="61633E56"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2022</w:t>
            </w:r>
          </w:p>
        </w:tc>
        <w:tc>
          <w:tcPr>
            <w:tcW w:w="605" w:type="pct"/>
            <w:tcBorders>
              <w:top w:val="single" w:sz="4" w:space="0" w:color="002060"/>
              <w:bottom w:val="single" w:sz="4" w:space="0" w:color="002060"/>
            </w:tcBorders>
            <w:shd w:val="clear" w:color="auto" w:fill="auto"/>
            <w:vAlign w:val="center"/>
          </w:tcPr>
          <w:p w14:paraId="375B5BE2"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2023</w:t>
            </w:r>
          </w:p>
        </w:tc>
        <w:tc>
          <w:tcPr>
            <w:tcW w:w="556" w:type="pct"/>
            <w:tcBorders>
              <w:top w:val="single" w:sz="4" w:space="0" w:color="002060"/>
              <w:bottom w:val="single" w:sz="4" w:space="0" w:color="002060"/>
            </w:tcBorders>
            <w:shd w:val="clear" w:color="auto" w:fill="auto"/>
            <w:vAlign w:val="center"/>
          </w:tcPr>
          <w:p w14:paraId="46E0C37E"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2024</w:t>
            </w:r>
          </w:p>
        </w:tc>
        <w:tc>
          <w:tcPr>
            <w:tcW w:w="556" w:type="pct"/>
            <w:tcBorders>
              <w:top w:val="single" w:sz="4" w:space="0" w:color="002060"/>
              <w:bottom w:val="single" w:sz="4" w:space="0" w:color="002060"/>
            </w:tcBorders>
            <w:shd w:val="clear" w:color="auto" w:fill="auto"/>
            <w:vAlign w:val="center"/>
          </w:tcPr>
          <w:p w14:paraId="37B8A32C"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2025</w:t>
            </w:r>
          </w:p>
        </w:tc>
        <w:tc>
          <w:tcPr>
            <w:tcW w:w="556" w:type="pct"/>
            <w:tcBorders>
              <w:top w:val="single" w:sz="4" w:space="0" w:color="002060"/>
              <w:bottom w:val="single" w:sz="4" w:space="0" w:color="002060"/>
            </w:tcBorders>
            <w:shd w:val="clear" w:color="auto" w:fill="auto"/>
            <w:vAlign w:val="center"/>
          </w:tcPr>
          <w:p w14:paraId="4158A620" w14:textId="77777777" w:rsidR="00CE2F2F" w:rsidRPr="0007074F" w:rsidRDefault="00CE2F2F" w:rsidP="005D42AC">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2026</w:t>
            </w:r>
          </w:p>
        </w:tc>
      </w:tr>
      <w:tr w:rsidR="00CE2F2F" w:rsidRPr="0007074F" w14:paraId="685FBC24" w14:textId="77777777" w:rsidTr="00E05893">
        <w:trPr>
          <w:trHeight w:val="253"/>
        </w:trPr>
        <w:tc>
          <w:tcPr>
            <w:tcW w:w="2122" w:type="pct"/>
            <w:shd w:val="clear" w:color="auto" w:fill="auto"/>
            <w:vAlign w:val="center"/>
          </w:tcPr>
          <w:p w14:paraId="2B9AFD7B" w14:textId="77777777" w:rsidR="00CE2F2F" w:rsidRPr="0007074F" w:rsidRDefault="00CE2F2F" w:rsidP="00C130D2">
            <w:pPr>
              <w:spacing w:line="276" w:lineRule="auto"/>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Јавни приходи</w:t>
            </w:r>
          </w:p>
        </w:tc>
        <w:tc>
          <w:tcPr>
            <w:tcW w:w="605" w:type="pct"/>
            <w:tcBorders>
              <w:top w:val="single" w:sz="4" w:space="0" w:color="002060"/>
            </w:tcBorders>
            <w:shd w:val="clear" w:color="auto" w:fill="auto"/>
            <w:vAlign w:val="center"/>
          </w:tcPr>
          <w:p w14:paraId="73FB186C" w14:textId="77777777" w:rsidR="00CE2F2F" w:rsidRPr="0007074F" w:rsidRDefault="00CE2F2F" w:rsidP="00E05893">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43,8</w:t>
            </w:r>
          </w:p>
        </w:tc>
        <w:tc>
          <w:tcPr>
            <w:tcW w:w="605" w:type="pct"/>
            <w:tcBorders>
              <w:top w:val="single" w:sz="4" w:space="0" w:color="002060"/>
            </w:tcBorders>
            <w:shd w:val="clear" w:color="auto" w:fill="auto"/>
            <w:vAlign w:val="center"/>
          </w:tcPr>
          <w:p w14:paraId="02E4CA2E"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41,8</w:t>
            </w:r>
          </w:p>
        </w:tc>
        <w:tc>
          <w:tcPr>
            <w:tcW w:w="556" w:type="pct"/>
            <w:tcBorders>
              <w:top w:val="single" w:sz="4" w:space="0" w:color="002060"/>
            </w:tcBorders>
            <w:shd w:val="clear" w:color="auto" w:fill="auto"/>
            <w:vAlign w:val="center"/>
          </w:tcPr>
          <w:p w14:paraId="1E2D07FA"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41,5</w:t>
            </w:r>
          </w:p>
        </w:tc>
        <w:tc>
          <w:tcPr>
            <w:tcW w:w="556" w:type="pct"/>
            <w:tcBorders>
              <w:top w:val="single" w:sz="4" w:space="0" w:color="002060"/>
            </w:tcBorders>
            <w:shd w:val="clear" w:color="auto" w:fill="auto"/>
            <w:vAlign w:val="center"/>
          </w:tcPr>
          <w:p w14:paraId="4097BD51"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41,5</w:t>
            </w:r>
          </w:p>
        </w:tc>
        <w:tc>
          <w:tcPr>
            <w:tcW w:w="556" w:type="pct"/>
            <w:tcBorders>
              <w:top w:val="single" w:sz="4" w:space="0" w:color="002060"/>
            </w:tcBorders>
            <w:shd w:val="clear" w:color="auto" w:fill="auto"/>
            <w:vAlign w:val="center"/>
          </w:tcPr>
          <w:p w14:paraId="18469F73"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41,4</w:t>
            </w:r>
          </w:p>
        </w:tc>
      </w:tr>
      <w:tr w:rsidR="00CE2F2F" w:rsidRPr="0007074F" w14:paraId="2F610597"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3BC1A837" w14:textId="77777777" w:rsidR="00CE2F2F" w:rsidRPr="0007074F" w:rsidRDefault="00CE2F2F" w:rsidP="00C130D2">
            <w:pPr>
              <w:spacing w:line="276" w:lineRule="auto"/>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Јавни расходи</w:t>
            </w:r>
          </w:p>
        </w:tc>
        <w:tc>
          <w:tcPr>
            <w:tcW w:w="605" w:type="pct"/>
            <w:shd w:val="clear" w:color="auto" w:fill="auto"/>
            <w:vAlign w:val="center"/>
          </w:tcPr>
          <w:p w14:paraId="0F5F187B"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46,9</w:t>
            </w:r>
          </w:p>
        </w:tc>
        <w:tc>
          <w:tcPr>
            <w:tcW w:w="605" w:type="pct"/>
            <w:shd w:val="clear" w:color="auto" w:fill="auto"/>
            <w:vAlign w:val="center"/>
          </w:tcPr>
          <w:p w14:paraId="4E3AD9A2"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44,9</w:t>
            </w:r>
          </w:p>
        </w:tc>
        <w:tc>
          <w:tcPr>
            <w:tcW w:w="556" w:type="pct"/>
            <w:shd w:val="clear" w:color="auto" w:fill="auto"/>
            <w:vAlign w:val="center"/>
          </w:tcPr>
          <w:p w14:paraId="42BC0979" w14:textId="77777777" w:rsidR="00CE2F2F" w:rsidRPr="0007074F" w:rsidRDefault="00CE2F2F" w:rsidP="005D42AC">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43,8</w:t>
            </w:r>
          </w:p>
        </w:tc>
        <w:tc>
          <w:tcPr>
            <w:tcW w:w="556" w:type="pct"/>
            <w:shd w:val="clear" w:color="auto" w:fill="auto"/>
            <w:vAlign w:val="center"/>
          </w:tcPr>
          <w:p w14:paraId="42C436D5"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43,0</w:t>
            </w:r>
          </w:p>
        </w:tc>
        <w:tc>
          <w:tcPr>
            <w:tcW w:w="556" w:type="pct"/>
            <w:shd w:val="clear" w:color="auto" w:fill="auto"/>
            <w:vAlign w:val="center"/>
          </w:tcPr>
          <w:p w14:paraId="7C7854FA"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42,9</w:t>
            </w:r>
          </w:p>
        </w:tc>
      </w:tr>
      <w:tr w:rsidR="00CE2F2F" w:rsidRPr="0007074F" w14:paraId="7B00BCFF" w14:textId="77777777" w:rsidTr="00E05893">
        <w:trPr>
          <w:trHeight w:val="253"/>
        </w:trPr>
        <w:tc>
          <w:tcPr>
            <w:tcW w:w="2122" w:type="pct"/>
            <w:shd w:val="clear" w:color="auto" w:fill="auto"/>
            <w:vAlign w:val="center"/>
          </w:tcPr>
          <w:p w14:paraId="3820349E" w14:textId="77777777" w:rsidR="00CE2F2F" w:rsidRPr="0007074F" w:rsidRDefault="00CE2F2F" w:rsidP="00C130D2">
            <w:pPr>
              <w:spacing w:line="276" w:lineRule="auto"/>
              <w:rPr>
                <w:rFonts w:asciiTheme="minorHAnsi" w:hAnsiTheme="minorHAnsi" w:cstheme="minorHAnsi"/>
                <w:color w:val="002060"/>
                <w:sz w:val="18"/>
                <w:szCs w:val="18"/>
                <w:lang w:val="sr-Cyrl-CS"/>
              </w:rPr>
            </w:pPr>
          </w:p>
        </w:tc>
        <w:tc>
          <w:tcPr>
            <w:tcW w:w="605" w:type="pct"/>
            <w:shd w:val="clear" w:color="auto" w:fill="auto"/>
            <w:vAlign w:val="center"/>
          </w:tcPr>
          <w:p w14:paraId="468F652B"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p>
        </w:tc>
        <w:tc>
          <w:tcPr>
            <w:tcW w:w="605" w:type="pct"/>
            <w:shd w:val="clear" w:color="auto" w:fill="auto"/>
            <w:vAlign w:val="center"/>
          </w:tcPr>
          <w:p w14:paraId="0628FF50" w14:textId="77777777" w:rsidR="00CE2F2F" w:rsidRPr="0007074F" w:rsidRDefault="00CE2F2F" w:rsidP="00C130D2">
            <w:pPr>
              <w:spacing w:line="276" w:lineRule="auto"/>
              <w:jc w:val="right"/>
              <w:rPr>
                <w:rFonts w:asciiTheme="minorHAnsi" w:hAnsiTheme="minorHAnsi" w:cstheme="minorHAnsi"/>
                <w:sz w:val="18"/>
                <w:szCs w:val="18"/>
                <w:lang w:val="sr-Cyrl-CS"/>
              </w:rPr>
            </w:pPr>
          </w:p>
        </w:tc>
        <w:tc>
          <w:tcPr>
            <w:tcW w:w="556" w:type="pct"/>
            <w:shd w:val="clear" w:color="auto" w:fill="auto"/>
            <w:vAlign w:val="center"/>
          </w:tcPr>
          <w:p w14:paraId="6DD7479F" w14:textId="77777777" w:rsidR="00CE2F2F" w:rsidRPr="0007074F" w:rsidRDefault="00CE2F2F" w:rsidP="00C130D2">
            <w:pPr>
              <w:spacing w:line="276" w:lineRule="auto"/>
              <w:jc w:val="right"/>
              <w:rPr>
                <w:rFonts w:asciiTheme="minorHAnsi" w:hAnsiTheme="minorHAnsi" w:cstheme="minorHAnsi"/>
                <w:sz w:val="18"/>
                <w:szCs w:val="18"/>
                <w:lang w:val="sr-Cyrl-CS"/>
              </w:rPr>
            </w:pPr>
          </w:p>
        </w:tc>
        <w:tc>
          <w:tcPr>
            <w:tcW w:w="556" w:type="pct"/>
            <w:shd w:val="clear" w:color="auto" w:fill="auto"/>
            <w:vAlign w:val="center"/>
          </w:tcPr>
          <w:p w14:paraId="76E39B5D" w14:textId="77777777" w:rsidR="00CE2F2F" w:rsidRPr="0007074F" w:rsidRDefault="00CE2F2F" w:rsidP="00C130D2">
            <w:pPr>
              <w:spacing w:line="276" w:lineRule="auto"/>
              <w:jc w:val="right"/>
              <w:rPr>
                <w:rFonts w:asciiTheme="minorHAnsi" w:hAnsiTheme="minorHAnsi" w:cstheme="minorHAnsi"/>
                <w:sz w:val="18"/>
                <w:szCs w:val="18"/>
                <w:lang w:val="sr-Cyrl-CS"/>
              </w:rPr>
            </w:pPr>
          </w:p>
        </w:tc>
        <w:tc>
          <w:tcPr>
            <w:tcW w:w="556" w:type="pct"/>
            <w:shd w:val="clear" w:color="auto" w:fill="auto"/>
            <w:vAlign w:val="center"/>
          </w:tcPr>
          <w:p w14:paraId="14CC41B0" w14:textId="77777777" w:rsidR="00CE2F2F" w:rsidRPr="0007074F" w:rsidRDefault="00CE2F2F" w:rsidP="00C130D2">
            <w:pPr>
              <w:spacing w:line="276" w:lineRule="auto"/>
              <w:jc w:val="right"/>
              <w:rPr>
                <w:rFonts w:asciiTheme="minorHAnsi" w:hAnsiTheme="minorHAnsi" w:cstheme="minorHAnsi"/>
                <w:sz w:val="18"/>
                <w:szCs w:val="18"/>
                <w:lang w:val="sr-Cyrl-CS"/>
              </w:rPr>
            </w:pPr>
          </w:p>
        </w:tc>
      </w:tr>
      <w:tr w:rsidR="00CE2F2F" w:rsidRPr="0007074F" w14:paraId="301DFD67"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665F8E73" w14:textId="77777777" w:rsidR="00CE2F2F" w:rsidRPr="0007074F" w:rsidRDefault="00CE2F2F" w:rsidP="00C130D2">
            <w:pPr>
              <w:spacing w:line="276" w:lineRule="auto"/>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Консолидовани фискални резултат</w:t>
            </w:r>
          </w:p>
        </w:tc>
        <w:tc>
          <w:tcPr>
            <w:tcW w:w="605" w:type="pct"/>
            <w:shd w:val="clear" w:color="auto" w:fill="auto"/>
            <w:vAlign w:val="center"/>
          </w:tcPr>
          <w:p w14:paraId="7AE8CFE1" w14:textId="77777777" w:rsidR="00CE2F2F" w:rsidRPr="0007074F" w:rsidRDefault="00CE2F2F" w:rsidP="00953528">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-3,2</w:t>
            </w:r>
          </w:p>
        </w:tc>
        <w:tc>
          <w:tcPr>
            <w:tcW w:w="605" w:type="pct"/>
            <w:shd w:val="clear" w:color="auto" w:fill="auto"/>
            <w:vAlign w:val="center"/>
          </w:tcPr>
          <w:p w14:paraId="507BDF7A" w14:textId="77777777" w:rsidR="00CE2F2F" w:rsidRPr="0007074F" w:rsidRDefault="00CE2F2F" w:rsidP="00953528">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-3,0</w:t>
            </w:r>
          </w:p>
        </w:tc>
        <w:tc>
          <w:tcPr>
            <w:tcW w:w="556" w:type="pct"/>
            <w:shd w:val="clear" w:color="auto" w:fill="auto"/>
            <w:vAlign w:val="center"/>
          </w:tcPr>
          <w:p w14:paraId="3B392529" w14:textId="77777777" w:rsidR="00CE2F2F" w:rsidRPr="0007074F" w:rsidRDefault="00CE2F2F" w:rsidP="00953528">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-2,2</w:t>
            </w:r>
          </w:p>
        </w:tc>
        <w:tc>
          <w:tcPr>
            <w:tcW w:w="556" w:type="pct"/>
            <w:shd w:val="clear" w:color="auto" w:fill="auto"/>
            <w:vAlign w:val="center"/>
          </w:tcPr>
          <w:p w14:paraId="1A536792" w14:textId="77777777" w:rsidR="00CE2F2F" w:rsidRPr="0007074F" w:rsidRDefault="00CE2F2F" w:rsidP="00953528">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-1,5</w:t>
            </w:r>
          </w:p>
        </w:tc>
        <w:tc>
          <w:tcPr>
            <w:tcW w:w="556" w:type="pct"/>
            <w:shd w:val="clear" w:color="auto" w:fill="auto"/>
            <w:vAlign w:val="center"/>
          </w:tcPr>
          <w:p w14:paraId="0CB8FF12" w14:textId="77777777" w:rsidR="00CE2F2F" w:rsidRPr="0007074F" w:rsidRDefault="00CE2F2F" w:rsidP="00E05893">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-1,5</w:t>
            </w:r>
          </w:p>
        </w:tc>
      </w:tr>
      <w:tr w:rsidR="00CE2F2F" w:rsidRPr="0007074F" w14:paraId="44B45386" w14:textId="77777777" w:rsidTr="00E05893">
        <w:trPr>
          <w:trHeight w:val="253"/>
        </w:trPr>
        <w:tc>
          <w:tcPr>
            <w:tcW w:w="2122" w:type="pct"/>
            <w:shd w:val="clear" w:color="auto" w:fill="auto"/>
            <w:vAlign w:val="center"/>
          </w:tcPr>
          <w:p w14:paraId="098F242D" w14:textId="77777777" w:rsidR="00CE2F2F" w:rsidRPr="0007074F" w:rsidRDefault="00CE2F2F" w:rsidP="00C130D2">
            <w:pPr>
              <w:spacing w:line="276" w:lineRule="auto"/>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Примарни консолидовани резултат</w:t>
            </w:r>
          </w:p>
        </w:tc>
        <w:tc>
          <w:tcPr>
            <w:tcW w:w="605" w:type="pct"/>
            <w:shd w:val="clear" w:color="auto" w:fill="auto"/>
            <w:vAlign w:val="center"/>
          </w:tcPr>
          <w:p w14:paraId="536B77F6" w14:textId="77777777" w:rsidR="00CE2F2F" w:rsidRPr="0007074F" w:rsidRDefault="00CE2F2F" w:rsidP="00E05893">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-1,7</w:t>
            </w:r>
          </w:p>
        </w:tc>
        <w:tc>
          <w:tcPr>
            <w:tcW w:w="605" w:type="pct"/>
            <w:shd w:val="clear" w:color="auto" w:fill="auto"/>
            <w:vAlign w:val="center"/>
          </w:tcPr>
          <w:p w14:paraId="5CE5F93F" w14:textId="77777777" w:rsidR="00CE2F2F" w:rsidRPr="0007074F" w:rsidRDefault="00CE2F2F" w:rsidP="00953528">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-1,2</w:t>
            </w:r>
          </w:p>
        </w:tc>
        <w:tc>
          <w:tcPr>
            <w:tcW w:w="556" w:type="pct"/>
            <w:shd w:val="clear" w:color="auto" w:fill="auto"/>
            <w:vAlign w:val="center"/>
          </w:tcPr>
          <w:p w14:paraId="7D97E0C4" w14:textId="77777777" w:rsidR="00CE2F2F" w:rsidRPr="0007074F" w:rsidRDefault="00CE2F2F" w:rsidP="00E05893">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-0,1</w:t>
            </w:r>
          </w:p>
        </w:tc>
        <w:tc>
          <w:tcPr>
            <w:tcW w:w="556" w:type="pct"/>
            <w:shd w:val="clear" w:color="auto" w:fill="auto"/>
            <w:vAlign w:val="center"/>
          </w:tcPr>
          <w:p w14:paraId="4696BB36"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0,7</w:t>
            </w:r>
          </w:p>
        </w:tc>
        <w:tc>
          <w:tcPr>
            <w:tcW w:w="556" w:type="pct"/>
            <w:shd w:val="clear" w:color="auto" w:fill="auto"/>
            <w:vAlign w:val="center"/>
          </w:tcPr>
          <w:p w14:paraId="1F98D1C6" w14:textId="77777777" w:rsidR="00CE2F2F" w:rsidRPr="0007074F" w:rsidRDefault="00CE2F2F" w:rsidP="00C130D2">
            <w:pPr>
              <w:spacing w:line="276" w:lineRule="auto"/>
              <w:jc w:val="right"/>
              <w:rPr>
                <w:rFonts w:asciiTheme="minorHAnsi" w:hAnsiTheme="minorHAnsi" w:cstheme="minorHAnsi"/>
                <w:color w:val="1F3864" w:themeColor="accent1" w:themeShade="80"/>
                <w:sz w:val="18"/>
                <w:szCs w:val="18"/>
                <w:lang w:val="sr-Cyrl-CS"/>
              </w:rPr>
            </w:pPr>
            <w:r w:rsidRPr="0007074F">
              <w:rPr>
                <w:rFonts w:asciiTheme="minorHAnsi" w:hAnsiTheme="minorHAnsi" w:cstheme="minorHAnsi"/>
                <w:color w:val="1F3864" w:themeColor="accent1" w:themeShade="80"/>
                <w:sz w:val="18"/>
                <w:szCs w:val="18"/>
                <w:lang w:val="sr-Cyrl-CS"/>
              </w:rPr>
              <w:t>0,9</w:t>
            </w:r>
          </w:p>
        </w:tc>
      </w:tr>
      <w:tr w:rsidR="00CE2F2F" w:rsidRPr="0007074F" w14:paraId="571FB5A1"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54F5172B" w14:textId="77777777" w:rsidR="00CE2F2F" w:rsidRPr="0007074F" w:rsidRDefault="00CE2F2F" w:rsidP="00C130D2">
            <w:pPr>
              <w:spacing w:line="276" w:lineRule="auto"/>
              <w:rPr>
                <w:rFonts w:asciiTheme="minorHAnsi" w:hAnsiTheme="minorHAnsi" w:cstheme="minorHAnsi"/>
                <w:color w:val="002060"/>
                <w:sz w:val="18"/>
                <w:szCs w:val="18"/>
                <w:lang w:val="sr-Cyrl-CS"/>
              </w:rPr>
            </w:pPr>
          </w:p>
        </w:tc>
        <w:tc>
          <w:tcPr>
            <w:tcW w:w="605" w:type="pct"/>
            <w:shd w:val="clear" w:color="auto" w:fill="auto"/>
            <w:vAlign w:val="center"/>
          </w:tcPr>
          <w:p w14:paraId="59869E24"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p>
        </w:tc>
        <w:tc>
          <w:tcPr>
            <w:tcW w:w="605" w:type="pct"/>
            <w:shd w:val="clear" w:color="auto" w:fill="auto"/>
            <w:vAlign w:val="center"/>
          </w:tcPr>
          <w:p w14:paraId="1C6DBCE6"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p>
        </w:tc>
        <w:tc>
          <w:tcPr>
            <w:tcW w:w="556" w:type="pct"/>
            <w:shd w:val="clear" w:color="auto" w:fill="auto"/>
            <w:vAlign w:val="center"/>
          </w:tcPr>
          <w:p w14:paraId="38F473A9"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p>
        </w:tc>
        <w:tc>
          <w:tcPr>
            <w:tcW w:w="556" w:type="pct"/>
            <w:shd w:val="clear" w:color="auto" w:fill="auto"/>
            <w:vAlign w:val="center"/>
          </w:tcPr>
          <w:p w14:paraId="1505E567"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p>
        </w:tc>
        <w:tc>
          <w:tcPr>
            <w:tcW w:w="556" w:type="pct"/>
            <w:shd w:val="clear" w:color="auto" w:fill="auto"/>
            <w:vAlign w:val="center"/>
          </w:tcPr>
          <w:p w14:paraId="1E3E4D14"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p>
        </w:tc>
      </w:tr>
      <w:tr w:rsidR="00CE2F2F" w:rsidRPr="0007074F" w14:paraId="4D3EE736" w14:textId="77777777" w:rsidTr="00E05893">
        <w:trPr>
          <w:trHeight w:val="253"/>
        </w:trPr>
        <w:tc>
          <w:tcPr>
            <w:tcW w:w="2122" w:type="pct"/>
            <w:shd w:val="clear" w:color="auto" w:fill="auto"/>
            <w:vAlign w:val="center"/>
          </w:tcPr>
          <w:p w14:paraId="7687D89F" w14:textId="57EF48D9" w:rsidR="00CE2F2F" w:rsidRPr="0007074F" w:rsidRDefault="00CE2F2F">
            <w:pPr>
              <w:spacing w:line="276" w:lineRule="auto"/>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 xml:space="preserve">Дуг </w:t>
            </w:r>
            <w:r w:rsidR="00332897" w:rsidRPr="0007074F">
              <w:rPr>
                <w:rFonts w:asciiTheme="minorHAnsi" w:hAnsiTheme="minorHAnsi" w:cstheme="minorHAnsi"/>
                <w:color w:val="002060"/>
                <w:sz w:val="18"/>
                <w:szCs w:val="18"/>
                <w:lang w:val="sr-Cyrl-CS"/>
              </w:rPr>
              <w:t xml:space="preserve">сектора </w:t>
            </w:r>
            <w:r w:rsidRPr="0007074F">
              <w:rPr>
                <w:rFonts w:asciiTheme="minorHAnsi" w:hAnsiTheme="minorHAnsi" w:cstheme="minorHAnsi"/>
                <w:color w:val="002060"/>
                <w:sz w:val="18"/>
                <w:szCs w:val="18"/>
                <w:lang w:val="sr-Cyrl-CS"/>
              </w:rPr>
              <w:t>државе</w:t>
            </w:r>
          </w:p>
        </w:tc>
        <w:tc>
          <w:tcPr>
            <w:tcW w:w="605" w:type="pct"/>
            <w:shd w:val="clear" w:color="auto" w:fill="auto"/>
            <w:vAlign w:val="center"/>
          </w:tcPr>
          <w:p w14:paraId="548E449F"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55,6</w:t>
            </w:r>
          </w:p>
        </w:tc>
        <w:tc>
          <w:tcPr>
            <w:tcW w:w="605" w:type="pct"/>
            <w:shd w:val="clear" w:color="auto" w:fill="auto"/>
            <w:vAlign w:val="center"/>
          </w:tcPr>
          <w:p w14:paraId="70EB6126"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54,3</w:t>
            </w:r>
          </w:p>
        </w:tc>
        <w:tc>
          <w:tcPr>
            <w:tcW w:w="556" w:type="pct"/>
            <w:shd w:val="clear" w:color="auto" w:fill="auto"/>
            <w:vAlign w:val="center"/>
          </w:tcPr>
          <w:p w14:paraId="10FAE365" w14:textId="77777777" w:rsidR="00CE2F2F" w:rsidRPr="0007074F" w:rsidRDefault="00CE2F2F" w:rsidP="005D42AC">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54,0</w:t>
            </w:r>
          </w:p>
        </w:tc>
        <w:tc>
          <w:tcPr>
            <w:tcW w:w="556" w:type="pct"/>
            <w:shd w:val="clear" w:color="auto" w:fill="auto"/>
            <w:vAlign w:val="center"/>
          </w:tcPr>
          <w:p w14:paraId="03F26573"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53,0</w:t>
            </w:r>
          </w:p>
        </w:tc>
        <w:tc>
          <w:tcPr>
            <w:tcW w:w="556" w:type="pct"/>
            <w:shd w:val="clear" w:color="auto" w:fill="auto"/>
            <w:vAlign w:val="center"/>
          </w:tcPr>
          <w:p w14:paraId="052A9265" w14:textId="77777777" w:rsidR="00CE2F2F" w:rsidRPr="0007074F" w:rsidRDefault="00CE2F2F" w:rsidP="00953528">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51,9</w:t>
            </w:r>
          </w:p>
        </w:tc>
      </w:tr>
      <w:tr w:rsidR="00CE2F2F" w:rsidRPr="0007074F" w14:paraId="09B5FDFA"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122" w:type="pct"/>
            <w:tcBorders>
              <w:bottom w:val="single" w:sz="4" w:space="0" w:color="002060"/>
            </w:tcBorders>
            <w:shd w:val="clear" w:color="auto" w:fill="auto"/>
            <w:vAlign w:val="center"/>
          </w:tcPr>
          <w:p w14:paraId="0138D724" w14:textId="77777777" w:rsidR="00CE2F2F" w:rsidRPr="0007074F" w:rsidRDefault="00CE2F2F" w:rsidP="00C130D2">
            <w:pPr>
              <w:spacing w:line="276" w:lineRule="auto"/>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Реална стопа раста БДП</w:t>
            </w:r>
          </w:p>
        </w:tc>
        <w:tc>
          <w:tcPr>
            <w:tcW w:w="605" w:type="pct"/>
            <w:tcBorders>
              <w:bottom w:val="single" w:sz="4" w:space="0" w:color="002060"/>
            </w:tcBorders>
            <w:shd w:val="clear" w:color="auto" w:fill="auto"/>
            <w:vAlign w:val="center"/>
          </w:tcPr>
          <w:p w14:paraId="7CA22F5B" w14:textId="77777777" w:rsidR="00CE2F2F" w:rsidRPr="0007074F" w:rsidRDefault="00CE2F2F" w:rsidP="00953528">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2,3%</w:t>
            </w:r>
          </w:p>
        </w:tc>
        <w:tc>
          <w:tcPr>
            <w:tcW w:w="605" w:type="pct"/>
            <w:tcBorders>
              <w:bottom w:val="single" w:sz="4" w:space="0" w:color="002060"/>
            </w:tcBorders>
            <w:shd w:val="clear" w:color="auto" w:fill="auto"/>
            <w:vAlign w:val="center"/>
          </w:tcPr>
          <w:p w14:paraId="74FFA780" w14:textId="77777777" w:rsidR="00CE2F2F" w:rsidRPr="0007074F" w:rsidRDefault="00CE2F2F" w:rsidP="005D42AC">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2,5%</w:t>
            </w:r>
          </w:p>
        </w:tc>
        <w:tc>
          <w:tcPr>
            <w:tcW w:w="556" w:type="pct"/>
            <w:tcBorders>
              <w:bottom w:val="single" w:sz="4" w:space="0" w:color="002060"/>
            </w:tcBorders>
            <w:shd w:val="clear" w:color="auto" w:fill="auto"/>
            <w:vAlign w:val="center"/>
          </w:tcPr>
          <w:p w14:paraId="0EC9BF08"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3,5%</w:t>
            </w:r>
          </w:p>
        </w:tc>
        <w:tc>
          <w:tcPr>
            <w:tcW w:w="556" w:type="pct"/>
            <w:tcBorders>
              <w:bottom w:val="single" w:sz="4" w:space="0" w:color="002060"/>
            </w:tcBorders>
            <w:shd w:val="clear" w:color="auto" w:fill="auto"/>
            <w:vAlign w:val="center"/>
          </w:tcPr>
          <w:p w14:paraId="6CB24E2D"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4,0%</w:t>
            </w:r>
          </w:p>
        </w:tc>
        <w:tc>
          <w:tcPr>
            <w:tcW w:w="556" w:type="pct"/>
            <w:tcBorders>
              <w:bottom w:val="single" w:sz="4" w:space="0" w:color="002060"/>
            </w:tcBorders>
            <w:shd w:val="clear" w:color="auto" w:fill="auto"/>
            <w:vAlign w:val="center"/>
          </w:tcPr>
          <w:p w14:paraId="0F6DFE00" w14:textId="77777777" w:rsidR="00CE2F2F" w:rsidRPr="0007074F" w:rsidRDefault="00CE2F2F" w:rsidP="00C130D2">
            <w:pPr>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w:t>
            </w:r>
          </w:p>
        </w:tc>
      </w:tr>
    </w:tbl>
    <w:p w14:paraId="25DD073C" w14:textId="77777777" w:rsidR="00CE2F2F" w:rsidRPr="0007074F" w:rsidRDefault="00CE2F2F" w:rsidP="00E05893">
      <w:pPr>
        <w:spacing w:before="40" w:after="240" w:line="276" w:lineRule="auto"/>
        <w:rPr>
          <w:rFonts w:cstheme="minorHAnsi"/>
          <w:sz w:val="16"/>
          <w:szCs w:val="20"/>
          <w:lang w:val="sr-Cyrl-CS"/>
        </w:rPr>
      </w:pPr>
      <w:r w:rsidRPr="0007074F">
        <w:rPr>
          <w:rFonts w:eastAsia="Calibri" w:cstheme="minorHAnsi"/>
          <w:bCs/>
          <w:sz w:val="16"/>
          <w:szCs w:val="20"/>
          <w:lang w:val="sr-Cyrl-CS" w:eastAsia="ja-JP"/>
        </w:rPr>
        <w:t xml:space="preserve">Извор: </w:t>
      </w:r>
      <w:r w:rsidRPr="0007074F">
        <w:rPr>
          <w:rFonts w:cstheme="minorHAnsi"/>
          <w:sz w:val="16"/>
          <w:szCs w:val="20"/>
          <w:lang w:val="sr-Cyrl-CS"/>
        </w:rPr>
        <w:t>Министарство финансија</w:t>
      </w:r>
    </w:p>
    <w:p w14:paraId="2B6B511B" w14:textId="77777777" w:rsidR="00CE2F2F" w:rsidRPr="0007074F" w:rsidRDefault="00CE2F2F" w:rsidP="00E05893">
      <w:pPr>
        <w:spacing w:before="40" w:after="240" w:line="276" w:lineRule="auto"/>
        <w:rPr>
          <w:rFonts w:eastAsia="MS PGothic" w:cstheme="minorHAnsi"/>
          <w:szCs w:val="20"/>
          <w:lang w:val="sr-Cyrl-CS" w:eastAsia="ja-JP"/>
        </w:rPr>
        <w:sectPr w:rsidR="00CE2F2F" w:rsidRPr="0007074F" w:rsidSect="00E05893">
          <w:type w:val="continuous"/>
          <w:pgSz w:w="12240" w:h="15840" w:code="1"/>
          <w:pgMar w:top="1440" w:right="1440" w:bottom="1440" w:left="1440" w:header="720" w:footer="720" w:gutter="0"/>
          <w:cols w:space="720"/>
          <w:docGrid w:linePitch="360"/>
        </w:sectPr>
      </w:pPr>
    </w:p>
    <w:p w14:paraId="4F133726" w14:textId="77777777" w:rsidR="00CE2F2F" w:rsidRPr="0007074F" w:rsidRDefault="00CE2F2F" w:rsidP="00953528">
      <w:pPr>
        <w:spacing w:before="40" w:after="120" w:line="276" w:lineRule="auto"/>
        <w:rPr>
          <w:rFonts w:cstheme="minorHAnsi"/>
          <w:lang w:val="sr-Cyrl-CS"/>
        </w:rPr>
      </w:pPr>
      <w:r w:rsidRPr="0007074F">
        <w:rPr>
          <w:rFonts w:eastAsia="MS PGothic" w:cstheme="minorHAnsi"/>
          <w:szCs w:val="20"/>
          <w:lang w:val="sr-Cyrl-CS" w:eastAsia="ja-JP"/>
        </w:rPr>
        <w:t>Циљеви фискалне политике у наредном средњорочном периоду биће обезбеђење стабилне позиције јавних финансија и опадајућа путања јавног дуга. Смањење</w:t>
      </w:r>
      <w:r w:rsidRPr="0007074F">
        <w:rPr>
          <w:rFonts w:cstheme="minorHAnsi"/>
          <w:lang w:val="sr-Cyrl-CS"/>
        </w:rPr>
        <w:t xml:space="preserve"> учешћа дуга је уско везано за снижавање дефицита као главног фактора задуживања, тако да динамика спуштања дефицита опредељује и промену кретања дуга. Растући трошкови задуживања на међународном финансијском тржишту такође захтевају опрез и рестриктивност фискалне политике.</w:t>
      </w:r>
    </w:p>
    <w:p w14:paraId="2F378B71" w14:textId="22F5FA9B" w:rsidR="00CE2F2F" w:rsidRPr="0007074F" w:rsidRDefault="00CE2F2F" w:rsidP="001D5B47">
      <w:pPr>
        <w:jc w:val="center"/>
        <w:rPr>
          <w:rFonts w:cstheme="minorHAnsi"/>
          <w:b/>
          <w:color w:val="002060"/>
          <w:lang w:val="sr-Cyrl-CS"/>
        </w:rPr>
      </w:pPr>
      <w:r w:rsidRPr="0007074F">
        <w:rPr>
          <w:rFonts w:cstheme="minorHAnsi"/>
          <w:b/>
          <w:color w:val="002060"/>
          <w:lang w:val="sr-Cyrl-CS"/>
        </w:rPr>
        <w:br w:type="column"/>
      </w:r>
      <w:r w:rsidRPr="0007074F">
        <w:rPr>
          <w:rFonts w:cstheme="minorHAnsi"/>
          <w:b/>
          <w:color w:val="002060"/>
          <w:lang w:val="sr-Cyrl-CS"/>
        </w:rPr>
        <w:t xml:space="preserve">Фискални резултат и дуг </w:t>
      </w:r>
      <w:r w:rsidR="00332897" w:rsidRPr="0007074F">
        <w:rPr>
          <w:rFonts w:cstheme="minorHAnsi"/>
          <w:b/>
          <w:color w:val="002060"/>
          <w:lang w:val="sr-Cyrl-CS"/>
        </w:rPr>
        <w:t xml:space="preserve">сектора </w:t>
      </w:r>
      <w:r w:rsidRPr="0007074F">
        <w:rPr>
          <w:rFonts w:cstheme="minorHAnsi"/>
          <w:b/>
          <w:color w:val="002060"/>
          <w:lang w:val="sr-Cyrl-CS"/>
        </w:rPr>
        <w:t>државе, % БДП</w:t>
      </w:r>
    </w:p>
    <w:p w14:paraId="00ED3157" w14:textId="77777777" w:rsidR="00CE2F2F" w:rsidRPr="0007074F" w:rsidRDefault="00CE2F2F" w:rsidP="00E05893">
      <w:pPr>
        <w:spacing w:line="276" w:lineRule="auto"/>
        <w:jc w:val="right"/>
        <w:rPr>
          <w:rFonts w:cstheme="minorHAnsi"/>
          <w:lang w:val="sr-Cyrl-CS"/>
          <w14:textOutline w14:w="9525" w14:cap="rnd" w14:cmpd="sng" w14:algn="ctr">
            <w14:gradFill>
              <w14:gsLst>
                <w14:gs w14:pos="0">
                  <w14:schemeClr w14:val="accent1">
                    <w14:lumMod w14:val="5000"/>
                    <w14:lumOff w14:val="95000"/>
                  </w14:schemeClr>
                </w14:gs>
                <w14:gs w14:pos="74000">
                  <w14:schemeClr w14:val="accent1">
                    <w14:lumMod w14:val="45000"/>
                    <w14:lumOff w14:val="55000"/>
                  </w14:schemeClr>
                </w14:gs>
                <w14:gs w14:pos="83000">
                  <w14:schemeClr w14:val="accent1">
                    <w14:lumMod w14:val="45000"/>
                    <w14:lumOff w14:val="55000"/>
                  </w14:schemeClr>
                </w14:gs>
                <w14:gs w14:pos="100000">
                  <w14:schemeClr w14:val="accent1">
                    <w14:lumMod w14:val="30000"/>
                    <w14:lumOff w14:val="70000"/>
                  </w14:schemeClr>
                </w14:gs>
              </w14:gsLst>
              <w14:lin w14:ang="5400000" w14:scaled="0"/>
            </w14:gradFill>
            <w14:prstDash w14:val="solid"/>
            <w14:bevel/>
          </w14:textOutline>
        </w:rPr>
      </w:pPr>
      <w:r w:rsidRPr="0007074F">
        <w:rPr>
          <w:noProof/>
        </w:rPr>
        <w:drawing>
          <wp:inline distT="0" distB="0" distL="0" distR="0" wp14:anchorId="35D9907B" wp14:editId="76889F1D">
            <wp:extent cx="2743200" cy="2160270"/>
            <wp:effectExtent l="0" t="0" r="0" b="0"/>
            <wp:docPr id="68" name="Chart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p w14:paraId="268A8E6E" w14:textId="45A4CF4E" w:rsidR="00CE2F2F" w:rsidRPr="0007074F" w:rsidRDefault="00CE2F2F" w:rsidP="00953528">
      <w:pPr>
        <w:rPr>
          <w:rFonts w:eastAsia="Times New Roman" w:cstheme="minorHAnsi"/>
          <w:b/>
          <w:bCs/>
          <w:szCs w:val="20"/>
          <w:lang w:val="sr-Cyrl-CS" w:eastAsia="ja-JP"/>
        </w:rPr>
      </w:pPr>
      <w:r w:rsidRPr="0007074F">
        <w:rPr>
          <w:rFonts w:eastAsia="MS PGothic" w:cstheme="minorHAnsi"/>
          <w:szCs w:val="20"/>
          <w:lang w:val="sr-Cyrl-CS" w:eastAsia="ja-JP"/>
        </w:rPr>
        <w:lastRenderedPageBreak/>
        <w:t xml:space="preserve">Експанзивна фискална политика током 2020. и 2021. године умањила је негативне економске последице пандемије. У 2022. години фокус је пребачен на заштиту привреде и становништва од удара енергетске кризе. У наредном средњорочном периоду предвиђено је умерено смањење дефицита </w:t>
      </w:r>
      <w:r w:rsidR="00332897" w:rsidRPr="0007074F">
        <w:rPr>
          <w:rFonts w:eastAsia="MS PGothic" w:cstheme="minorHAnsi"/>
          <w:szCs w:val="20"/>
          <w:lang w:val="sr-Cyrl-CS" w:eastAsia="ja-JP"/>
        </w:rPr>
        <w:t xml:space="preserve">сектора </w:t>
      </w:r>
      <w:r w:rsidRPr="0007074F">
        <w:rPr>
          <w:rFonts w:eastAsia="MS PGothic" w:cstheme="minorHAnsi"/>
          <w:szCs w:val="20"/>
          <w:lang w:val="sr-Cyrl-CS" w:eastAsia="ja-JP"/>
        </w:rPr>
        <w:t xml:space="preserve">државе како би се путем фискалне политике обезбедила потребна флексибилност националне економије што омогућава правовремени и ефикасан одговор на евентуалне екстерне шокове. То се, </w:t>
      </w:r>
      <w:r w:rsidRPr="0007074F">
        <w:rPr>
          <w:rFonts w:eastAsia="Calibri" w:cstheme="minorHAnsi"/>
          <w:szCs w:val="20"/>
          <w:lang w:val="sr-Cyrl-CS" w:eastAsia="ja-JP"/>
        </w:rPr>
        <w:t xml:space="preserve">пре свега, односи на расходну страну, у виду обезбеђења средстава намењених за енергетску политику, али и даље високо улагање у инфраструктуру. На </w:t>
      </w:r>
      <w:r w:rsidRPr="0007074F">
        <w:rPr>
          <w:rFonts w:eastAsia="Calibri" w:cstheme="minorHAnsi"/>
          <w:szCs w:val="20"/>
          <w:lang w:val="sr-Cyrl-CS" w:eastAsia="ja-JP"/>
        </w:rPr>
        <w:t>приходној страни приоритет ће остати даље смањење пореског оптерећења зарада и наставак борбе против пореске евазије и сиве економије.</w:t>
      </w:r>
    </w:p>
    <w:p w14:paraId="2C86D1CD" w14:textId="77777777" w:rsidR="00CE2F2F" w:rsidRPr="0007074F" w:rsidRDefault="00CE2F2F" w:rsidP="00953528">
      <w:pPr>
        <w:keepNext/>
        <w:spacing w:after="80"/>
        <w:rPr>
          <w:rFonts w:eastAsia="MS PGothic" w:cstheme="minorHAnsi"/>
          <w:szCs w:val="20"/>
          <w:lang w:val="sr-Cyrl-CS" w:eastAsia="ja-JP"/>
        </w:rPr>
      </w:pPr>
      <w:r w:rsidRPr="0007074F">
        <w:rPr>
          <w:rFonts w:eastAsia="MS PGothic" w:cstheme="minorHAnsi"/>
          <w:szCs w:val="20"/>
          <w:lang w:val="sr-Cyrl-CS" w:eastAsia="ja-JP"/>
        </w:rPr>
        <w:t>Пројекција прихода у периоду од 2023. до 2026. године израђена је на основу:</w:t>
      </w:r>
    </w:p>
    <w:p w14:paraId="4B2B8186" w14:textId="77777777" w:rsidR="00CE2F2F" w:rsidRPr="0007074F" w:rsidRDefault="00CE2F2F" w:rsidP="00DB0157">
      <w:pPr>
        <w:numPr>
          <w:ilvl w:val="0"/>
          <w:numId w:val="1"/>
        </w:numPr>
        <w:ind w:left="181" w:hanging="181"/>
        <w:contextualSpacing/>
        <w:rPr>
          <w:rFonts w:eastAsia="Calibri" w:cstheme="minorHAnsi"/>
          <w:lang w:val="sr-Cyrl-CS"/>
        </w:rPr>
      </w:pPr>
      <w:r w:rsidRPr="0007074F">
        <w:rPr>
          <w:rFonts w:eastAsia="Calibri" w:cstheme="minorHAnsi"/>
          <w:lang w:val="sr-Cyrl-CS"/>
        </w:rPr>
        <w:t>пројекције кретања најважнијих макроекономских показатеља: БДП и његових компоненти, инфлације, девизног курса, спољнотрговинске размене, запослености и зарада;</w:t>
      </w:r>
    </w:p>
    <w:p w14:paraId="5F14BDEB" w14:textId="77777777" w:rsidR="00CE2F2F" w:rsidRPr="0007074F" w:rsidRDefault="00CE2F2F" w:rsidP="00DB0157">
      <w:pPr>
        <w:numPr>
          <w:ilvl w:val="0"/>
          <w:numId w:val="1"/>
        </w:numPr>
        <w:ind w:left="181" w:hanging="181"/>
        <w:contextualSpacing/>
        <w:rPr>
          <w:rFonts w:eastAsia="Calibri" w:cstheme="minorHAnsi"/>
          <w:lang w:val="sr-Cyrl-CS"/>
        </w:rPr>
      </w:pPr>
      <w:r w:rsidRPr="0007074F">
        <w:rPr>
          <w:rFonts w:eastAsia="Calibri" w:cstheme="minorHAnsi"/>
          <w:lang w:val="sr-Cyrl-CS"/>
        </w:rPr>
        <w:t>важеће и планиране измене пореске политике;</w:t>
      </w:r>
    </w:p>
    <w:p w14:paraId="39C6C66D" w14:textId="77777777" w:rsidR="00CE2F2F" w:rsidRPr="0007074F" w:rsidRDefault="00CE2F2F" w:rsidP="00E05893">
      <w:pPr>
        <w:numPr>
          <w:ilvl w:val="0"/>
          <w:numId w:val="1"/>
        </w:numPr>
        <w:spacing w:after="240"/>
        <w:ind w:left="181" w:hanging="181"/>
        <w:rPr>
          <w:rFonts w:eastAsia="Calibri" w:cstheme="minorHAnsi"/>
          <w:lang w:val="sr-Cyrl-CS"/>
        </w:rPr>
      </w:pPr>
      <w:r w:rsidRPr="0007074F">
        <w:rPr>
          <w:rFonts w:eastAsia="Calibri" w:cstheme="minorHAnsi"/>
          <w:lang w:val="sr-Cyrl-CS"/>
        </w:rPr>
        <w:t>процењених ефеката фискалних и структурних мера у наредном периоду.</w:t>
      </w:r>
    </w:p>
    <w:p w14:paraId="19B70636" w14:textId="77777777" w:rsidR="00CE2F2F" w:rsidRPr="0007074F" w:rsidRDefault="00CE2F2F" w:rsidP="00451097">
      <w:pPr>
        <w:spacing w:before="240" w:after="120" w:line="276" w:lineRule="auto"/>
        <w:jc w:val="center"/>
        <w:rPr>
          <w:rFonts w:eastAsia="MS PGothic" w:cstheme="minorHAnsi"/>
          <w:b/>
          <w:color w:val="002060"/>
          <w:szCs w:val="20"/>
          <w:lang w:val="sr-Cyrl-CS" w:eastAsia="ja-JP"/>
        </w:rPr>
        <w:sectPr w:rsidR="00CE2F2F" w:rsidRPr="0007074F" w:rsidSect="00E05893">
          <w:type w:val="continuous"/>
          <w:pgSz w:w="12240" w:h="15840" w:code="1"/>
          <w:pgMar w:top="1440" w:right="1440" w:bottom="1440" w:left="1440" w:header="720" w:footer="720" w:gutter="0"/>
          <w:cols w:num="2" w:space="720"/>
          <w:docGrid w:linePitch="360"/>
        </w:sectPr>
      </w:pPr>
    </w:p>
    <w:p w14:paraId="1D760B74" w14:textId="77777777" w:rsidR="00CE2F2F" w:rsidRPr="0007074F" w:rsidRDefault="00CE2F2F" w:rsidP="00E05893">
      <w:pPr>
        <w:spacing w:before="120" w:after="120" w:line="276" w:lineRule="auto"/>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t>Табела 9. Укупни приходи и донације у периоду 2022–2026. године, % БДП</w:t>
      </w:r>
    </w:p>
    <w:tbl>
      <w:tblPr>
        <w:tblStyle w:val="LightShading-Accent1211"/>
        <w:tblW w:w="5000" w:type="pct"/>
        <w:tblBorders>
          <w:top w:val="none" w:sz="0" w:space="0" w:color="auto"/>
          <w:bottom w:val="none" w:sz="0" w:space="0" w:color="auto"/>
        </w:tblBorders>
        <w:tblLook w:val="0420" w:firstRow="1" w:lastRow="0" w:firstColumn="0" w:lastColumn="0" w:noHBand="0" w:noVBand="1"/>
      </w:tblPr>
      <w:tblGrid>
        <w:gridCol w:w="3824"/>
        <w:gridCol w:w="1133"/>
        <w:gridCol w:w="1134"/>
        <w:gridCol w:w="1088"/>
        <w:gridCol w:w="1090"/>
        <w:gridCol w:w="1091"/>
      </w:tblGrid>
      <w:tr w:rsidR="00CE2F2F" w:rsidRPr="0007074F" w14:paraId="76AF384C" w14:textId="77777777" w:rsidTr="00953528">
        <w:trPr>
          <w:cnfStyle w:val="100000000000" w:firstRow="1" w:lastRow="0" w:firstColumn="0" w:lastColumn="0" w:oddVBand="0" w:evenVBand="0" w:oddHBand="0" w:evenHBand="0" w:firstRowFirstColumn="0" w:firstRowLastColumn="0" w:lastRowFirstColumn="0" w:lastRowLastColumn="0"/>
          <w:trHeight w:val="253"/>
        </w:trPr>
        <w:tc>
          <w:tcPr>
            <w:tcW w:w="2043" w:type="pct"/>
            <w:tcBorders>
              <w:top w:val="single" w:sz="4" w:space="0" w:color="002060"/>
              <w:bottom w:val="single" w:sz="4" w:space="0" w:color="002060"/>
            </w:tcBorders>
            <w:noWrap/>
            <w:vAlign w:val="center"/>
          </w:tcPr>
          <w:p w14:paraId="54A21FB4" w14:textId="77777777" w:rsidR="00CE2F2F" w:rsidRPr="0007074F" w:rsidRDefault="00CE2F2F" w:rsidP="00C130D2">
            <w:pPr>
              <w:keepLines/>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CS"/>
              </w:rPr>
            </w:pPr>
            <w:r w:rsidRPr="0007074F">
              <w:rPr>
                <w:rFonts w:asciiTheme="minorHAnsi" w:hAnsiTheme="minorHAnsi" w:cstheme="minorHAnsi"/>
                <w:b w:val="0"/>
                <w:color w:val="002060"/>
                <w:sz w:val="18"/>
                <w:lang w:val="sr-Cyrl-CS"/>
              </w:rPr>
              <w:t>Опис</w:t>
            </w:r>
          </w:p>
        </w:tc>
        <w:tc>
          <w:tcPr>
            <w:tcW w:w="605" w:type="pct"/>
            <w:tcBorders>
              <w:top w:val="single" w:sz="4" w:space="0" w:color="002060"/>
              <w:bottom w:val="single" w:sz="4" w:space="0" w:color="002060"/>
            </w:tcBorders>
            <w:vAlign w:val="center"/>
          </w:tcPr>
          <w:p w14:paraId="6AA72FEE" w14:textId="77777777" w:rsidR="00CE2F2F" w:rsidRPr="0007074F" w:rsidRDefault="00CE2F2F"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CS"/>
              </w:rPr>
            </w:pPr>
            <w:r w:rsidRPr="0007074F">
              <w:rPr>
                <w:rFonts w:asciiTheme="minorHAnsi" w:hAnsiTheme="minorHAnsi" w:cstheme="minorHAnsi"/>
                <w:b w:val="0"/>
                <w:color w:val="002060"/>
                <w:sz w:val="18"/>
                <w:lang w:val="sr-Cyrl-CS"/>
              </w:rPr>
              <w:t>Извршење</w:t>
            </w:r>
          </w:p>
        </w:tc>
        <w:tc>
          <w:tcPr>
            <w:tcW w:w="606" w:type="pct"/>
            <w:tcBorders>
              <w:top w:val="single" w:sz="4" w:space="0" w:color="002060"/>
              <w:bottom w:val="single" w:sz="4" w:space="0" w:color="002060"/>
            </w:tcBorders>
            <w:vAlign w:val="center"/>
          </w:tcPr>
          <w:p w14:paraId="2AE69AC0" w14:textId="77777777" w:rsidR="00CE2F2F" w:rsidRPr="0007074F" w:rsidRDefault="00CE2F2F"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CS"/>
              </w:rPr>
            </w:pPr>
            <w:r w:rsidRPr="0007074F">
              <w:rPr>
                <w:rFonts w:asciiTheme="minorHAnsi" w:hAnsiTheme="minorHAnsi" w:cstheme="minorHAnsi"/>
                <w:b w:val="0"/>
                <w:color w:val="002060"/>
                <w:sz w:val="18"/>
                <w:lang w:val="sr-Cyrl-CS"/>
              </w:rPr>
              <w:t>Процена</w:t>
            </w:r>
          </w:p>
        </w:tc>
        <w:tc>
          <w:tcPr>
            <w:tcW w:w="1746" w:type="pct"/>
            <w:gridSpan w:val="3"/>
            <w:tcBorders>
              <w:top w:val="single" w:sz="4" w:space="0" w:color="002060"/>
              <w:bottom w:val="single" w:sz="4" w:space="0" w:color="002060"/>
            </w:tcBorders>
            <w:vAlign w:val="center"/>
          </w:tcPr>
          <w:p w14:paraId="6BCB70B1" w14:textId="77777777" w:rsidR="00CE2F2F" w:rsidRPr="0007074F" w:rsidRDefault="00CE2F2F" w:rsidP="001940DA">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CS"/>
              </w:rPr>
            </w:pPr>
            <w:r w:rsidRPr="0007074F">
              <w:rPr>
                <w:rFonts w:asciiTheme="minorHAnsi" w:hAnsiTheme="minorHAnsi" w:cstheme="minorHAnsi"/>
                <w:b w:val="0"/>
                <w:color w:val="002060"/>
                <w:sz w:val="18"/>
                <w:lang w:val="sr-Cyrl-CS"/>
              </w:rPr>
              <w:t>Пројекција</w:t>
            </w:r>
          </w:p>
        </w:tc>
      </w:tr>
      <w:tr w:rsidR="00CE2F2F" w:rsidRPr="0007074F" w14:paraId="5E94AE34"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tcBorders>
              <w:top w:val="single" w:sz="4" w:space="0" w:color="002060"/>
            </w:tcBorders>
            <w:shd w:val="clear" w:color="auto" w:fill="FFFFFF" w:themeFill="background1"/>
            <w:noWrap/>
          </w:tcPr>
          <w:p w14:paraId="3B0FC182" w14:textId="77777777" w:rsidR="00CE2F2F" w:rsidRPr="0007074F" w:rsidRDefault="00CE2F2F"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p>
        </w:tc>
        <w:tc>
          <w:tcPr>
            <w:tcW w:w="605" w:type="pct"/>
            <w:tcBorders>
              <w:top w:val="single" w:sz="4" w:space="0" w:color="002060"/>
              <w:bottom w:val="single" w:sz="4" w:space="0" w:color="002060"/>
            </w:tcBorders>
            <w:shd w:val="clear" w:color="auto" w:fill="FFFFFF" w:themeFill="background1"/>
          </w:tcPr>
          <w:p w14:paraId="667F627A"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2022</w:t>
            </w:r>
          </w:p>
        </w:tc>
        <w:tc>
          <w:tcPr>
            <w:tcW w:w="606" w:type="pct"/>
            <w:tcBorders>
              <w:top w:val="single" w:sz="4" w:space="0" w:color="002060"/>
              <w:bottom w:val="single" w:sz="4" w:space="0" w:color="002060"/>
            </w:tcBorders>
            <w:shd w:val="clear" w:color="auto" w:fill="FFFFFF" w:themeFill="background1"/>
          </w:tcPr>
          <w:p w14:paraId="3FF1E2BF"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2023</w:t>
            </w:r>
          </w:p>
        </w:tc>
        <w:tc>
          <w:tcPr>
            <w:tcW w:w="581" w:type="pct"/>
            <w:tcBorders>
              <w:top w:val="single" w:sz="4" w:space="0" w:color="002060"/>
              <w:bottom w:val="single" w:sz="4" w:space="0" w:color="002060"/>
            </w:tcBorders>
            <w:shd w:val="clear" w:color="auto" w:fill="FFFFFF" w:themeFill="background1"/>
          </w:tcPr>
          <w:p w14:paraId="3D949FF7"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2024</w:t>
            </w:r>
          </w:p>
        </w:tc>
        <w:tc>
          <w:tcPr>
            <w:tcW w:w="582" w:type="pct"/>
            <w:tcBorders>
              <w:top w:val="single" w:sz="4" w:space="0" w:color="002060"/>
              <w:bottom w:val="single" w:sz="4" w:space="0" w:color="002060"/>
            </w:tcBorders>
            <w:shd w:val="clear" w:color="auto" w:fill="FFFFFF" w:themeFill="background1"/>
          </w:tcPr>
          <w:p w14:paraId="09C993C3"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2025</w:t>
            </w:r>
          </w:p>
        </w:tc>
        <w:tc>
          <w:tcPr>
            <w:tcW w:w="583" w:type="pct"/>
            <w:tcBorders>
              <w:top w:val="single" w:sz="4" w:space="0" w:color="002060"/>
              <w:bottom w:val="single" w:sz="4" w:space="0" w:color="002060"/>
            </w:tcBorders>
            <w:shd w:val="clear" w:color="auto" w:fill="FFFFFF" w:themeFill="background1"/>
          </w:tcPr>
          <w:p w14:paraId="153648D4"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2026</w:t>
            </w:r>
          </w:p>
        </w:tc>
      </w:tr>
      <w:tr w:rsidR="00CE2F2F" w:rsidRPr="0007074F" w14:paraId="0EDFB68B" w14:textId="77777777" w:rsidTr="00E05893">
        <w:trPr>
          <w:trHeight w:val="253"/>
        </w:trPr>
        <w:tc>
          <w:tcPr>
            <w:tcW w:w="2043" w:type="pct"/>
            <w:shd w:val="clear" w:color="auto" w:fill="FFFFFF" w:themeFill="background1"/>
          </w:tcPr>
          <w:p w14:paraId="08EBDBC8" w14:textId="77777777" w:rsidR="00CE2F2F" w:rsidRPr="0007074F" w:rsidRDefault="00CE2F2F"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ЈАВНИ ПРИХОДИ</w:t>
            </w:r>
          </w:p>
        </w:tc>
        <w:tc>
          <w:tcPr>
            <w:tcW w:w="605" w:type="pct"/>
            <w:tcBorders>
              <w:top w:val="single" w:sz="4" w:space="0" w:color="002060"/>
            </w:tcBorders>
            <w:shd w:val="clear" w:color="auto" w:fill="auto"/>
            <w:vAlign w:val="center"/>
          </w:tcPr>
          <w:p w14:paraId="5B5B47CB"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43,8</w:t>
            </w:r>
          </w:p>
        </w:tc>
        <w:tc>
          <w:tcPr>
            <w:tcW w:w="606" w:type="pct"/>
            <w:tcBorders>
              <w:top w:val="single" w:sz="4" w:space="0" w:color="002060"/>
            </w:tcBorders>
            <w:shd w:val="clear" w:color="auto" w:fill="auto"/>
            <w:noWrap/>
            <w:vAlign w:val="center"/>
          </w:tcPr>
          <w:p w14:paraId="57DE232B"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41,8</w:t>
            </w:r>
          </w:p>
        </w:tc>
        <w:tc>
          <w:tcPr>
            <w:tcW w:w="581" w:type="pct"/>
            <w:tcBorders>
              <w:top w:val="single" w:sz="4" w:space="0" w:color="002060"/>
            </w:tcBorders>
            <w:shd w:val="clear" w:color="auto" w:fill="auto"/>
            <w:noWrap/>
            <w:vAlign w:val="center"/>
          </w:tcPr>
          <w:p w14:paraId="7FF7FC16"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41,5</w:t>
            </w:r>
          </w:p>
        </w:tc>
        <w:tc>
          <w:tcPr>
            <w:tcW w:w="582" w:type="pct"/>
            <w:tcBorders>
              <w:top w:val="single" w:sz="4" w:space="0" w:color="002060"/>
            </w:tcBorders>
            <w:shd w:val="clear" w:color="auto" w:fill="auto"/>
            <w:noWrap/>
            <w:vAlign w:val="center"/>
          </w:tcPr>
          <w:p w14:paraId="678EE588"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41,5</w:t>
            </w:r>
          </w:p>
        </w:tc>
        <w:tc>
          <w:tcPr>
            <w:tcW w:w="583" w:type="pct"/>
            <w:tcBorders>
              <w:top w:val="single" w:sz="4" w:space="0" w:color="002060"/>
            </w:tcBorders>
            <w:shd w:val="clear" w:color="auto" w:fill="auto"/>
            <w:noWrap/>
            <w:vAlign w:val="center"/>
          </w:tcPr>
          <w:p w14:paraId="700870E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41,4</w:t>
            </w:r>
          </w:p>
        </w:tc>
      </w:tr>
      <w:tr w:rsidR="00CE2F2F" w:rsidRPr="0007074F" w14:paraId="2812A783"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376AB290" w14:textId="77777777" w:rsidR="00CE2F2F" w:rsidRPr="0007074F" w:rsidRDefault="00CE2F2F"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Текући приходи</w:t>
            </w:r>
          </w:p>
        </w:tc>
        <w:tc>
          <w:tcPr>
            <w:tcW w:w="605" w:type="pct"/>
            <w:shd w:val="clear" w:color="auto" w:fill="FFFFFF" w:themeFill="background1"/>
          </w:tcPr>
          <w:p w14:paraId="1350FD68"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43,5</w:t>
            </w:r>
          </w:p>
        </w:tc>
        <w:tc>
          <w:tcPr>
            <w:tcW w:w="606" w:type="pct"/>
            <w:shd w:val="clear" w:color="auto" w:fill="FFFFFF" w:themeFill="background1"/>
            <w:noWrap/>
          </w:tcPr>
          <w:p w14:paraId="2516300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41,2</w:t>
            </w:r>
          </w:p>
        </w:tc>
        <w:tc>
          <w:tcPr>
            <w:tcW w:w="581" w:type="pct"/>
            <w:shd w:val="clear" w:color="auto" w:fill="FFFFFF" w:themeFill="background1"/>
            <w:noWrap/>
          </w:tcPr>
          <w:p w14:paraId="5F3CA387"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41,2</w:t>
            </w:r>
          </w:p>
        </w:tc>
        <w:tc>
          <w:tcPr>
            <w:tcW w:w="582" w:type="pct"/>
            <w:shd w:val="clear" w:color="auto" w:fill="FFFFFF" w:themeFill="background1"/>
            <w:noWrap/>
          </w:tcPr>
          <w:p w14:paraId="345A53FA"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41,1</w:t>
            </w:r>
          </w:p>
        </w:tc>
        <w:tc>
          <w:tcPr>
            <w:tcW w:w="583" w:type="pct"/>
            <w:shd w:val="clear" w:color="auto" w:fill="FFFFFF" w:themeFill="background1"/>
            <w:noWrap/>
          </w:tcPr>
          <w:p w14:paraId="085460C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41,0</w:t>
            </w:r>
          </w:p>
        </w:tc>
      </w:tr>
      <w:tr w:rsidR="00CE2F2F" w:rsidRPr="0007074F" w14:paraId="00D4ACBF" w14:textId="77777777" w:rsidTr="00E05893">
        <w:trPr>
          <w:trHeight w:val="253"/>
        </w:trPr>
        <w:tc>
          <w:tcPr>
            <w:tcW w:w="2043" w:type="pct"/>
            <w:shd w:val="clear" w:color="auto" w:fill="FFFFFF" w:themeFill="background1"/>
          </w:tcPr>
          <w:p w14:paraId="6EB11CE9" w14:textId="77777777" w:rsidR="00CE2F2F" w:rsidRPr="0007074F" w:rsidRDefault="00CE2F2F"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 xml:space="preserve"> Порески приходи</w:t>
            </w:r>
          </w:p>
        </w:tc>
        <w:tc>
          <w:tcPr>
            <w:tcW w:w="605" w:type="pct"/>
            <w:shd w:val="clear" w:color="auto" w:fill="FFFFFF" w:themeFill="background1"/>
          </w:tcPr>
          <w:p w14:paraId="1BAF0C0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38,9</w:t>
            </w:r>
          </w:p>
        </w:tc>
        <w:tc>
          <w:tcPr>
            <w:tcW w:w="606" w:type="pct"/>
            <w:shd w:val="clear" w:color="auto" w:fill="FFFFFF" w:themeFill="background1"/>
            <w:noWrap/>
          </w:tcPr>
          <w:p w14:paraId="256E6734"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37,0</w:t>
            </w:r>
          </w:p>
        </w:tc>
        <w:tc>
          <w:tcPr>
            <w:tcW w:w="581" w:type="pct"/>
            <w:shd w:val="clear" w:color="auto" w:fill="FFFFFF" w:themeFill="background1"/>
            <w:noWrap/>
          </w:tcPr>
          <w:p w14:paraId="177A01D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37,1</w:t>
            </w:r>
          </w:p>
        </w:tc>
        <w:tc>
          <w:tcPr>
            <w:tcW w:w="582" w:type="pct"/>
            <w:shd w:val="clear" w:color="auto" w:fill="FFFFFF" w:themeFill="background1"/>
            <w:noWrap/>
          </w:tcPr>
          <w:p w14:paraId="3EA68288"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37,2</w:t>
            </w:r>
          </w:p>
        </w:tc>
        <w:tc>
          <w:tcPr>
            <w:tcW w:w="583" w:type="pct"/>
            <w:shd w:val="clear" w:color="auto" w:fill="FFFFFF" w:themeFill="background1"/>
            <w:noWrap/>
          </w:tcPr>
          <w:p w14:paraId="14EA6FE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37,3</w:t>
            </w:r>
          </w:p>
        </w:tc>
      </w:tr>
      <w:tr w:rsidR="00CE2F2F" w:rsidRPr="0007074F" w14:paraId="0DF15399"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79F3C019" w14:textId="77777777" w:rsidR="00CE2F2F" w:rsidRPr="0007074F" w:rsidRDefault="00CE2F2F"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Порез на доходак грађана</w:t>
            </w:r>
          </w:p>
        </w:tc>
        <w:tc>
          <w:tcPr>
            <w:tcW w:w="605" w:type="pct"/>
            <w:shd w:val="clear" w:color="auto" w:fill="FFFFFF" w:themeFill="background1"/>
          </w:tcPr>
          <w:p w14:paraId="171D7F70"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w:t>
            </w:r>
          </w:p>
        </w:tc>
        <w:tc>
          <w:tcPr>
            <w:tcW w:w="606" w:type="pct"/>
            <w:shd w:val="clear" w:color="auto" w:fill="FFFFFF" w:themeFill="background1"/>
            <w:noWrap/>
          </w:tcPr>
          <w:p w14:paraId="61AEB08B"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w:t>
            </w:r>
          </w:p>
        </w:tc>
        <w:tc>
          <w:tcPr>
            <w:tcW w:w="581" w:type="pct"/>
            <w:shd w:val="clear" w:color="auto" w:fill="FFFFFF" w:themeFill="background1"/>
            <w:noWrap/>
          </w:tcPr>
          <w:p w14:paraId="05B7C1E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w:t>
            </w:r>
          </w:p>
        </w:tc>
        <w:tc>
          <w:tcPr>
            <w:tcW w:w="582" w:type="pct"/>
            <w:shd w:val="clear" w:color="auto" w:fill="FFFFFF" w:themeFill="background1"/>
            <w:noWrap/>
          </w:tcPr>
          <w:p w14:paraId="75977D7B"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4,2</w:t>
            </w:r>
          </w:p>
        </w:tc>
        <w:tc>
          <w:tcPr>
            <w:tcW w:w="583" w:type="pct"/>
            <w:shd w:val="clear" w:color="auto" w:fill="FFFFFF" w:themeFill="background1"/>
            <w:noWrap/>
          </w:tcPr>
          <w:p w14:paraId="4FB5D676"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w:t>
            </w:r>
          </w:p>
        </w:tc>
      </w:tr>
      <w:tr w:rsidR="00CE2F2F" w:rsidRPr="0007074F" w14:paraId="4035DB66" w14:textId="77777777" w:rsidTr="00E05893">
        <w:trPr>
          <w:trHeight w:val="253"/>
        </w:trPr>
        <w:tc>
          <w:tcPr>
            <w:tcW w:w="2043" w:type="pct"/>
            <w:shd w:val="clear" w:color="auto" w:fill="FFFFFF" w:themeFill="background1"/>
          </w:tcPr>
          <w:p w14:paraId="7E20C92E" w14:textId="77777777" w:rsidR="00CE2F2F" w:rsidRPr="0007074F" w:rsidRDefault="00CE2F2F"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Порез на добит правних лица</w:t>
            </w:r>
          </w:p>
        </w:tc>
        <w:tc>
          <w:tcPr>
            <w:tcW w:w="605" w:type="pct"/>
            <w:shd w:val="clear" w:color="auto" w:fill="FFFFFF" w:themeFill="background1"/>
          </w:tcPr>
          <w:p w14:paraId="4AD2D72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3,0</w:t>
            </w:r>
          </w:p>
        </w:tc>
        <w:tc>
          <w:tcPr>
            <w:tcW w:w="606" w:type="pct"/>
            <w:shd w:val="clear" w:color="auto" w:fill="FFFFFF" w:themeFill="background1"/>
            <w:noWrap/>
          </w:tcPr>
          <w:p w14:paraId="1595E817"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2,7</w:t>
            </w:r>
          </w:p>
        </w:tc>
        <w:tc>
          <w:tcPr>
            <w:tcW w:w="581" w:type="pct"/>
            <w:shd w:val="clear" w:color="auto" w:fill="FFFFFF" w:themeFill="background1"/>
            <w:noWrap/>
          </w:tcPr>
          <w:p w14:paraId="32F56EC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2,6</w:t>
            </w:r>
          </w:p>
        </w:tc>
        <w:tc>
          <w:tcPr>
            <w:tcW w:w="582" w:type="pct"/>
            <w:shd w:val="clear" w:color="auto" w:fill="FFFFFF" w:themeFill="background1"/>
            <w:noWrap/>
          </w:tcPr>
          <w:p w14:paraId="0CA8B45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2,5</w:t>
            </w:r>
          </w:p>
        </w:tc>
        <w:tc>
          <w:tcPr>
            <w:tcW w:w="583" w:type="pct"/>
            <w:shd w:val="clear" w:color="auto" w:fill="FFFFFF" w:themeFill="background1"/>
            <w:noWrap/>
          </w:tcPr>
          <w:p w14:paraId="3F1C6AB1"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2,4</w:t>
            </w:r>
          </w:p>
        </w:tc>
      </w:tr>
      <w:tr w:rsidR="00CE2F2F" w:rsidRPr="0007074F" w14:paraId="3842E2A6"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6D2E9C63" w14:textId="77777777" w:rsidR="00CE2F2F" w:rsidRPr="0007074F" w:rsidRDefault="00CE2F2F"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ПДВ</w:t>
            </w:r>
          </w:p>
        </w:tc>
        <w:tc>
          <w:tcPr>
            <w:tcW w:w="605" w:type="pct"/>
            <w:shd w:val="clear" w:color="auto" w:fill="FFFFFF" w:themeFill="background1"/>
          </w:tcPr>
          <w:p w14:paraId="303274FB"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11,0</w:t>
            </w:r>
          </w:p>
        </w:tc>
        <w:tc>
          <w:tcPr>
            <w:tcW w:w="606" w:type="pct"/>
            <w:shd w:val="clear" w:color="auto" w:fill="FFFFFF" w:themeFill="background1"/>
            <w:noWrap/>
          </w:tcPr>
          <w:p w14:paraId="1ABE942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10,7</w:t>
            </w:r>
          </w:p>
        </w:tc>
        <w:tc>
          <w:tcPr>
            <w:tcW w:w="581" w:type="pct"/>
            <w:shd w:val="clear" w:color="auto" w:fill="FFFFFF" w:themeFill="background1"/>
            <w:noWrap/>
          </w:tcPr>
          <w:p w14:paraId="1C4592C1"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10,7</w:t>
            </w:r>
          </w:p>
        </w:tc>
        <w:tc>
          <w:tcPr>
            <w:tcW w:w="582" w:type="pct"/>
            <w:shd w:val="clear" w:color="auto" w:fill="FFFFFF" w:themeFill="background1"/>
            <w:noWrap/>
          </w:tcPr>
          <w:p w14:paraId="341BA4A5"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10,7</w:t>
            </w:r>
          </w:p>
        </w:tc>
        <w:tc>
          <w:tcPr>
            <w:tcW w:w="583" w:type="pct"/>
            <w:shd w:val="clear" w:color="auto" w:fill="FFFFFF" w:themeFill="background1"/>
            <w:noWrap/>
          </w:tcPr>
          <w:p w14:paraId="23882011"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10,7</w:t>
            </w:r>
          </w:p>
        </w:tc>
      </w:tr>
      <w:tr w:rsidR="00CE2F2F" w:rsidRPr="0007074F" w14:paraId="6E07CB44" w14:textId="77777777" w:rsidTr="00E05893">
        <w:trPr>
          <w:trHeight w:val="253"/>
        </w:trPr>
        <w:tc>
          <w:tcPr>
            <w:tcW w:w="2043" w:type="pct"/>
            <w:shd w:val="clear" w:color="auto" w:fill="FFFFFF" w:themeFill="background1"/>
          </w:tcPr>
          <w:p w14:paraId="78FDD62A" w14:textId="77777777" w:rsidR="00CE2F2F" w:rsidRPr="0007074F" w:rsidRDefault="00CE2F2F"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Акцизе</w:t>
            </w:r>
          </w:p>
        </w:tc>
        <w:tc>
          <w:tcPr>
            <w:tcW w:w="605" w:type="pct"/>
            <w:shd w:val="clear" w:color="auto" w:fill="FFFFFF" w:themeFill="background1"/>
          </w:tcPr>
          <w:p w14:paraId="3D0DFD9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4,8</w:t>
            </w:r>
          </w:p>
        </w:tc>
        <w:tc>
          <w:tcPr>
            <w:tcW w:w="606" w:type="pct"/>
            <w:shd w:val="clear" w:color="auto" w:fill="FFFFFF" w:themeFill="background1"/>
            <w:noWrap/>
          </w:tcPr>
          <w:p w14:paraId="5CC79A0C"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w:t>
            </w:r>
          </w:p>
        </w:tc>
        <w:tc>
          <w:tcPr>
            <w:tcW w:w="581" w:type="pct"/>
            <w:shd w:val="clear" w:color="auto" w:fill="FFFFFF" w:themeFill="background1"/>
            <w:noWrap/>
          </w:tcPr>
          <w:p w14:paraId="706D9DAA"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4,2</w:t>
            </w:r>
          </w:p>
        </w:tc>
        <w:tc>
          <w:tcPr>
            <w:tcW w:w="582" w:type="pct"/>
            <w:shd w:val="clear" w:color="auto" w:fill="FFFFFF" w:themeFill="background1"/>
            <w:noWrap/>
          </w:tcPr>
          <w:p w14:paraId="384684C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4,0</w:t>
            </w:r>
          </w:p>
        </w:tc>
        <w:tc>
          <w:tcPr>
            <w:tcW w:w="583" w:type="pct"/>
            <w:shd w:val="clear" w:color="auto" w:fill="FFFFFF" w:themeFill="background1"/>
            <w:noWrap/>
          </w:tcPr>
          <w:p w14:paraId="045FE604"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3,8</w:t>
            </w:r>
          </w:p>
        </w:tc>
      </w:tr>
      <w:tr w:rsidR="00CE2F2F" w:rsidRPr="0007074F" w14:paraId="62BEAAE8"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3C0DE92A" w14:textId="77777777" w:rsidR="00CE2F2F" w:rsidRPr="0007074F" w:rsidRDefault="00CE2F2F"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Царине</w:t>
            </w:r>
          </w:p>
        </w:tc>
        <w:tc>
          <w:tcPr>
            <w:tcW w:w="605" w:type="pct"/>
            <w:shd w:val="clear" w:color="auto" w:fill="FFFFFF" w:themeFill="background1"/>
          </w:tcPr>
          <w:p w14:paraId="7CB6B4AA"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1,1</w:t>
            </w:r>
          </w:p>
        </w:tc>
        <w:tc>
          <w:tcPr>
            <w:tcW w:w="606" w:type="pct"/>
            <w:shd w:val="clear" w:color="auto" w:fill="FFFFFF" w:themeFill="background1"/>
            <w:noWrap/>
          </w:tcPr>
          <w:p w14:paraId="083DD7B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1,0</w:t>
            </w:r>
          </w:p>
        </w:tc>
        <w:tc>
          <w:tcPr>
            <w:tcW w:w="581" w:type="pct"/>
            <w:shd w:val="clear" w:color="auto" w:fill="FFFFFF" w:themeFill="background1"/>
            <w:noWrap/>
          </w:tcPr>
          <w:p w14:paraId="478A62C6"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1,1</w:t>
            </w:r>
          </w:p>
        </w:tc>
        <w:tc>
          <w:tcPr>
            <w:tcW w:w="582" w:type="pct"/>
            <w:shd w:val="clear" w:color="auto" w:fill="FFFFFF" w:themeFill="background1"/>
            <w:noWrap/>
          </w:tcPr>
          <w:p w14:paraId="22FC1C19"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1,1</w:t>
            </w:r>
          </w:p>
        </w:tc>
        <w:tc>
          <w:tcPr>
            <w:tcW w:w="583" w:type="pct"/>
            <w:shd w:val="clear" w:color="auto" w:fill="FFFFFF" w:themeFill="background1"/>
            <w:noWrap/>
          </w:tcPr>
          <w:p w14:paraId="3CCEC09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1,1</w:t>
            </w:r>
          </w:p>
        </w:tc>
      </w:tr>
      <w:tr w:rsidR="00CE2F2F" w:rsidRPr="0007074F" w14:paraId="273BAC93" w14:textId="77777777" w:rsidTr="00E05893">
        <w:trPr>
          <w:trHeight w:val="253"/>
        </w:trPr>
        <w:tc>
          <w:tcPr>
            <w:tcW w:w="2043" w:type="pct"/>
            <w:shd w:val="clear" w:color="auto" w:fill="FFFFFF" w:themeFill="background1"/>
          </w:tcPr>
          <w:p w14:paraId="47AF6883" w14:textId="77777777" w:rsidR="00CE2F2F" w:rsidRPr="0007074F" w:rsidRDefault="00CE2F2F"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Остали порески приходи</w:t>
            </w:r>
          </w:p>
        </w:tc>
        <w:tc>
          <w:tcPr>
            <w:tcW w:w="605" w:type="pct"/>
            <w:shd w:val="clear" w:color="auto" w:fill="FFFFFF" w:themeFill="background1"/>
          </w:tcPr>
          <w:p w14:paraId="2F49487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1,4</w:t>
            </w:r>
          </w:p>
        </w:tc>
        <w:tc>
          <w:tcPr>
            <w:tcW w:w="606" w:type="pct"/>
            <w:shd w:val="clear" w:color="auto" w:fill="FFFFFF" w:themeFill="background1"/>
            <w:noWrap/>
          </w:tcPr>
          <w:p w14:paraId="296D3BF8"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w:t>
            </w:r>
          </w:p>
        </w:tc>
        <w:tc>
          <w:tcPr>
            <w:tcW w:w="581" w:type="pct"/>
            <w:shd w:val="clear" w:color="auto" w:fill="FFFFFF" w:themeFill="background1"/>
            <w:noWrap/>
          </w:tcPr>
          <w:p w14:paraId="5EA26AEA"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w:t>
            </w:r>
          </w:p>
        </w:tc>
        <w:tc>
          <w:tcPr>
            <w:tcW w:w="582" w:type="pct"/>
            <w:shd w:val="clear" w:color="auto" w:fill="FFFFFF" w:themeFill="background1"/>
            <w:noWrap/>
          </w:tcPr>
          <w:p w14:paraId="17EC7A56"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w:t>
            </w:r>
          </w:p>
        </w:tc>
        <w:tc>
          <w:tcPr>
            <w:tcW w:w="583" w:type="pct"/>
            <w:shd w:val="clear" w:color="auto" w:fill="FFFFFF" w:themeFill="background1"/>
            <w:noWrap/>
          </w:tcPr>
          <w:p w14:paraId="661DFB39"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1,2</w:t>
            </w:r>
          </w:p>
        </w:tc>
      </w:tr>
      <w:tr w:rsidR="00CE2F2F" w:rsidRPr="0007074F" w14:paraId="14CF1836"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37584856" w14:textId="77777777" w:rsidR="00CE2F2F" w:rsidRPr="0007074F" w:rsidRDefault="00CE2F2F" w:rsidP="00E0589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Доприноси</w:t>
            </w:r>
          </w:p>
        </w:tc>
        <w:tc>
          <w:tcPr>
            <w:tcW w:w="605" w:type="pct"/>
            <w:shd w:val="clear" w:color="auto" w:fill="FFFFFF" w:themeFill="background1"/>
          </w:tcPr>
          <w:p w14:paraId="50DBE947"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13,4</w:t>
            </w:r>
          </w:p>
        </w:tc>
        <w:tc>
          <w:tcPr>
            <w:tcW w:w="606" w:type="pct"/>
            <w:shd w:val="clear" w:color="auto" w:fill="FFFFFF" w:themeFill="background1"/>
            <w:noWrap/>
          </w:tcPr>
          <w:p w14:paraId="1F912110"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12,9</w:t>
            </w:r>
          </w:p>
        </w:tc>
        <w:tc>
          <w:tcPr>
            <w:tcW w:w="581" w:type="pct"/>
            <w:shd w:val="clear" w:color="auto" w:fill="FFFFFF" w:themeFill="background1"/>
            <w:noWrap/>
          </w:tcPr>
          <w:p w14:paraId="1DAE153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13,2</w:t>
            </w:r>
          </w:p>
        </w:tc>
        <w:tc>
          <w:tcPr>
            <w:tcW w:w="582" w:type="pct"/>
            <w:shd w:val="clear" w:color="auto" w:fill="FFFFFF" w:themeFill="background1"/>
            <w:noWrap/>
          </w:tcPr>
          <w:p w14:paraId="3A71A85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13,4</w:t>
            </w:r>
          </w:p>
        </w:tc>
        <w:tc>
          <w:tcPr>
            <w:tcW w:w="583" w:type="pct"/>
            <w:shd w:val="clear" w:color="auto" w:fill="FFFFFF" w:themeFill="background1"/>
            <w:noWrap/>
          </w:tcPr>
          <w:p w14:paraId="3554E48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13,7</w:t>
            </w:r>
          </w:p>
        </w:tc>
      </w:tr>
      <w:tr w:rsidR="00CE2F2F" w:rsidRPr="0007074F" w14:paraId="4553CF1A" w14:textId="77777777" w:rsidTr="00E05893">
        <w:trPr>
          <w:trHeight w:val="253"/>
        </w:trPr>
        <w:tc>
          <w:tcPr>
            <w:tcW w:w="2043" w:type="pct"/>
            <w:shd w:val="clear" w:color="auto" w:fill="FFFFFF" w:themeFill="background1"/>
          </w:tcPr>
          <w:p w14:paraId="67E07FF2" w14:textId="77777777" w:rsidR="00CE2F2F" w:rsidRPr="0007074F" w:rsidRDefault="00CE2F2F"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 xml:space="preserve"> Непорески приходи</w:t>
            </w:r>
          </w:p>
        </w:tc>
        <w:tc>
          <w:tcPr>
            <w:tcW w:w="605" w:type="pct"/>
            <w:shd w:val="clear" w:color="auto" w:fill="FFFFFF" w:themeFill="background1"/>
          </w:tcPr>
          <w:p w14:paraId="2A9946D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4,6</w:t>
            </w:r>
          </w:p>
        </w:tc>
        <w:tc>
          <w:tcPr>
            <w:tcW w:w="606" w:type="pct"/>
            <w:shd w:val="clear" w:color="auto" w:fill="FFFFFF" w:themeFill="background1"/>
            <w:noWrap/>
          </w:tcPr>
          <w:p w14:paraId="553ED34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w:t>
            </w:r>
          </w:p>
        </w:tc>
        <w:tc>
          <w:tcPr>
            <w:tcW w:w="581" w:type="pct"/>
            <w:shd w:val="clear" w:color="auto" w:fill="FFFFFF" w:themeFill="background1"/>
            <w:noWrap/>
          </w:tcPr>
          <w:p w14:paraId="663D628D"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4,1</w:t>
            </w:r>
          </w:p>
        </w:tc>
        <w:tc>
          <w:tcPr>
            <w:tcW w:w="582" w:type="pct"/>
            <w:shd w:val="clear" w:color="auto" w:fill="FFFFFF" w:themeFill="background1"/>
            <w:noWrap/>
          </w:tcPr>
          <w:p w14:paraId="5BFAA7CB"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3,9</w:t>
            </w:r>
          </w:p>
        </w:tc>
        <w:tc>
          <w:tcPr>
            <w:tcW w:w="583" w:type="pct"/>
            <w:shd w:val="clear" w:color="auto" w:fill="FFFFFF" w:themeFill="background1"/>
            <w:noWrap/>
          </w:tcPr>
          <w:p w14:paraId="3A03F827"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3,8</w:t>
            </w:r>
          </w:p>
        </w:tc>
      </w:tr>
      <w:tr w:rsidR="00CE2F2F" w:rsidRPr="0007074F" w14:paraId="28504C58" w14:textId="77777777" w:rsidTr="00E05893">
        <w:trPr>
          <w:cnfStyle w:val="000000100000" w:firstRow="0" w:lastRow="0" w:firstColumn="0" w:lastColumn="0" w:oddVBand="0" w:evenVBand="0" w:oddHBand="1" w:evenHBand="0" w:firstRowFirstColumn="0" w:firstRowLastColumn="0" w:lastRowFirstColumn="0" w:lastRowLastColumn="0"/>
          <w:trHeight w:val="253"/>
        </w:trPr>
        <w:tc>
          <w:tcPr>
            <w:tcW w:w="2043" w:type="pct"/>
            <w:tcBorders>
              <w:bottom w:val="single" w:sz="4" w:space="0" w:color="002060"/>
            </w:tcBorders>
            <w:shd w:val="clear" w:color="auto" w:fill="FFFFFF" w:themeFill="background1"/>
          </w:tcPr>
          <w:p w14:paraId="3B3CF79B" w14:textId="77777777" w:rsidR="00CE2F2F" w:rsidRPr="0007074F" w:rsidRDefault="00CE2F2F" w:rsidP="00E0589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Донације</w:t>
            </w:r>
          </w:p>
        </w:tc>
        <w:tc>
          <w:tcPr>
            <w:tcW w:w="605" w:type="pct"/>
            <w:tcBorders>
              <w:bottom w:val="single" w:sz="4" w:space="0" w:color="002060"/>
            </w:tcBorders>
            <w:shd w:val="clear" w:color="auto" w:fill="FFFFFF" w:themeFill="background1"/>
          </w:tcPr>
          <w:p w14:paraId="2CF3C30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0,2</w:t>
            </w:r>
          </w:p>
        </w:tc>
        <w:tc>
          <w:tcPr>
            <w:tcW w:w="606" w:type="pct"/>
            <w:tcBorders>
              <w:bottom w:val="single" w:sz="4" w:space="0" w:color="002060"/>
            </w:tcBorders>
            <w:shd w:val="clear" w:color="auto" w:fill="FFFFFF" w:themeFill="background1"/>
            <w:noWrap/>
          </w:tcPr>
          <w:p w14:paraId="1E8D0B6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0,7</w:t>
            </w:r>
          </w:p>
        </w:tc>
        <w:tc>
          <w:tcPr>
            <w:tcW w:w="581" w:type="pct"/>
            <w:tcBorders>
              <w:bottom w:val="single" w:sz="4" w:space="0" w:color="002060"/>
            </w:tcBorders>
            <w:shd w:val="clear" w:color="auto" w:fill="FFFFFF" w:themeFill="background1"/>
            <w:noWrap/>
          </w:tcPr>
          <w:p w14:paraId="23FC3D6D"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0,4</w:t>
            </w:r>
          </w:p>
        </w:tc>
        <w:tc>
          <w:tcPr>
            <w:tcW w:w="582" w:type="pct"/>
            <w:tcBorders>
              <w:bottom w:val="single" w:sz="4" w:space="0" w:color="002060"/>
            </w:tcBorders>
            <w:shd w:val="clear" w:color="auto" w:fill="FFFFFF" w:themeFill="background1"/>
            <w:noWrap/>
          </w:tcPr>
          <w:p w14:paraId="1ECD367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0,4</w:t>
            </w:r>
          </w:p>
        </w:tc>
        <w:tc>
          <w:tcPr>
            <w:tcW w:w="583" w:type="pct"/>
            <w:tcBorders>
              <w:bottom w:val="single" w:sz="4" w:space="0" w:color="002060"/>
            </w:tcBorders>
            <w:shd w:val="clear" w:color="auto" w:fill="FFFFFF" w:themeFill="background1"/>
            <w:noWrap/>
          </w:tcPr>
          <w:p w14:paraId="41B06CF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0,3</w:t>
            </w:r>
          </w:p>
        </w:tc>
      </w:tr>
    </w:tbl>
    <w:p w14:paraId="2B8D89F0" w14:textId="77777777" w:rsidR="00CE2F2F" w:rsidRPr="0007074F" w:rsidRDefault="00CE2F2F" w:rsidP="00953528">
      <w:pPr>
        <w:spacing w:before="40" w:after="120" w:line="276" w:lineRule="auto"/>
        <w:jc w:val="left"/>
        <w:rPr>
          <w:rFonts w:cstheme="minorHAnsi"/>
          <w:sz w:val="16"/>
          <w:szCs w:val="20"/>
          <w:lang w:val="sr-Cyrl-CS"/>
        </w:rPr>
        <w:sectPr w:rsidR="00CE2F2F" w:rsidRPr="0007074F" w:rsidSect="00E05893">
          <w:type w:val="continuous"/>
          <w:pgSz w:w="12240" w:h="15840" w:code="1"/>
          <w:pgMar w:top="1440" w:right="1440" w:bottom="1440" w:left="1440" w:header="720" w:footer="720" w:gutter="0"/>
          <w:cols w:space="720"/>
          <w:docGrid w:linePitch="360"/>
        </w:sectPr>
      </w:pPr>
      <w:r w:rsidRPr="0007074F">
        <w:rPr>
          <w:rFonts w:eastAsia="Calibri" w:cstheme="minorHAnsi"/>
          <w:bCs/>
          <w:sz w:val="16"/>
          <w:szCs w:val="20"/>
          <w:lang w:val="sr-Cyrl-CS" w:eastAsia="ja-JP"/>
        </w:rPr>
        <w:t xml:space="preserve">Извор: </w:t>
      </w:r>
      <w:r w:rsidRPr="0007074F">
        <w:rPr>
          <w:rFonts w:cstheme="minorHAnsi"/>
          <w:sz w:val="16"/>
          <w:szCs w:val="20"/>
          <w:lang w:val="sr-Cyrl-CS"/>
        </w:rPr>
        <w:t>Министарство финансија</w:t>
      </w:r>
    </w:p>
    <w:p w14:paraId="6FF177FA" w14:textId="77777777" w:rsidR="00CE2F2F" w:rsidRPr="0007074F" w:rsidRDefault="00CE2F2F" w:rsidP="00B51E6D">
      <w:pPr>
        <w:spacing w:before="40" w:after="120" w:line="276" w:lineRule="auto"/>
        <w:rPr>
          <w:rFonts w:eastAsia="MS PGothic" w:cstheme="minorHAnsi"/>
          <w:szCs w:val="20"/>
          <w:lang w:val="sr-Cyrl-CS" w:eastAsia="ja-JP"/>
        </w:rPr>
      </w:pPr>
      <w:r w:rsidRPr="0007074F">
        <w:rPr>
          <w:rFonts w:eastAsia="MS PGothic" w:cstheme="minorHAnsi"/>
          <w:szCs w:val="20"/>
          <w:lang w:val="sr-Cyrl-CS" w:eastAsia="ja-JP"/>
        </w:rPr>
        <w:t>Благо опадајући тренд прихода у смислу учешћа у БДП је очекиван с обзиром на пројектовану структуру средњорочног раста српске привреде. Наплата одложених обавеза из 2020. године је повећала ниво прихода изнад трендног у 2021. и 2022. години, али, такође, појачава ефекат пада учешћа прихода у БДП у 2023. години. Пројекција пореских прихода подразумева одржавање постојећег степена наплате.</w:t>
      </w:r>
    </w:p>
    <w:p w14:paraId="1D94B014" w14:textId="77777777" w:rsidR="00CE2F2F" w:rsidRPr="0007074F" w:rsidRDefault="00CE2F2F" w:rsidP="00B51E6D">
      <w:pPr>
        <w:spacing w:before="40" w:after="120" w:line="276" w:lineRule="auto"/>
        <w:rPr>
          <w:rFonts w:eastAsia="MS PGothic" w:cstheme="minorHAnsi"/>
          <w:szCs w:val="20"/>
          <w:lang w:val="sr-Cyrl-CS" w:eastAsia="ja-JP"/>
        </w:rPr>
      </w:pPr>
      <w:r w:rsidRPr="0007074F">
        <w:rPr>
          <w:rFonts w:eastAsia="MS PGothic" w:cstheme="minorHAnsi"/>
          <w:szCs w:val="20"/>
          <w:lang w:val="sr-Cyrl-CS" w:eastAsia="ja-JP"/>
        </w:rPr>
        <w:t>У 2023. години смањени су доприноси за пензијско и инвалидско осигурање на терет послодавца за 1 п.п. Ефекат ове мере се процењује на 30 млрд динара. Додатно, повећање неопорезивог цензуса за 12,5% има ефекат на мање приходе у износу од 11 млрд динара.</w:t>
      </w:r>
    </w:p>
    <w:p w14:paraId="6C33A549" w14:textId="59FC40C0"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С обзиром да се очекује бржи раст ове две компоненте од номиналног раста БДП приметан је благи раст учешћа пореза на доходак у БДП. На додатни раст</w:t>
      </w:r>
      <w:r w:rsidR="00BD4A38" w:rsidRPr="0007074F">
        <w:rPr>
          <w:rFonts w:eastAsia="MS PGothic" w:cstheme="minorHAnsi"/>
          <w:szCs w:val="20"/>
          <w:lang w:val="sr-Cyrl-CS" w:eastAsia="ja-JP"/>
        </w:rPr>
        <w:t xml:space="preserve"> ових прихода током 2022. године</w:t>
      </w:r>
      <w:r w:rsidRPr="0007074F">
        <w:rPr>
          <w:rFonts w:eastAsia="MS PGothic" w:cstheme="minorHAnsi"/>
          <w:szCs w:val="20"/>
          <w:lang w:val="sr-Cyrl-CS" w:eastAsia="ja-JP"/>
        </w:rPr>
        <w:t xml:space="preserve"> (као и у 2021.</w:t>
      </w:r>
      <w:r w:rsidR="00BD4A38" w:rsidRPr="0007074F">
        <w:rPr>
          <w:rFonts w:eastAsia="MS PGothic" w:cstheme="minorHAnsi"/>
          <w:szCs w:val="20"/>
          <w:lang w:val="sr-Cyrl-CS" w:eastAsia="ja-JP"/>
        </w:rPr>
        <w:t xml:space="preserve"> години</w:t>
      </w:r>
      <w:r w:rsidRPr="0007074F">
        <w:rPr>
          <w:rFonts w:eastAsia="MS PGothic" w:cstheme="minorHAnsi"/>
          <w:szCs w:val="20"/>
          <w:lang w:val="sr-Cyrl-CS" w:eastAsia="ja-JP"/>
        </w:rPr>
        <w:t>) утицала је и наплата дела одложеног пореза на зараде из 2020. године у склопу пакета мера у борби против пандемије.</w:t>
      </w:r>
    </w:p>
    <w:p w14:paraId="1458E04D" w14:textId="4F09793A"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Остали облици пореза на доходак (порез на дивиденде, порез на приходе од камата, годишњи порез на доходак, итд.) ће расти спорије, то јест у складу са кретањем опште економске активности.</w:t>
      </w:r>
    </w:p>
    <w:p w14:paraId="30A1AA56"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lastRenderedPageBreak/>
        <w:t>Код пореза на зараде кључна је борба против сиве економије, с обзиром на знатан број непријављених радника и исплате зарада „на руке”. У последњим годинама интензивиране су контроле и појачане санкције што је дало резултате у сузбијању сиве економије у области рада и запошљавања, али је значајно да се на овом пољу настави са континуираним ангажманом и у наредном периоду.</w:t>
      </w:r>
    </w:p>
    <w:p w14:paraId="45108035" w14:textId="33ECFA05"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Кретање учешћа доприноса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Након смањења у 2023. години, у односу на период 2021</w:t>
      </w:r>
      <w:r w:rsidR="004F3356" w:rsidRPr="0007074F">
        <w:rPr>
          <w:rFonts w:eastAsia="MS PGothic" w:cstheme="minorHAnsi"/>
          <w:szCs w:val="20"/>
          <w:lang w:val="sr-Cyrl-CS" w:eastAsia="ja-JP"/>
        </w:rPr>
        <w:t>–</w:t>
      </w:r>
      <w:r w:rsidRPr="0007074F">
        <w:rPr>
          <w:rFonts w:eastAsia="MS PGothic" w:cstheme="minorHAnsi"/>
          <w:szCs w:val="20"/>
          <w:lang w:val="sr-Cyrl-CS" w:eastAsia="ja-JP"/>
        </w:rPr>
        <w:t>2022</w:t>
      </w:r>
      <w:r w:rsidR="004F3356" w:rsidRPr="0007074F">
        <w:rPr>
          <w:rFonts w:eastAsia="MS PGothic" w:cstheme="minorHAnsi"/>
          <w:szCs w:val="20"/>
          <w:lang w:val="sr-Cyrl-CS" w:eastAsia="ja-JP"/>
        </w:rPr>
        <w:t>.</w:t>
      </w:r>
      <w:r w:rsidR="00BD4A38" w:rsidRPr="0007074F">
        <w:rPr>
          <w:rFonts w:eastAsia="MS PGothic" w:cstheme="minorHAnsi"/>
          <w:szCs w:val="20"/>
          <w:lang w:val="sr-Cyrl-CS" w:eastAsia="ja-JP"/>
        </w:rPr>
        <w:t xml:space="preserve"> година</w:t>
      </w:r>
      <w:r w:rsidRPr="0007074F">
        <w:rPr>
          <w:rFonts w:eastAsia="MS PGothic" w:cstheme="minorHAnsi"/>
          <w:szCs w:val="20"/>
          <w:lang w:val="sr-Cyrl-CS" w:eastAsia="ja-JP"/>
        </w:rPr>
        <w:t xml:space="preserve"> у коме су наплаћиване заостале обавезе по основу одложених доприноса из 2020. године</w:t>
      </w:r>
      <w:r w:rsidR="00CE6768" w:rsidRPr="0007074F">
        <w:rPr>
          <w:rFonts w:eastAsia="MS PGothic" w:cstheme="minorHAnsi"/>
          <w:szCs w:val="20"/>
          <w:lang w:val="sr-Cyrl-CS" w:eastAsia="ja-JP"/>
        </w:rPr>
        <w:t>, предвиђа се постепени раст</w:t>
      </w:r>
      <w:r w:rsidRPr="0007074F">
        <w:rPr>
          <w:rFonts w:eastAsia="MS PGothic" w:cstheme="minorHAnsi"/>
          <w:szCs w:val="20"/>
          <w:lang w:val="sr-Cyrl-CS" w:eastAsia="ja-JP"/>
        </w:rPr>
        <w:t xml:space="preserve"> нивоа доприноса у односу на БДП.</w:t>
      </w:r>
    </w:p>
    <w:p w14:paraId="2513385D"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Приходи од пореза на добит правних лица у периоду 2023–2026. године зависиће од путање привредног раста, релативне стабилности курса динара и опште профитабилности привреде. Процена прихода по овом основу је неизвесна како због економских фактора, тако и због могућности коришћења пореског кредита или повраћаја, као и разлика у рачуноводственим и пореским билансима. Раст профитабилности привреде у 2021. години допринео је значајном скоку прихода од пореза на добит у 2022. години с обзиром да се порез на добит по коначном обрачуну уплаћује у наредној години. Очекује се да се у периоду до 2026. године наплата пореза на добит стабилизује у складу са кретањем БДП.</w:t>
      </w:r>
    </w:p>
    <w:p w14:paraId="6D6609B8"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Главна детерминанта кретања ПДВ је домаћа тражња вођена расположивим дохотком становништва. Расположиви доходак као највећа детерминанта потрошње зависи од кретања зарада у јавном сектору, пензија, социјалне помоћи, кретања масе зарада у приватном сектору и осталих облика доходака, укључујући и дознаке, као и од динамике кредитне активности банака према становништву.</w:t>
      </w:r>
    </w:p>
    <w:p w14:paraId="7E8FD20C"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 xml:space="preserve">Као и код пореза на доходак грађана, ризици за остварење пројекције ПДВ у наредном периоду, поред опште неизвесности међународног </w:t>
      </w:r>
      <w:r w:rsidRPr="0007074F">
        <w:rPr>
          <w:rFonts w:eastAsia="MS PGothic" w:cstheme="minorHAnsi"/>
          <w:szCs w:val="20"/>
          <w:lang w:val="sr-Cyrl-CS" w:eastAsia="ja-JP"/>
        </w:rPr>
        <w:t>економског окружења, односе се и на кретање зарада у приватном сектору, раст привредне активности, као и на степен сиве економије, односно ефикасност у њеном смањењу.</w:t>
      </w:r>
    </w:p>
    <w:p w14:paraId="6E7A2073"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Резултати ефикасније наплате и контроле пореских обвезника су били евидентни у претходном периоду и очекује се да ће тај тренд бити настављен и даље, с тим што ефекти борбе против сиве економије нису експлицитно укључени у средњорочну пројекцију јавних прихода. Повећање степена ПДВ наплате у смислу спровођења независних антиевазионих мера у области ПДВ дало је резултате у протеклом периоду. У овом сегменту простор за даља побољшања створиће се јачањем и модернизацијом пореске администрације.</w:t>
      </w:r>
    </w:p>
    <w:p w14:paraId="5E3BD2FD" w14:textId="4132F489"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Пројекција прихода од акциза сачињена је на основу важеће акцизне политике и пројектоване потрошње акцизних производа. У претходном</w:t>
      </w:r>
      <w:r w:rsidR="00177D0A" w:rsidRPr="0007074F">
        <w:rPr>
          <w:rFonts w:eastAsia="MS PGothic" w:cstheme="minorHAnsi"/>
          <w:szCs w:val="20"/>
          <w:lang w:val="sr-Cyrl-CS" w:eastAsia="ja-JP"/>
        </w:rPr>
        <w:t xml:space="preserve"> периоду од марта 2022. године </w:t>
      </w:r>
      <w:r w:rsidRPr="0007074F">
        <w:rPr>
          <w:rFonts w:eastAsia="MS PGothic" w:cstheme="minorHAnsi"/>
          <w:szCs w:val="20"/>
          <w:lang w:val="sr-Cyrl-CS" w:eastAsia="ja-JP"/>
        </w:rPr>
        <w:t>д</w:t>
      </w:r>
      <w:r w:rsidR="00177D0A" w:rsidRPr="0007074F">
        <w:rPr>
          <w:rFonts w:eastAsia="MS PGothic" w:cstheme="minorHAnsi"/>
          <w:szCs w:val="20"/>
          <w:lang w:val="sr-Cyrl-CS" w:eastAsia="ja-JP"/>
        </w:rPr>
        <w:t>о</w:t>
      </w:r>
      <w:r w:rsidRPr="0007074F">
        <w:rPr>
          <w:rFonts w:eastAsia="MS PGothic" w:cstheme="minorHAnsi"/>
          <w:szCs w:val="20"/>
          <w:lang w:val="sr-Cyrl-CS" w:eastAsia="ja-JP"/>
        </w:rPr>
        <w:t xml:space="preserve"> 30. априла 2023. године, Влада </w:t>
      </w:r>
      <w:r w:rsidR="00BD4A38" w:rsidRPr="0007074F">
        <w:rPr>
          <w:rFonts w:eastAsia="MS PGothic" w:cstheme="minorHAnsi"/>
          <w:szCs w:val="20"/>
          <w:lang w:val="sr-Cyrl-CS" w:eastAsia="ja-JP"/>
        </w:rPr>
        <w:t>је</w:t>
      </w:r>
      <w:r w:rsidRPr="0007074F">
        <w:rPr>
          <w:rFonts w:eastAsia="MS PGothic" w:cstheme="minorHAnsi"/>
          <w:szCs w:val="20"/>
          <w:lang w:val="sr-Cyrl-CS" w:eastAsia="ja-JP"/>
        </w:rPr>
        <w:t xml:space="preserve"> због повећања произвођачких цена деривата нафте услед раста цене сирове нафте на светском тржишту, а у циљу очувања стабилности и стандарда грађана и неометаног снабдевања тржишта дериватима нафте, у више наврата вршила привремено смањење износа акцизе на деривате нафте (безоловни и оловни бензин и гасна уља – дизел гориво) тако што је последње важеће усклађене износе акцизе на наведене деривате нафте смањивала од 20% до 5%, у зависности од периода примене. Истовремено, током</w:t>
      </w:r>
      <w:r w:rsidR="004E707B" w:rsidRPr="0007074F">
        <w:rPr>
          <w:rFonts w:eastAsia="MS PGothic" w:cstheme="minorHAnsi"/>
          <w:szCs w:val="20"/>
          <w:lang w:val="sr-Cyrl-CS" w:eastAsia="ja-JP"/>
        </w:rPr>
        <w:t xml:space="preserve"> 2023. године</w:t>
      </w:r>
      <w:r w:rsidRPr="0007074F">
        <w:rPr>
          <w:rFonts w:eastAsia="MS PGothic" w:cstheme="minorHAnsi"/>
          <w:szCs w:val="20"/>
          <w:lang w:val="sr-Cyrl-CS" w:eastAsia="ja-JP"/>
        </w:rPr>
        <w:t xml:space="preserve"> акцизе нису индексиране растом потрошачких цена у 2022. години, а умањење акциза на деривате нафте важило је до 30. априла 2023. године. Са овим претпоставкама рађена је процена прихода од акциза за 2023. годину. У наредним годинама, услед опрезности, није претпостављен раст потрошње нафтних деривата.</w:t>
      </w:r>
    </w:p>
    <w:p w14:paraId="381A0D73"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У оквиру акцизне политике код дуванских производа очекује се даље постепено усклађивање са директивама ЕУ у складу са средњорочним планом поступног повећавања акцизног оптерећења. Код цигарета оно ће бити усмерено кроз постепено повећање акциза, како би се у прихватљивом временском року достигао ЕУ минимум од 1,8 евра по паклици</w:t>
      </w:r>
      <w:r w:rsidRPr="0007074F">
        <w:rPr>
          <w:lang w:val="sr-Cyrl-CS"/>
        </w:rPr>
        <w:t xml:space="preserve"> </w:t>
      </w:r>
      <w:r w:rsidRPr="0007074F">
        <w:rPr>
          <w:rFonts w:eastAsia="MS PGothic" w:cstheme="minorHAnsi"/>
          <w:szCs w:val="20"/>
          <w:lang w:val="sr-Cyrl-CS" w:eastAsia="ja-JP"/>
        </w:rPr>
        <w:t xml:space="preserve">у динарској </w:t>
      </w:r>
      <w:r w:rsidRPr="0007074F">
        <w:rPr>
          <w:rFonts w:eastAsia="MS PGothic" w:cstheme="minorHAnsi"/>
          <w:szCs w:val="20"/>
          <w:lang w:val="sr-Cyrl-CS" w:eastAsia="ja-JP"/>
        </w:rPr>
        <w:lastRenderedPageBreak/>
        <w:t>противвредности прерачунато по званичном средњем курсу НБС. У наредном периоду је за потребе пројекције прихода од акциза, услед опрезности, предвиђен даљи природан пад тржишта дуванских производа, у просеку од око 3% годишње.</w:t>
      </w:r>
    </w:p>
    <w:p w14:paraId="5A82D0F0"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Приходи од акциза на алкохолна пића, кафу и електричну енергију су пројектовани у складу са постојећом структуром потрошње.</w:t>
      </w:r>
    </w:p>
    <w:p w14:paraId="6796710F"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Приходи од царина ће се стабилизовати на нивоу од 1,1% БДП у наредном периоду. Пројекција наплате прихода од царина рађена је на бази пројектованог кретања увоза, девизног курса и потрошње.</w:t>
      </w:r>
    </w:p>
    <w:p w14:paraId="117C3F8B" w14:textId="77777777"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Пројектује се стабилизација учешћа у БДП осталих пореских прихода. Најзначајнији порески приход у овој категорији је порез на имовину чије учешће износи око 70%. Номинално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у складу са кретањем инфлације, будући да је инфлаторна компонента уграђена у значајан део ових пореских облика.</w:t>
      </w:r>
    </w:p>
    <w:p w14:paraId="669E6AF8" w14:textId="7AB62BE6"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 xml:space="preserve">Предвиђено је смањење учешћа непореских прихода у БДП, са 4,6% колико је приходовано у 2022. години на 3,8% колико се очекује да ће износити у 2026. години. Разлог за смањење пројектованог учешћа непореских прихода у БДП је искључивање из базне </w:t>
      </w:r>
      <w:r w:rsidRPr="0007074F">
        <w:rPr>
          <w:rFonts w:eastAsia="MS PGothic" w:cstheme="minorHAnsi"/>
          <w:szCs w:val="20"/>
          <w:shd w:val="clear" w:color="auto" w:fill="FFFFFF" w:themeFill="background1"/>
          <w:lang w:val="sr-Cyrl-CS" w:eastAsia="ja-JP"/>
        </w:rPr>
        <w:t>2022.</w:t>
      </w:r>
      <w:r w:rsidRPr="0007074F">
        <w:rPr>
          <w:rFonts w:eastAsia="MS PGothic" w:cstheme="minorHAnsi"/>
          <w:szCs w:val="20"/>
          <w:lang w:val="sr-Cyrl-CS" w:eastAsia="ja-JP"/>
        </w:rPr>
        <w:t xml:space="preserve"> године свих оних прихода који се не сматрају структурним тј. трајним, а првенствено се то односи на ванредне категорије непореских прихода. Ванредни непорески приходи су углавном једнократни, у </w:t>
      </w:r>
      <w:r w:rsidRPr="0007074F">
        <w:rPr>
          <w:rFonts w:eastAsia="MS PGothic" w:cstheme="minorHAnsi"/>
          <w:szCs w:val="20"/>
          <w:lang w:val="sr-Cyrl-CS" w:eastAsia="ja-JP"/>
        </w:rPr>
        <w:t>одређеној мери неизвесни, како по питању износа, тако и по питању тренутка уплате. Највећи део ових прихода представљају ванредне уплате добити јавних предузећа и агенција, дивиденде буџета, приходи по основу наплаћених потраживања АОД, емисионе премије, итд. Редовни непорески приходи обухватају различите таксе, накнаде, казне, приходе органа и организација и све остале приходе који се остварују устаљеном динамиком током године. Ов</w:t>
      </w:r>
      <w:r w:rsidR="00BD4A38" w:rsidRPr="0007074F">
        <w:rPr>
          <w:rFonts w:eastAsia="MS PGothic" w:cstheme="minorHAnsi"/>
          <w:szCs w:val="20"/>
          <w:lang w:val="sr-Cyrl-CS" w:eastAsia="ja-JP"/>
        </w:rPr>
        <w:t>ај</w:t>
      </w:r>
      <w:r w:rsidRPr="0007074F">
        <w:rPr>
          <w:rFonts w:eastAsia="MS PGothic" w:cstheme="minorHAnsi"/>
          <w:szCs w:val="20"/>
          <w:lang w:val="sr-Cyrl-CS" w:eastAsia="ja-JP"/>
        </w:rPr>
        <w:t xml:space="preserve"> </w:t>
      </w:r>
      <w:r w:rsidR="00BD4A38" w:rsidRPr="0007074F">
        <w:rPr>
          <w:rFonts w:eastAsia="MS PGothic" w:cstheme="minorHAnsi"/>
          <w:szCs w:val="20"/>
          <w:lang w:val="sr-Cyrl-CS" w:eastAsia="ja-JP"/>
        </w:rPr>
        <w:t xml:space="preserve">тип </w:t>
      </w:r>
      <w:r w:rsidRPr="0007074F">
        <w:rPr>
          <w:rFonts w:eastAsia="MS PGothic" w:cstheme="minorHAnsi"/>
          <w:szCs w:val="20"/>
          <w:lang w:val="sr-Cyrl-CS" w:eastAsia="ja-JP"/>
        </w:rPr>
        <w:t>непорески</w:t>
      </w:r>
      <w:r w:rsidR="00BD4A38" w:rsidRPr="0007074F">
        <w:rPr>
          <w:rFonts w:eastAsia="MS PGothic" w:cstheme="minorHAnsi"/>
          <w:szCs w:val="20"/>
          <w:lang w:val="sr-Cyrl-CS" w:eastAsia="ja-JP"/>
        </w:rPr>
        <w:t>х прихода индексира</w:t>
      </w:r>
      <w:r w:rsidRPr="0007074F">
        <w:rPr>
          <w:rFonts w:eastAsia="MS PGothic" w:cstheme="minorHAnsi"/>
          <w:szCs w:val="20"/>
          <w:lang w:val="sr-Cyrl-CS" w:eastAsia="ja-JP"/>
        </w:rPr>
        <w:t xml:space="preserve"> се са оствареном инфлацијом у </w:t>
      </w:r>
      <w:r w:rsidR="00BD4A38" w:rsidRPr="0007074F">
        <w:rPr>
          <w:rFonts w:eastAsia="MS PGothic" w:cstheme="minorHAnsi"/>
          <w:szCs w:val="20"/>
          <w:lang w:val="sr-Cyrl-CS" w:eastAsia="ja-JP"/>
        </w:rPr>
        <w:t>претходној години, или пак прати</w:t>
      </w:r>
      <w:r w:rsidRPr="0007074F">
        <w:rPr>
          <w:rFonts w:eastAsia="MS PGothic" w:cstheme="minorHAnsi"/>
          <w:szCs w:val="20"/>
          <w:lang w:val="sr-Cyrl-CS" w:eastAsia="ja-JP"/>
        </w:rPr>
        <w:t xml:space="preserve"> промену у вредности </w:t>
      </w:r>
      <w:r w:rsidR="00BD4A38" w:rsidRPr="0007074F">
        <w:rPr>
          <w:rFonts w:eastAsia="MS PGothic" w:cstheme="minorHAnsi"/>
          <w:szCs w:val="20"/>
          <w:lang w:val="sr-Cyrl-CS" w:eastAsia="ja-JP"/>
        </w:rPr>
        <w:t>основице на коју</w:t>
      </w:r>
      <w:r w:rsidRPr="0007074F">
        <w:rPr>
          <w:rFonts w:eastAsia="MS PGothic" w:cstheme="minorHAnsi"/>
          <w:szCs w:val="20"/>
          <w:lang w:val="sr-Cyrl-CS" w:eastAsia="ja-JP"/>
        </w:rPr>
        <w:t xml:space="preserve"> се примењују</w:t>
      </w:r>
      <w:r w:rsidR="00BD4A38" w:rsidRPr="0007074F">
        <w:rPr>
          <w:rFonts w:eastAsia="MS PGothic" w:cstheme="minorHAnsi"/>
          <w:szCs w:val="20"/>
          <w:lang w:val="sr-Cyrl-CS" w:eastAsia="ja-JP"/>
        </w:rPr>
        <w:t>,</w:t>
      </w:r>
      <w:r w:rsidR="00E23737" w:rsidRPr="0007074F">
        <w:rPr>
          <w:rFonts w:eastAsia="MS PGothic" w:cstheme="minorHAnsi"/>
          <w:szCs w:val="20"/>
          <w:lang w:val="sr-Cyrl-CS" w:eastAsia="ja-JP"/>
        </w:rPr>
        <w:t xml:space="preserve"> и услед тога се коригује</w:t>
      </w:r>
      <w:r w:rsidRPr="0007074F">
        <w:rPr>
          <w:rFonts w:eastAsia="MS PGothic" w:cstheme="minorHAnsi"/>
          <w:szCs w:val="20"/>
          <w:lang w:val="sr-Cyrl-CS" w:eastAsia="ja-JP"/>
        </w:rPr>
        <w:t xml:space="preserve"> пројектованом инфлацијом.</w:t>
      </w:r>
    </w:p>
    <w:p w14:paraId="667AA420" w14:textId="0964161B" w:rsidR="00CE2F2F" w:rsidRPr="0007074F" w:rsidRDefault="00CE2F2F" w:rsidP="00953528">
      <w:pPr>
        <w:rPr>
          <w:rFonts w:eastAsia="MS PGothic" w:cstheme="minorHAnsi"/>
          <w:szCs w:val="20"/>
          <w:lang w:val="sr-Cyrl-CS" w:eastAsia="ja-JP"/>
        </w:rPr>
      </w:pPr>
      <w:r w:rsidRPr="0007074F">
        <w:rPr>
          <w:rFonts w:eastAsia="MS PGothic" w:cstheme="minorHAnsi"/>
          <w:szCs w:val="20"/>
          <w:lang w:val="sr-Cyrl-CS" w:eastAsia="ja-JP"/>
        </w:rPr>
        <w:t>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основу донација укључена су и средства по основу секторске буџетске подршке ЕУ. У 2023. години, изузетно, укупан прилив донација по основу помоћи за ублажавање енергетске кризе од ЕУ износиће 18,4 млрд динара. Приходи по основу донација су неутрални у односу на резултат, с обзиром да су једнаки расходима по овом основу.</w:t>
      </w:r>
    </w:p>
    <w:p w14:paraId="09F75F62" w14:textId="5929CA50" w:rsidR="00CE2F2F" w:rsidRPr="0007074F" w:rsidRDefault="00CE2F2F" w:rsidP="00E05893">
      <w:pPr>
        <w:spacing w:after="400"/>
        <w:rPr>
          <w:rFonts w:eastAsia="MS PGothic" w:cstheme="minorHAnsi"/>
          <w:szCs w:val="20"/>
          <w:lang w:val="sr-Cyrl-CS" w:eastAsia="ja-JP"/>
        </w:rPr>
      </w:pPr>
      <w:r w:rsidRPr="0007074F">
        <w:rPr>
          <w:rFonts w:eastAsia="MS PGothic" w:cstheme="minorHAnsi"/>
          <w:szCs w:val="20"/>
          <w:lang w:val="sr-Cyrl-CS" w:eastAsia="ja-JP"/>
        </w:rPr>
        <w:t xml:space="preserve">Одговорном фискалном политиком у комбинацији са добрим макроекономским перформансама у протеклом периоду обезбеђено је релаксирање политике плата и пензија и значајно повећање капиталних инвестиција као битне компоненте развоја привреде. Посебна пажња је посвећена унапређењу ефикасности реализације капиталних инвестиција државе. Социјална компонента буџета је побољшана бољим таргетирањем програма социјалне помоћи и већим издвајањем за функције здравства и образовања. Дефинисан је и начин индексације пензија. Плате и пензије заједно чине преко </w:t>
      </w:r>
      <w:r w:rsidRPr="0007074F">
        <w:rPr>
          <w:rFonts w:eastAsia="MS PGothic" w:cstheme="minorHAnsi"/>
          <w:szCs w:val="20"/>
          <w:shd w:val="clear" w:color="auto" w:fill="FFFFFF" w:themeFill="background1"/>
          <w:lang w:val="sr-Cyrl-CS" w:eastAsia="ja-JP"/>
        </w:rPr>
        <w:t>40%</w:t>
      </w:r>
      <w:r w:rsidRPr="0007074F">
        <w:rPr>
          <w:rFonts w:eastAsia="MS PGothic" w:cstheme="minorHAnsi"/>
          <w:szCs w:val="20"/>
          <w:lang w:val="sr-Cyrl-CS" w:eastAsia="ja-JP"/>
        </w:rPr>
        <w:t xml:space="preserve"> расхода на нивоу </w:t>
      </w:r>
      <w:r w:rsidR="00332897" w:rsidRPr="0007074F">
        <w:rPr>
          <w:rFonts w:eastAsia="MS PGothic" w:cstheme="minorHAnsi"/>
          <w:szCs w:val="20"/>
          <w:lang w:val="sr-Cyrl-CS" w:eastAsia="ja-JP"/>
        </w:rPr>
        <w:t xml:space="preserve">сектора </w:t>
      </w:r>
      <w:r w:rsidRPr="0007074F">
        <w:rPr>
          <w:rFonts w:eastAsia="MS PGothic" w:cstheme="minorHAnsi"/>
          <w:szCs w:val="20"/>
          <w:lang w:val="sr-Cyrl-CS" w:eastAsia="ja-JP"/>
        </w:rPr>
        <w:t>државе и њихова стабилизација је од пресудног значаја за одрживост јавних финансија.</w:t>
      </w:r>
    </w:p>
    <w:p w14:paraId="7212DA76" w14:textId="77777777" w:rsidR="00CE2F2F" w:rsidRPr="0007074F" w:rsidRDefault="00CE2F2F" w:rsidP="00953528">
      <w:pPr>
        <w:rPr>
          <w:rFonts w:eastAsia="MS PGothic" w:cstheme="minorHAnsi"/>
          <w:szCs w:val="20"/>
          <w:lang w:val="sr-Cyrl-CS" w:eastAsia="ja-JP"/>
        </w:rPr>
        <w:sectPr w:rsidR="00CE2F2F" w:rsidRPr="0007074F" w:rsidSect="00E05893">
          <w:type w:val="continuous"/>
          <w:pgSz w:w="12240" w:h="15840" w:code="1"/>
          <w:pgMar w:top="1440" w:right="1440" w:bottom="1440" w:left="1440" w:header="720" w:footer="720" w:gutter="0"/>
          <w:cols w:num="2" w:space="720"/>
          <w:docGrid w:linePitch="360"/>
        </w:sectPr>
      </w:pPr>
    </w:p>
    <w:p w14:paraId="5853D2FB" w14:textId="77777777" w:rsidR="00CE2F2F" w:rsidRPr="0007074F" w:rsidRDefault="00CE2F2F">
      <w:pPr>
        <w:jc w:val="left"/>
        <w:rPr>
          <w:rFonts w:eastAsia="MS PGothic" w:cstheme="minorHAnsi"/>
          <w:b/>
          <w:color w:val="002060"/>
          <w:szCs w:val="20"/>
          <w:lang w:val="sr-Cyrl-CS" w:eastAsia="ja-JP"/>
        </w:rPr>
      </w:pPr>
      <w:r w:rsidRPr="0007074F">
        <w:rPr>
          <w:rFonts w:eastAsia="MS PGothic" w:cstheme="minorHAnsi"/>
          <w:b/>
          <w:color w:val="002060"/>
          <w:szCs w:val="20"/>
          <w:lang w:val="sr-Cyrl-CS" w:eastAsia="ja-JP"/>
        </w:rPr>
        <w:br w:type="page"/>
      </w:r>
    </w:p>
    <w:p w14:paraId="22D1D99A" w14:textId="77777777" w:rsidR="00CE2F2F" w:rsidRPr="0007074F" w:rsidRDefault="00CE2F2F" w:rsidP="005E54B2">
      <w:pPr>
        <w:keepNext/>
        <w:spacing w:after="120" w:line="276" w:lineRule="auto"/>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lastRenderedPageBreak/>
        <w:t>Табела 10. Укупни расходи у периоду 2022–2026. године, % БДП</w:t>
      </w:r>
    </w:p>
    <w:tbl>
      <w:tblPr>
        <w:tblStyle w:val="LightShading-Accent1221"/>
        <w:tblW w:w="4952" w:type="pct"/>
        <w:tblLook w:val="0420" w:firstRow="1" w:lastRow="0" w:firstColumn="0" w:lastColumn="0" w:noHBand="0" w:noVBand="1"/>
      </w:tblPr>
      <w:tblGrid>
        <w:gridCol w:w="3647"/>
        <w:gridCol w:w="1194"/>
        <w:gridCol w:w="1194"/>
        <w:gridCol w:w="1077"/>
        <w:gridCol w:w="1077"/>
        <w:gridCol w:w="1081"/>
      </w:tblGrid>
      <w:tr w:rsidR="00CE2F2F" w:rsidRPr="0007074F" w14:paraId="1E65C8F3" w14:textId="77777777" w:rsidTr="001940DA">
        <w:trPr>
          <w:cnfStyle w:val="100000000000" w:firstRow="1" w:lastRow="0" w:firstColumn="0" w:lastColumn="0" w:oddVBand="0" w:evenVBand="0" w:oddHBand="0" w:evenHBand="0" w:firstRowFirstColumn="0" w:firstRowLastColumn="0" w:lastRowFirstColumn="0" w:lastRowLastColumn="0"/>
          <w:trHeight w:val="49"/>
        </w:trPr>
        <w:tc>
          <w:tcPr>
            <w:tcW w:w="1967" w:type="pct"/>
            <w:tcBorders>
              <w:top w:val="single" w:sz="4" w:space="0" w:color="002060"/>
              <w:bottom w:val="single" w:sz="4" w:space="0" w:color="002060"/>
            </w:tcBorders>
            <w:noWrap/>
            <w:vAlign w:val="center"/>
          </w:tcPr>
          <w:p w14:paraId="6795AA6E" w14:textId="77777777" w:rsidR="00CE2F2F" w:rsidRPr="0007074F" w:rsidRDefault="00CE2F2F" w:rsidP="00E05893">
            <w:pPr>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CS"/>
              </w:rPr>
            </w:pPr>
            <w:r w:rsidRPr="0007074F">
              <w:rPr>
                <w:rFonts w:asciiTheme="minorHAnsi" w:hAnsiTheme="minorHAnsi" w:cstheme="minorHAnsi"/>
                <w:b w:val="0"/>
                <w:color w:val="002060"/>
                <w:sz w:val="18"/>
                <w:lang w:val="sr-Cyrl-CS"/>
              </w:rPr>
              <w:t>Опис</w:t>
            </w:r>
          </w:p>
        </w:tc>
        <w:tc>
          <w:tcPr>
            <w:tcW w:w="644" w:type="pct"/>
            <w:tcBorders>
              <w:top w:val="single" w:sz="4" w:space="0" w:color="002060"/>
              <w:bottom w:val="single" w:sz="4" w:space="0" w:color="002060"/>
            </w:tcBorders>
            <w:vAlign w:val="center"/>
          </w:tcPr>
          <w:p w14:paraId="73B834B8" w14:textId="77777777" w:rsidR="00CE2F2F" w:rsidRPr="0007074F" w:rsidRDefault="00CE2F2F"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CS"/>
              </w:rPr>
            </w:pPr>
            <w:r w:rsidRPr="0007074F">
              <w:rPr>
                <w:rFonts w:asciiTheme="minorHAnsi" w:hAnsiTheme="minorHAnsi" w:cstheme="minorHAnsi"/>
                <w:b w:val="0"/>
                <w:color w:val="002060"/>
                <w:sz w:val="18"/>
                <w:lang w:val="sr-Cyrl-CS"/>
              </w:rPr>
              <w:t>Извршење</w:t>
            </w:r>
          </w:p>
        </w:tc>
        <w:tc>
          <w:tcPr>
            <w:tcW w:w="644" w:type="pct"/>
            <w:tcBorders>
              <w:top w:val="single" w:sz="4" w:space="0" w:color="002060"/>
              <w:bottom w:val="single" w:sz="4" w:space="0" w:color="002060"/>
            </w:tcBorders>
            <w:vAlign w:val="center"/>
          </w:tcPr>
          <w:p w14:paraId="7CCB7339" w14:textId="77777777" w:rsidR="00CE2F2F" w:rsidRPr="0007074F" w:rsidRDefault="00CE2F2F"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CS"/>
              </w:rPr>
            </w:pPr>
            <w:r w:rsidRPr="0007074F">
              <w:rPr>
                <w:rFonts w:asciiTheme="minorHAnsi" w:hAnsiTheme="minorHAnsi" w:cstheme="minorHAnsi"/>
                <w:b w:val="0"/>
                <w:color w:val="002060"/>
                <w:sz w:val="18"/>
                <w:lang w:val="sr-Cyrl-CS"/>
              </w:rPr>
              <w:t>Процена</w:t>
            </w:r>
          </w:p>
        </w:tc>
        <w:tc>
          <w:tcPr>
            <w:tcW w:w="1745" w:type="pct"/>
            <w:gridSpan w:val="3"/>
            <w:tcBorders>
              <w:top w:val="single" w:sz="4" w:space="0" w:color="002060"/>
              <w:bottom w:val="single" w:sz="4" w:space="0" w:color="002060"/>
            </w:tcBorders>
            <w:vAlign w:val="center"/>
          </w:tcPr>
          <w:p w14:paraId="24103FA1" w14:textId="77777777" w:rsidR="00CE2F2F" w:rsidRPr="0007074F" w:rsidRDefault="00CE2F2F" w:rsidP="00C130D2">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CS"/>
              </w:rPr>
            </w:pPr>
            <w:r w:rsidRPr="0007074F">
              <w:rPr>
                <w:rFonts w:asciiTheme="minorHAnsi" w:hAnsiTheme="minorHAnsi" w:cstheme="minorHAnsi"/>
                <w:b w:val="0"/>
                <w:color w:val="002060"/>
                <w:sz w:val="18"/>
                <w:lang w:val="sr-Cyrl-CS"/>
              </w:rPr>
              <w:t>Пројекција</w:t>
            </w:r>
          </w:p>
        </w:tc>
      </w:tr>
      <w:tr w:rsidR="00CE2F2F" w:rsidRPr="0007074F" w14:paraId="636182A5"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tcBorders>
              <w:top w:val="single" w:sz="4" w:space="0" w:color="002060"/>
              <w:bottom w:val="nil"/>
            </w:tcBorders>
            <w:shd w:val="clear" w:color="auto" w:fill="FFFFFF" w:themeFill="background1"/>
            <w:noWrap/>
          </w:tcPr>
          <w:p w14:paraId="41DAD45D" w14:textId="77777777" w:rsidR="00CE2F2F" w:rsidRPr="0007074F" w:rsidRDefault="00CE2F2F"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p>
        </w:tc>
        <w:tc>
          <w:tcPr>
            <w:tcW w:w="644" w:type="pct"/>
            <w:tcBorders>
              <w:top w:val="single" w:sz="4" w:space="0" w:color="002060"/>
              <w:bottom w:val="single" w:sz="4" w:space="0" w:color="002060"/>
            </w:tcBorders>
            <w:shd w:val="clear" w:color="auto" w:fill="FFFFFF" w:themeFill="background1"/>
          </w:tcPr>
          <w:p w14:paraId="0311D592"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2022</w:t>
            </w:r>
          </w:p>
        </w:tc>
        <w:tc>
          <w:tcPr>
            <w:tcW w:w="644" w:type="pct"/>
            <w:tcBorders>
              <w:top w:val="single" w:sz="4" w:space="0" w:color="002060"/>
              <w:bottom w:val="single" w:sz="4" w:space="0" w:color="002060"/>
            </w:tcBorders>
            <w:shd w:val="clear" w:color="auto" w:fill="FFFFFF" w:themeFill="background1"/>
          </w:tcPr>
          <w:p w14:paraId="5E3AF716"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2023</w:t>
            </w:r>
          </w:p>
        </w:tc>
        <w:tc>
          <w:tcPr>
            <w:tcW w:w="581" w:type="pct"/>
            <w:tcBorders>
              <w:top w:val="single" w:sz="4" w:space="0" w:color="002060"/>
              <w:bottom w:val="single" w:sz="4" w:space="0" w:color="002060"/>
            </w:tcBorders>
            <w:shd w:val="clear" w:color="auto" w:fill="FFFFFF" w:themeFill="background1"/>
          </w:tcPr>
          <w:p w14:paraId="1725F7EA"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2024</w:t>
            </w:r>
          </w:p>
        </w:tc>
        <w:tc>
          <w:tcPr>
            <w:tcW w:w="581" w:type="pct"/>
            <w:tcBorders>
              <w:top w:val="single" w:sz="4" w:space="0" w:color="002060"/>
              <w:bottom w:val="single" w:sz="4" w:space="0" w:color="002060"/>
            </w:tcBorders>
            <w:shd w:val="clear" w:color="auto" w:fill="FFFFFF" w:themeFill="background1"/>
          </w:tcPr>
          <w:p w14:paraId="26A48C39"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2025</w:t>
            </w:r>
          </w:p>
        </w:tc>
        <w:tc>
          <w:tcPr>
            <w:tcW w:w="583" w:type="pct"/>
            <w:tcBorders>
              <w:top w:val="single" w:sz="4" w:space="0" w:color="002060"/>
              <w:bottom w:val="single" w:sz="4" w:space="0" w:color="002060"/>
            </w:tcBorders>
            <w:shd w:val="clear" w:color="auto" w:fill="FFFFFF" w:themeFill="background1"/>
          </w:tcPr>
          <w:p w14:paraId="11A433BD" w14:textId="77777777" w:rsidR="00CE2F2F" w:rsidRPr="0007074F" w:rsidRDefault="00CE2F2F" w:rsidP="00E0589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2026</w:t>
            </w:r>
          </w:p>
        </w:tc>
      </w:tr>
      <w:tr w:rsidR="00CE2F2F" w:rsidRPr="0007074F" w14:paraId="3B6BFD0B" w14:textId="77777777" w:rsidTr="00953528">
        <w:trPr>
          <w:trHeight w:val="49"/>
        </w:trPr>
        <w:tc>
          <w:tcPr>
            <w:tcW w:w="1967" w:type="pct"/>
            <w:tcBorders>
              <w:top w:val="nil"/>
            </w:tcBorders>
            <w:shd w:val="clear" w:color="auto" w:fill="FFFFFF" w:themeFill="background1"/>
          </w:tcPr>
          <w:p w14:paraId="2EDDDB7E" w14:textId="77777777" w:rsidR="00CE2F2F" w:rsidRPr="0007074F" w:rsidRDefault="00CE2F2F" w:rsidP="00E05893">
            <w:pPr>
              <w:widowControl w:val="0"/>
              <w:shd w:val="clear" w:color="auto" w:fill="FFFFFF" w:themeFill="background1"/>
              <w:spacing w:line="276" w:lineRule="auto"/>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ЈАВНИ РАСХОДИ</w:t>
            </w:r>
          </w:p>
        </w:tc>
        <w:tc>
          <w:tcPr>
            <w:tcW w:w="644" w:type="pct"/>
            <w:tcBorders>
              <w:top w:val="single" w:sz="4" w:space="0" w:color="002060"/>
            </w:tcBorders>
            <w:shd w:val="clear" w:color="auto" w:fill="FFFFFF" w:themeFill="background1"/>
          </w:tcPr>
          <w:p w14:paraId="103A4BAA"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46,9</w:t>
            </w:r>
          </w:p>
        </w:tc>
        <w:tc>
          <w:tcPr>
            <w:tcW w:w="644" w:type="pct"/>
            <w:tcBorders>
              <w:top w:val="single" w:sz="4" w:space="0" w:color="002060"/>
            </w:tcBorders>
            <w:shd w:val="clear" w:color="auto" w:fill="FFFFFF" w:themeFill="background1"/>
            <w:noWrap/>
          </w:tcPr>
          <w:p w14:paraId="277578E6"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44,9</w:t>
            </w:r>
          </w:p>
        </w:tc>
        <w:tc>
          <w:tcPr>
            <w:tcW w:w="581" w:type="pct"/>
            <w:tcBorders>
              <w:top w:val="single" w:sz="4" w:space="0" w:color="002060"/>
            </w:tcBorders>
            <w:shd w:val="clear" w:color="auto" w:fill="FFFFFF" w:themeFill="background1"/>
            <w:noWrap/>
          </w:tcPr>
          <w:p w14:paraId="60ABD59C"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43,8</w:t>
            </w:r>
          </w:p>
        </w:tc>
        <w:tc>
          <w:tcPr>
            <w:tcW w:w="581" w:type="pct"/>
            <w:tcBorders>
              <w:top w:val="single" w:sz="4" w:space="0" w:color="002060"/>
            </w:tcBorders>
            <w:shd w:val="clear" w:color="auto" w:fill="FFFFFF" w:themeFill="background1"/>
            <w:noWrap/>
          </w:tcPr>
          <w:p w14:paraId="3B2EBB8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43,0</w:t>
            </w:r>
          </w:p>
        </w:tc>
        <w:tc>
          <w:tcPr>
            <w:tcW w:w="583" w:type="pct"/>
            <w:tcBorders>
              <w:top w:val="single" w:sz="4" w:space="0" w:color="002060"/>
            </w:tcBorders>
            <w:shd w:val="clear" w:color="auto" w:fill="FFFFFF" w:themeFill="background1"/>
            <w:noWrap/>
          </w:tcPr>
          <w:p w14:paraId="0ADC2B0B"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42,9</w:t>
            </w:r>
          </w:p>
        </w:tc>
      </w:tr>
      <w:tr w:rsidR="00CE2F2F" w:rsidRPr="0007074F" w14:paraId="0BB51AA5"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38D763BE" w14:textId="77777777" w:rsidR="00CE2F2F" w:rsidRPr="0007074F" w:rsidRDefault="00CE2F2F"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 xml:space="preserve"> Текући расходи</w:t>
            </w:r>
          </w:p>
        </w:tc>
        <w:tc>
          <w:tcPr>
            <w:tcW w:w="644" w:type="pct"/>
            <w:shd w:val="clear" w:color="auto" w:fill="FFFFFF" w:themeFill="background1"/>
          </w:tcPr>
          <w:p w14:paraId="3A1A3435" w14:textId="38CC52D4" w:rsidR="00CE2F2F" w:rsidRPr="0007074F" w:rsidRDefault="005E37A7"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36,</w:t>
            </w:r>
            <w:r w:rsidR="00CE2F2F" w:rsidRPr="0007074F">
              <w:rPr>
                <w:rFonts w:asciiTheme="minorHAnsi" w:hAnsiTheme="minorHAnsi" w:cstheme="minorHAnsi"/>
                <w:color w:val="002060"/>
                <w:sz w:val="18"/>
                <w:szCs w:val="18"/>
                <w:lang w:val="sr-Cyrl-CS"/>
              </w:rPr>
              <w:t>4</w:t>
            </w:r>
          </w:p>
        </w:tc>
        <w:tc>
          <w:tcPr>
            <w:tcW w:w="644" w:type="pct"/>
            <w:shd w:val="clear" w:color="auto" w:fill="FFFFFF" w:themeFill="background1"/>
            <w:noWrap/>
          </w:tcPr>
          <w:p w14:paraId="1A51BA56"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35,8</w:t>
            </w:r>
          </w:p>
        </w:tc>
        <w:tc>
          <w:tcPr>
            <w:tcW w:w="581" w:type="pct"/>
            <w:shd w:val="clear" w:color="auto" w:fill="FFFFFF" w:themeFill="background1"/>
            <w:noWrap/>
          </w:tcPr>
          <w:p w14:paraId="4C6629F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35,9</w:t>
            </w:r>
          </w:p>
        </w:tc>
        <w:tc>
          <w:tcPr>
            <w:tcW w:w="581" w:type="pct"/>
            <w:shd w:val="clear" w:color="auto" w:fill="FFFFFF" w:themeFill="background1"/>
            <w:noWrap/>
          </w:tcPr>
          <w:p w14:paraId="0665CA5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35,9</w:t>
            </w:r>
          </w:p>
        </w:tc>
        <w:tc>
          <w:tcPr>
            <w:tcW w:w="583" w:type="pct"/>
            <w:shd w:val="clear" w:color="auto" w:fill="FFFFFF" w:themeFill="background1"/>
            <w:noWrap/>
          </w:tcPr>
          <w:p w14:paraId="0A0F657D"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35,9</w:t>
            </w:r>
          </w:p>
        </w:tc>
      </w:tr>
      <w:tr w:rsidR="00CE2F2F" w:rsidRPr="0007074F" w14:paraId="7AD98F68" w14:textId="77777777" w:rsidTr="00953528">
        <w:trPr>
          <w:trHeight w:val="49"/>
        </w:trPr>
        <w:tc>
          <w:tcPr>
            <w:tcW w:w="1967" w:type="pct"/>
            <w:shd w:val="clear" w:color="auto" w:fill="FFFFFF" w:themeFill="background1"/>
          </w:tcPr>
          <w:p w14:paraId="3DCBE231" w14:textId="77777777" w:rsidR="00CE2F2F" w:rsidRPr="0007074F" w:rsidRDefault="00CE2F2F"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Расходи за запослене</w:t>
            </w:r>
          </w:p>
        </w:tc>
        <w:tc>
          <w:tcPr>
            <w:tcW w:w="644" w:type="pct"/>
            <w:shd w:val="clear" w:color="auto" w:fill="FFFFFF" w:themeFill="background1"/>
          </w:tcPr>
          <w:p w14:paraId="51B138C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9,8</w:t>
            </w:r>
          </w:p>
        </w:tc>
        <w:tc>
          <w:tcPr>
            <w:tcW w:w="644" w:type="pct"/>
            <w:shd w:val="clear" w:color="auto" w:fill="FFFFFF" w:themeFill="background1"/>
            <w:noWrap/>
          </w:tcPr>
          <w:p w14:paraId="16DB44D8"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9,6</w:t>
            </w:r>
          </w:p>
        </w:tc>
        <w:tc>
          <w:tcPr>
            <w:tcW w:w="581" w:type="pct"/>
            <w:shd w:val="clear" w:color="auto" w:fill="FFFFFF" w:themeFill="background1"/>
            <w:noWrap/>
          </w:tcPr>
          <w:p w14:paraId="74ECC830"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9,7</w:t>
            </w:r>
          </w:p>
        </w:tc>
        <w:tc>
          <w:tcPr>
            <w:tcW w:w="581" w:type="pct"/>
            <w:shd w:val="clear" w:color="auto" w:fill="FFFFFF" w:themeFill="background1"/>
            <w:noWrap/>
          </w:tcPr>
          <w:p w14:paraId="3AC8E2B5"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9,7</w:t>
            </w:r>
          </w:p>
        </w:tc>
        <w:tc>
          <w:tcPr>
            <w:tcW w:w="583" w:type="pct"/>
            <w:shd w:val="clear" w:color="auto" w:fill="FFFFFF" w:themeFill="background1"/>
            <w:noWrap/>
          </w:tcPr>
          <w:p w14:paraId="47AE0A9A"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9,7</w:t>
            </w:r>
          </w:p>
        </w:tc>
      </w:tr>
      <w:tr w:rsidR="00CE2F2F" w:rsidRPr="0007074F" w14:paraId="77C5A1EC"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075F8457" w14:textId="77777777" w:rsidR="00CE2F2F" w:rsidRPr="0007074F" w:rsidRDefault="00CE2F2F"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Куповина робе и услуга</w:t>
            </w:r>
          </w:p>
        </w:tc>
        <w:tc>
          <w:tcPr>
            <w:tcW w:w="644" w:type="pct"/>
            <w:shd w:val="clear" w:color="auto" w:fill="FFFFFF" w:themeFill="background1"/>
          </w:tcPr>
          <w:p w14:paraId="7664C54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7,9</w:t>
            </w:r>
          </w:p>
        </w:tc>
        <w:tc>
          <w:tcPr>
            <w:tcW w:w="644" w:type="pct"/>
            <w:shd w:val="clear" w:color="auto" w:fill="FFFFFF" w:themeFill="background1"/>
            <w:noWrap/>
          </w:tcPr>
          <w:p w14:paraId="12F2616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7,5</w:t>
            </w:r>
          </w:p>
        </w:tc>
        <w:tc>
          <w:tcPr>
            <w:tcW w:w="581" w:type="pct"/>
            <w:shd w:val="clear" w:color="auto" w:fill="FFFFFF" w:themeFill="background1"/>
            <w:noWrap/>
          </w:tcPr>
          <w:p w14:paraId="778EC5D7"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7,2</w:t>
            </w:r>
          </w:p>
        </w:tc>
        <w:tc>
          <w:tcPr>
            <w:tcW w:w="581" w:type="pct"/>
            <w:shd w:val="clear" w:color="auto" w:fill="FFFFFF" w:themeFill="background1"/>
            <w:noWrap/>
          </w:tcPr>
          <w:p w14:paraId="3B48AFC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6,9</w:t>
            </w:r>
          </w:p>
        </w:tc>
        <w:tc>
          <w:tcPr>
            <w:tcW w:w="583" w:type="pct"/>
            <w:shd w:val="clear" w:color="auto" w:fill="FFFFFF" w:themeFill="background1"/>
            <w:noWrap/>
          </w:tcPr>
          <w:p w14:paraId="6E8B799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6,9</w:t>
            </w:r>
          </w:p>
        </w:tc>
      </w:tr>
      <w:tr w:rsidR="00CE2F2F" w:rsidRPr="0007074F" w14:paraId="42F79051" w14:textId="77777777" w:rsidTr="00953528">
        <w:trPr>
          <w:trHeight w:val="49"/>
        </w:trPr>
        <w:tc>
          <w:tcPr>
            <w:tcW w:w="1967" w:type="pct"/>
            <w:shd w:val="clear" w:color="auto" w:fill="FFFFFF" w:themeFill="background1"/>
          </w:tcPr>
          <w:p w14:paraId="73E1E0EE" w14:textId="77777777" w:rsidR="00CE2F2F" w:rsidRPr="0007074F" w:rsidRDefault="00CE2F2F"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Отплата камата</w:t>
            </w:r>
          </w:p>
        </w:tc>
        <w:tc>
          <w:tcPr>
            <w:tcW w:w="644" w:type="pct"/>
            <w:shd w:val="clear" w:color="auto" w:fill="FFFFFF" w:themeFill="background1"/>
          </w:tcPr>
          <w:p w14:paraId="3B7EF097"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1,5</w:t>
            </w:r>
          </w:p>
        </w:tc>
        <w:tc>
          <w:tcPr>
            <w:tcW w:w="644" w:type="pct"/>
            <w:shd w:val="clear" w:color="auto" w:fill="FFFFFF" w:themeFill="background1"/>
            <w:noWrap/>
          </w:tcPr>
          <w:p w14:paraId="0FE09A8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1,8</w:t>
            </w:r>
          </w:p>
        </w:tc>
        <w:tc>
          <w:tcPr>
            <w:tcW w:w="581" w:type="pct"/>
            <w:shd w:val="clear" w:color="auto" w:fill="FFFFFF" w:themeFill="background1"/>
            <w:noWrap/>
          </w:tcPr>
          <w:p w14:paraId="36945C45"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2,1</w:t>
            </w:r>
          </w:p>
        </w:tc>
        <w:tc>
          <w:tcPr>
            <w:tcW w:w="581" w:type="pct"/>
            <w:shd w:val="clear" w:color="auto" w:fill="FFFFFF" w:themeFill="background1"/>
            <w:noWrap/>
          </w:tcPr>
          <w:p w14:paraId="74A4A43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2,3</w:t>
            </w:r>
          </w:p>
        </w:tc>
        <w:tc>
          <w:tcPr>
            <w:tcW w:w="583" w:type="pct"/>
            <w:shd w:val="clear" w:color="auto" w:fill="FFFFFF" w:themeFill="background1"/>
            <w:noWrap/>
          </w:tcPr>
          <w:p w14:paraId="6B3DF547"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2,4</w:t>
            </w:r>
          </w:p>
        </w:tc>
      </w:tr>
      <w:tr w:rsidR="00CE2F2F" w:rsidRPr="0007074F" w14:paraId="1A6C72CC"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2E684014" w14:textId="77777777" w:rsidR="00CE2F2F" w:rsidRPr="0007074F" w:rsidRDefault="00CE2F2F"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Субвенције</w:t>
            </w:r>
          </w:p>
        </w:tc>
        <w:tc>
          <w:tcPr>
            <w:tcW w:w="644" w:type="pct"/>
            <w:shd w:val="clear" w:color="auto" w:fill="FFFFFF" w:themeFill="background1"/>
          </w:tcPr>
          <w:p w14:paraId="706F1222"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2,3</w:t>
            </w:r>
          </w:p>
        </w:tc>
        <w:tc>
          <w:tcPr>
            <w:tcW w:w="644" w:type="pct"/>
            <w:shd w:val="clear" w:color="auto" w:fill="FFFFFF" w:themeFill="background1"/>
            <w:noWrap/>
          </w:tcPr>
          <w:p w14:paraId="70179E81"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2,9</w:t>
            </w:r>
          </w:p>
        </w:tc>
        <w:tc>
          <w:tcPr>
            <w:tcW w:w="581" w:type="pct"/>
            <w:shd w:val="clear" w:color="auto" w:fill="FFFFFF" w:themeFill="background1"/>
            <w:noWrap/>
          </w:tcPr>
          <w:p w14:paraId="5528BA51"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2,5</w:t>
            </w:r>
          </w:p>
        </w:tc>
        <w:tc>
          <w:tcPr>
            <w:tcW w:w="581" w:type="pct"/>
            <w:shd w:val="clear" w:color="auto" w:fill="FFFFFF" w:themeFill="background1"/>
            <w:noWrap/>
          </w:tcPr>
          <w:p w14:paraId="16808E38" w14:textId="0237C97E" w:rsidR="00CE2F2F" w:rsidRPr="0007074F" w:rsidRDefault="005E37A7"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w:t>
            </w:r>
            <w:r w:rsidR="00CE2F2F" w:rsidRPr="0007074F">
              <w:rPr>
                <w:rFonts w:asciiTheme="minorHAnsi" w:hAnsiTheme="minorHAnsi" w:cstheme="minorHAnsi"/>
                <w:color w:val="002060"/>
                <w:sz w:val="18"/>
                <w:szCs w:val="18"/>
                <w:lang w:val="sr-Cyrl-CS"/>
              </w:rPr>
              <w:t>2</w:t>
            </w:r>
          </w:p>
        </w:tc>
        <w:tc>
          <w:tcPr>
            <w:tcW w:w="583" w:type="pct"/>
            <w:shd w:val="clear" w:color="auto" w:fill="FFFFFF" w:themeFill="background1"/>
            <w:noWrap/>
          </w:tcPr>
          <w:p w14:paraId="5CDCB72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2,2</w:t>
            </w:r>
          </w:p>
        </w:tc>
      </w:tr>
      <w:tr w:rsidR="00CE2F2F" w:rsidRPr="0007074F" w14:paraId="48DB7A39" w14:textId="77777777" w:rsidTr="00953528">
        <w:trPr>
          <w:trHeight w:val="49"/>
        </w:trPr>
        <w:tc>
          <w:tcPr>
            <w:tcW w:w="1967" w:type="pct"/>
            <w:shd w:val="clear" w:color="auto" w:fill="FFFFFF" w:themeFill="background1"/>
          </w:tcPr>
          <w:p w14:paraId="4D7CC517" w14:textId="77777777" w:rsidR="00CE2F2F" w:rsidRPr="0007074F" w:rsidRDefault="00CE2F2F"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Социјална помоћ и трансфери</w:t>
            </w:r>
          </w:p>
        </w:tc>
        <w:tc>
          <w:tcPr>
            <w:tcW w:w="644" w:type="pct"/>
            <w:shd w:val="clear" w:color="auto" w:fill="FFFFFF" w:themeFill="background1"/>
          </w:tcPr>
          <w:p w14:paraId="46A1DA0C"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13,1</w:t>
            </w:r>
          </w:p>
        </w:tc>
        <w:tc>
          <w:tcPr>
            <w:tcW w:w="644" w:type="pct"/>
            <w:shd w:val="clear" w:color="auto" w:fill="FFFFFF" w:themeFill="background1"/>
            <w:noWrap/>
          </w:tcPr>
          <w:p w14:paraId="4A36DE44"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12,8</w:t>
            </w:r>
          </w:p>
        </w:tc>
        <w:tc>
          <w:tcPr>
            <w:tcW w:w="581" w:type="pct"/>
            <w:shd w:val="clear" w:color="auto" w:fill="FFFFFF" w:themeFill="background1"/>
            <w:noWrap/>
          </w:tcPr>
          <w:p w14:paraId="35F9C3BA"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13,3</w:t>
            </w:r>
          </w:p>
        </w:tc>
        <w:tc>
          <w:tcPr>
            <w:tcW w:w="581" w:type="pct"/>
            <w:shd w:val="clear" w:color="auto" w:fill="FFFFFF" w:themeFill="background1"/>
            <w:noWrap/>
          </w:tcPr>
          <w:p w14:paraId="49D6750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13,7</w:t>
            </w:r>
          </w:p>
        </w:tc>
        <w:tc>
          <w:tcPr>
            <w:tcW w:w="583" w:type="pct"/>
            <w:shd w:val="clear" w:color="auto" w:fill="FFFFFF" w:themeFill="background1"/>
            <w:noWrap/>
          </w:tcPr>
          <w:p w14:paraId="4355AD05"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13,6</w:t>
            </w:r>
          </w:p>
        </w:tc>
      </w:tr>
      <w:tr w:rsidR="00CE2F2F" w:rsidRPr="0007074F" w14:paraId="6584864A" w14:textId="77777777" w:rsidTr="00953528">
        <w:trPr>
          <w:cnfStyle w:val="000000100000" w:firstRow="0" w:lastRow="0" w:firstColumn="0" w:lastColumn="0" w:oddVBand="0" w:evenVBand="0" w:oddHBand="1" w:evenHBand="0" w:firstRowFirstColumn="0" w:firstRowLastColumn="0" w:lastRowFirstColumn="0" w:lastRowLastColumn="0"/>
          <w:trHeight w:val="104"/>
        </w:trPr>
        <w:tc>
          <w:tcPr>
            <w:tcW w:w="1967" w:type="pct"/>
            <w:shd w:val="clear" w:color="auto" w:fill="FFFFFF" w:themeFill="background1"/>
          </w:tcPr>
          <w:p w14:paraId="26ECBBA5" w14:textId="77777777" w:rsidR="00CE2F2F" w:rsidRPr="0007074F" w:rsidRDefault="00CE2F2F" w:rsidP="00E05893">
            <w:pPr>
              <w:widowControl w:val="0"/>
              <w:shd w:val="clear" w:color="auto" w:fill="FFFFFF" w:themeFill="background1"/>
              <w:spacing w:line="276" w:lineRule="auto"/>
              <w:ind w:left="397"/>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од чега пензије</w:t>
            </w:r>
          </w:p>
        </w:tc>
        <w:tc>
          <w:tcPr>
            <w:tcW w:w="644" w:type="pct"/>
            <w:shd w:val="clear" w:color="auto" w:fill="FFFFFF" w:themeFill="background1"/>
          </w:tcPr>
          <w:p w14:paraId="62E761BC" w14:textId="77777777" w:rsidR="00CE2F2F" w:rsidRPr="0007074F" w:rsidRDefault="00CE2F2F" w:rsidP="00E05893">
            <w:pPr>
              <w:shd w:val="clear" w:color="auto" w:fill="FFFFFF" w:themeFill="background1"/>
              <w:spacing w:line="276" w:lineRule="auto"/>
              <w:jc w:val="right"/>
              <w:rPr>
                <w:rFonts w:asciiTheme="minorHAnsi" w:hAnsiTheme="minorHAnsi" w:cstheme="minorHAnsi"/>
                <w:i/>
                <w:color w:val="002060"/>
                <w:sz w:val="18"/>
                <w:szCs w:val="18"/>
                <w:lang w:val="sr-Cyrl-CS"/>
              </w:rPr>
            </w:pPr>
            <w:r w:rsidRPr="0007074F">
              <w:rPr>
                <w:rFonts w:asciiTheme="minorHAnsi" w:hAnsiTheme="minorHAnsi" w:cstheme="minorHAnsi"/>
                <w:i/>
                <w:color w:val="002060"/>
                <w:sz w:val="18"/>
                <w:szCs w:val="18"/>
                <w:lang w:val="sr-Cyrl-CS"/>
              </w:rPr>
              <w:t>9,0</w:t>
            </w:r>
          </w:p>
        </w:tc>
        <w:tc>
          <w:tcPr>
            <w:tcW w:w="644" w:type="pct"/>
            <w:shd w:val="clear" w:color="auto" w:fill="FFFFFF" w:themeFill="background1"/>
            <w:noWrap/>
          </w:tcPr>
          <w:p w14:paraId="619D5D5C" w14:textId="77777777" w:rsidR="00CE2F2F" w:rsidRPr="0007074F" w:rsidRDefault="00CE2F2F" w:rsidP="00E05893">
            <w:pPr>
              <w:shd w:val="clear" w:color="auto" w:fill="FFFFFF" w:themeFill="background1"/>
              <w:spacing w:line="276" w:lineRule="auto"/>
              <w:jc w:val="right"/>
              <w:rPr>
                <w:rFonts w:asciiTheme="minorHAnsi" w:hAnsiTheme="minorHAnsi" w:cstheme="minorHAnsi"/>
                <w:i/>
                <w:color w:val="002060"/>
                <w:sz w:val="18"/>
                <w:szCs w:val="18"/>
                <w:lang w:val="sr-Cyrl-CS"/>
              </w:rPr>
            </w:pPr>
            <w:r w:rsidRPr="0007074F">
              <w:rPr>
                <w:rFonts w:asciiTheme="minorHAnsi" w:hAnsiTheme="minorHAnsi" w:cstheme="minorHAnsi"/>
                <w:i/>
                <w:color w:val="002060"/>
                <w:sz w:val="18"/>
                <w:szCs w:val="18"/>
                <w:lang w:val="sr-Cyrl-CS"/>
              </w:rPr>
              <w:t>9,5</w:t>
            </w:r>
          </w:p>
        </w:tc>
        <w:tc>
          <w:tcPr>
            <w:tcW w:w="581" w:type="pct"/>
            <w:shd w:val="clear" w:color="auto" w:fill="FFFFFF" w:themeFill="background1"/>
            <w:noWrap/>
          </w:tcPr>
          <w:p w14:paraId="6D137A1F" w14:textId="77777777" w:rsidR="00CE2F2F" w:rsidRPr="0007074F" w:rsidRDefault="00CE2F2F" w:rsidP="00E05893">
            <w:pPr>
              <w:shd w:val="clear" w:color="auto" w:fill="FFFFFF" w:themeFill="background1"/>
              <w:spacing w:line="276" w:lineRule="auto"/>
              <w:jc w:val="right"/>
              <w:rPr>
                <w:rFonts w:asciiTheme="minorHAnsi" w:hAnsiTheme="minorHAnsi" w:cstheme="minorHAnsi"/>
                <w:i/>
                <w:color w:val="002060"/>
                <w:sz w:val="18"/>
                <w:szCs w:val="18"/>
                <w:lang w:val="sr-Cyrl-CS"/>
              </w:rPr>
            </w:pPr>
            <w:r w:rsidRPr="0007074F">
              <w:rPr>
                <w:rFonts w:asciiTheme="minorHAnsi" w:hAnsiTheme="minorHAnsi" w:cstheme="minorHAnsi"/>
                <w:i/>
                <w:color w:val="002060"/>
                <w:sz w:val="18"/>
                <w:szCs w:val="18"/>
                <w:lang w:val="sr-Cyrl-CS"/>
              </w:rPr>
              <w:t>10,0</w:t>
            </w:r>
          </w:p>
        </w:tc>
        <w:tc>
          <w:tcPr>
            <w:tcW w:w="581" w:type="pct"/>
            <w:shd w:val="clear" w:color="auto" w:fill="FFFFFF" w:themeFill="background1"/>
            <w:noWrap/>
          </w:tcPr>
          <w:p w14:paraId="1F40E017" w14:textId="77777777" w:rsidR="00CE2F2F" w:rsidRPr="0007074F" w:rsidRDefault="00CE2F2F" w:rsidP="00E05893">
            <w:pPr>
              <w:shd w:val="clear" w:color="auto" w:fill="FFFFFF" w:themeFill="background1"/>
              <w:spacing w:line="276" w:lineRule="auto"/>
              <w:jc w:val="right"/>
              <w:rPr>
                <w:rFonts w:asciiTheme="minorHAnsi" w:hAnsiTheme="minorHAnsi" w:cstheme="minorHAnsi"/>
                <w:i/>
                <w:color w:val="002060"/>
                <w:sz w:val="18"/>
                <w:szCs w:val="18"/>
                <w:lang w:val="sr-Cyrl-CS"/>
              </w:rPr>
            </w:pPr>
            <w:r w:rsidRPr="0007074F">
              <w:rPr>
                <w:rFonts w:asciiTheme="minorHAnsi" w:hAnsiTheme="minorHAnsi" w:cstheme="minorHAnsi"/>
                <w:i/>
                <w:color w:val="002060"/>
                <w:sz w:val="18"/>
                <w:szCs w:val="18"/>
                <w:lang w:val="sr-Cyrl-CS"/>
              </w:rPr>
              <w:t>10,5</w:t>
            </w:r>
          </w:p>
        </w:tc>
        <w:tc>
          <w:tcPr>
            <w:tcW w:w="583" w:type="pct"/>
            <w:shd w:val="clear" w:color="auto" w:fill="FFFFFF" w:themeFill="background1"/>
            <w:noWrap/>
          </w:tcPr>
          <w:p w14:paraId="16E18A54" w14:textId="77777777" w:rsidR="00CE2F2F" w:rsidRPr="0007074F" w:rsidRDefault="00CE2F2F" w:rsidP="00E05893">
            <w:pPr>
              <w:shd w:val="clear" w:color="auto" w:fill="FFFFFF" w:themeFill="background1"/>
              <w:spacing w:line="276" w:lineRule="auto"/>
              <w:jc w:val="right"/>
              <w:rPr>
                <w:rFonts w:asciiTheme="minorHAnsi" w:hAnsiTheme="minorHAnsi" w:cstheme="minorHAnsi"/>
                <w:i/>
                <w:color w:val="002060"/>
                <w:sz w:val="18"/>
                <w:szCs w:val="18"/>
                <w:lang w:val="sr-Cyrl-CS"/>
              </w:rPr>
            </w:pPr>
            <w:r w:rsidRPr="0007074F">
              <w:rPr>
                <w:rFonts w:asciiTheme="minorHAnsi" w:hAnsiTheme="minorHAnsi" w:cstheme="minorHAnsi"/>
                <w:i/>
                <w:color w:val="002060"/>
                <w:sz w:val="18"/>
                <w:szCs w:val="18"/>
                <w:lang w:val="sr-Cyrl-CS"/>
              </w:rPr>
              <w:t>10,4</w:t>
            </w:r>
          </w:p>
        </w:tc>
      </w:tr>
      <w:tr w:rsidR="00CE2F2F" w:rsidRPr="0007074F" w14:paraId="229E8341" w14:textId="77777777" w:rsidTr="00953528">
        <w:trPr>
          <w:trHeight w:val="49"/>
        </w:trPr>
        <w:tc>
          <w:tcPr>
            <w:tcW w:w="1967" w:type="pct"/>
            <w:shd w:val="clear" w:color="auto" w:fill="FFFFFF" w:themeFill="background1"/>
          </w:tcPr>
          <w:p w14:paraId="2820B38E" w14:textId="77777777" w:rsidR="00CE2F2F" w:rsidRPr="0007074F" w:rsidRDefault="00CE2F2F" w:rsidP="00E0589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Остали текући расходи</w:t>
            </w:r>
          </w:p>
        </w:tc>
        <w:tc>
          <w:tcPr>
            <w:tcW w:w="644" w:type="pct"/>
            <w:shd w:val="clear" w:color="auto" w:fill="FFFFFF" w:themeFill="background1"/>
          </w:tcPr>
          <w:p w14:paraId="09950CEE"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1,9</w:t>
            </w:r>
          </w:p>
        </w:tc>
        <w:tc>
          <w:tcPr>
            <w:tcW w:w="644" w:type="pct"/>
            <w:shd w:val="clear" w:color="auto" w:fill="FFFFFF" w:themeFill="background1"/>
            <w:noWrap/>
          </w:tcPr>
          <w:p w14:paraId="361DBEBC"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1,2</w:t>
            </w:r>
          </w:p>
        </w:tc>
        <w:tc>
          <w:tcPr>
            <w:tcW w:w="581" w:type="pct"/>
            <w:shd w:val="clear" w:color="auto" w:fill="FFFFFF" w:themeFill="background1"/>
            <w:noWrap/>
          </w:tcPr>
          <w:p w14:paraId="2E2AF595"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1,1</w:t>
            </w:r>
          </w:p>
        </w:tc>
        <w:tc>
          <w:tcPr>
            <w:tcW w:w="581" w:type="pct"/>
            <w:shd w:val="clear" w:color="auto" w:fill="FFFFFF" w:themeFill="background1"/>
            <w:noWrap/>
          </w:tcPr>
          <w:p w14:paraId="411C3350"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1,1</w:t>
            </w:r>
          </w:p>
        </w:tc>
        <w:tc>
          <w:tcPr>
            <w:tcW w:w="583" w:type="pct"/>
            <w:shd w:val="clear" w:color="auto" w:fill="FFFFFF" w:themeFill="background1"/>
            <w:noWrap/>
          </w:tcPr>
          <w:p w14:paraId="71E96A4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1,0</w:t>
            </w:r>
          </w:p>
        </w:tc>
      </w:tr>
      <w:tr w:rsidR="00CE2F2F" w:rsidRPr="0007074F" w14:paraId="464D977F"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361E1248" w14:textId="77777777" w:rsidR="00CE2F2F" w:rsidRPr="0007074F" w:rsidRDefault="00CE2F2F"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 xml:space="preserve"> Капитални расходи</w:t>
            </w:r>
          </w:p>
        </w:tc>
        <w:tc>
          <w:tcPr>
            <w:tcW w:w="644" w:type="pct"/>
            <w:shd w:val="clear" w:color="auto" w:fill="FFFFFF" w:themeFill="background1"/>
          </w:tcPr>
          <w:p w14:paraId="3AB01A71"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7,4</w:t>
            </w:r>
          </w:p>
        </w:tc>
        <w:tc>
          <w:tcPr>
            <w:tcW w:w="644" w:type="pct"/>
            <w:shd w:val="clear" w:color="auto" w:fill="FFFFFF" w:themeFill="background1"/>
            <w:noWrap/>
          </w:tcPr>
          <w:p w14:paraId="10F32311"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7,3</w:t>
            </w:r>
          </w:p>
        </w:tc>
        <w:tc>
          <w:tcPr>
            <w:tcW w:w="581" w:type="pct"/>
            <w:shd w:val="clear" w:color="auto" w:fill="FFFFFF" w:themeFill="background1"/>
            <w:noWrap/>
          </w:tcPr>
          <w:p w14:paraId="5A94F7A0"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6,9</w:t>
            </w:r>
          </w:p>
        </w:tc>
        <w:tc>
          <w:tcPr>
            <w:tcW w:w="581" w:type="pct"/>
            <w:shd w:val="clear" w:color="auto" w:fill="FFFFFF" w:themeFill="background1"/>
            <w:noWrap/>
          </w:tcPr>
          <w:p w14:paraId="1FEC94A9"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6,7</w:t>
            </w:r>
          </w:p>
        </w:tc>
        <w:tc>
          <w:tcPr>
            <w:tcW w:w="583" w:type="pct"/>
            <w:shd w:val="clear" w:color="auto" w:fill="FFFFFF" w:themeFill="background1"/>
            <w:noWrap/>
          </w:tcPr>
          <w:p w14:paraId="520FE19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6,6</w:t>
            </w:r>
          </w:p>
        </w:tc>
      </w:tr>
      <w:tr w:rsidR="00CE2F2F" w:rsidRPr="0007074F" w14:paraId="3BA07F6A" w14:textId="77777777" w:rsidTr="00953528">
        <w:trPr>
          <w:trHeight w:val="49"/>
        </w:trPr>
        <w:tc>
          <w:tcPr>
            <w:tcW w:w="1967" w:type="pct"/>
            <w:tcBorders>
              <w:bottom w:val="nil"/>
            </w:tcBorders>
            <w:shd w:val="clear" w:color="auto" w:fill="FFFFFF" w:themeFill="background1"/>
            <w:noWrap/>
          </w:tcPr>
          <w:p w14:paraId="29B9CDD6" w14:textId="77777777" w:rsidR="00CE2F2F" w:rsidRPr="0007074F" w:rsidRDefault="00CE2F2F"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 xml:space="preserve"> Нето буџетске позајмице</w:t>
            </w:r>
          </w:p>
        </w:tc>
        <w:tc>
          <w:tcPr>
            <w:tcW w:w="644" w:type="pct"/>
            <w:tcBorders>
              <w:bottom w:val="nil"/>
            </w:tcBorders>
            <w:shd w:val="clear" w:color="auto" w:fill="FFFFFF" w:themeFill="background1"/>
          </w:tcPr>
          <w:p w14:paraId="581A5765"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2,9</w:t>
            </w:r>
          </w:p>
        </w:tc>
        <w:tc>
          <w:tcPr>
            <w:tcW w:w="644" w:type="pct"/>
            <w:tcBorders>
              <w:bottom w:val="nil"/>
            </w:tcBorders>
            <w:shd w:val="clear" w:color="auto" w:fill="FFFFFF" w:themeFill="background1"/>
            <w:noWrap/>
          </w:tcPr>
          <w:p w14:paraId="05979091"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1,4</w:t>
            </w:r>
          </w:p>
        </w:tc>
        <w:tc>
          <w:tcPr>
            <w:tcW w:w="581" w:type="pct"/>
            <w:tcBorders>
              <w:bottom w:val="nil"/>
            </w:tcBorders>
            <w:shd w:val="clear" w:color="auto" w:fill="FFFFFF" w:themeFill="background1"/>
            <w:noWrap/>
          </w:tcPr>
          <w:p w14:paraId="2291BA1C"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0,7</w:t>
            </w:r>
          </w:p>
        </w:tc>
        <w:tc>
          <w:tcPr>
            <w:tcW w:w="581" w:type="pct"/>
            <w:tcBorders>
              <w:bottom w:val="nil"/>
            </w:tcBorders>
            <w:shd w:val="clear" w:color="auto" w:fill="FFFFFF" w:themeFill="background1"/>
            <w:noWrap/>
          </w:tcPr>
          <w:p w14:paraId="4B9D76D3"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0,1</w:t>
            </w:r>
          </w:p>
        </w:tc>
        <w:tc>
          <w:tcPr>
            <w:tcW w:w="583" w:type="pct"/>
            <w:tcBorders>
              <w:bottom w:val="nil"/>
            </w:tcBorders>
            <w:shd w:val="clear" w:color="auto" w:fill="FFFFFF" w:themeFill="background1"/>
            <w:noWrap/>
          </w:tcPr>
          <w:p w14:paraId="72E44E65"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0,1</w:t>
            </w:r>
          </w:p>
        </w:tc>
      </w:tr>
      <w:tr w:rsidR="00CE2F2F" w:rsidRPr="0007074F" w14:paraId="5B6607CF" w14:textId="77777777" w:rsidTr="00953528">
        <w:trPr>
          <w:cnfStyle w:val="000000100000" w:firstRow="0" w:lastRow="0" w:firstColumn="0" w:lastColumn="0" w:oddVBand="0" w:evenVBand="0" w:oddHBand="1" w:evenHBand="0" w:firstRowFirstColumn="0" w:firstRowLastColumn="0" w:lastRowFirstColumn="0" w:lastRowLastColumn="0"/>
          <w:trHeight w:val="95"/>
        </w:trPr>
        <w:tc>
          <w:tcPr>
            <w:tcW w:w="1967" w:type="pct"/>
            <w:tcBorders>
              <w:top w:val="nil"/>
              <w:bottom w:val="single" w:sz="4" w:space="0" w:color="002060"/>
            </w:tcBorders>
            <w:shd w:val="clear" w:color="auto" w:fill="FFFFFF" w:themeFill="background1"/>
            <w:noWrap/>
          </w:tcPr>
          <w:p w14:paraId="1744CFC4" w14:textId="77777777" w:rsidR="00CE2F2F" w:rsidRPr="0007074F" w:rsidRDefault="00CE2F2F" w:rsidP="00E0589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 xml:space="preserve"> Отплата по основу гаранција</w:t>
            </w:r>
          </w:p>
        </w:tc>
        <w:tc>
          <w:tcPr>
            <w:tcW w:w="644" w:type="pct"/>
            <w:tcBorders>
              <w:top w:val="nil"/>
              <w:bottom w:val="single" w:sz="4" w:space="0" w:color="002060"/>
            </w:tcBorders>
            <w:shd w:val="clear" w:color="auto" w:fill="FFFFFF" w:themeFill="background1"/>
          </w:tcPr>
          <w:p w14:paraId="45E345E7"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0,3</w:t>
            </w:r>
          </w:p>
        </w:tc>
        <w:tc>
          <w:tcPr>
            <w:tcW w:w="644" w:type="pct"/>
            <w:tcBorders>
              <w:top w:val="nil"/>
              <w:bottom w:val="single" w:sz="4" w:space="0" w:color="002060"/>
            </w:tcBorders>
            <w:shd w:val="clear" w:color="auto" w:fill="FFFFFF" w:themeFill="background1"/>
            <w:noWrap/>
          </w:tcPr>
          <w:p w14:paraId="3AFD957F"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0,3</w:t>
            </w:r>
          </w:p>
        </w:tc>
        <w:tc>
          <w:tcPr>
            <w:tcW w:w="581" w:type="pct"/>
            <w:tcBorders>
              <w:top w:val="nil"/>
              <w:bottom w:val="single" w:sz="4" w:space="0" w:color="002060"/>
            </w:tcBorders>
            <w:shd w:val="clear" w:color="auto" w:fill="FFFFFF" w:themeFill="background1"/>
            <w:noWrap/>
          </w:tcPr>
          <w:p w14:paraId="2D5CF62A"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0,3</w:t>
            </w:r>
          </w:p>
        </w:tc>
        <w:tc>
          <w:tcPr>
            <w:tcW w:w="581" w:type="pct"/>
            <w:tcBorders>
              <w:top w:val="nil"/>
              <w:bottom w:val="single" w:sz="4" w:space="0" w:color="002060"/>
            </w:tcBorders>
            <w:shd w:val="clear" w:color="auto" w:fill="FFFFFF" w:themeFill="background1"/>
            <w:noWrap/>
          </w:tcPr>
          <w:p w14:paraId="625C789B"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0,3</w:t>
            </w:r>
          </w:p>
        </w:tc>
        <w:tc>
          <w:tcPr>
            <w:tcW w:w="583" w:type="pct"/>
            <w:tcBorders>
              <w:top w:val="nil"/>
              <w:bottom w:val="single" w:sz="4" w:space="0" w:color="002060"/>
            </w:tcBorders>
            <w:shd w:val="clear" w:color="auto" w:fill="FFFFFF" w:themeFill="background1"/>
            <w:noWrap/>
          </w:tcPr>
          <w:p w14:paraId="108BB9DD" w14:textId="77777777" w:rsidR="00CE2F2F" w:rsidRPr="0007074F" w:rsidRDefault="00CE2F2F" w:rsidP="00E05893">
            <w:pPr>
              <w:shd w:val="clear" w:color="auto" w:fill="FFFFFF" w:themeFill="background1"/>
              <w:spacing w:line="276" w:lineRule="auto"/>
              <w:jc w:val="right"/>
              <w:rPr>
                <w:rFonts w:asciiTheme="minorHAnsi" w:hAnsiTheme="minorHAnsi" w:cstheme="minorHAnsi"/>
                <w:color w:val="002060"/>
                <w:sz w:val="18"/>
                <w:szCs w:val="18"/>
                <w:lang w:val="sr-Cyrl-CS"/>
              </w:rPr>
            </w:pPr>
            <w:r w:rsidRPr="0007074F">
              <w:rPr>
                <w:rFonts w:asciiTheme="minorHAnsi" w:hAnsiTheme="minorHAnsi" w:cstheme="minorHAnsi"/>
                <w:color w:val="002060"/>
                <w:sz w:val="18"/>
                <w:szCs w:val="18"/>
                <w:lang w:val="sr-Cyrl-CS"/>
              </w:rPr>
              <w:t>0,3</w:t>
            </w:r>
          </w:p>
        </w:tc>
      </w:tr>
    </w:tbl>
    <w:p w14:paraId="744676B3" w14:textId="77777777" w:rsidR="00CE2F2F" w:rsidRPr="0007074F" w:rsidRDefault="00CE2F2F" w:rsidP="00D42008">
      <w:pPr>
        <w:spacing w:before="40" w:after="120" w:line="276" w:lineRule="auto"/>
        <w:jc w:val="left"/>
        <w:rPr>
          <w:rFonts w:cstheme="minorHAnsi"/>
          <w:sz w:val="16"/>
          <w:szCs w:val="20"/>
          <w:lang w:val="sr-Cyrl-CS"/>
        </w:rPr>
      </w:pPr>
      <w:r w:rsidRPr="0007074F">
        <w:rPr>
          <w:rFonts w:eastAsia="Calibri" w:cstheme="minorHAnsi"/>
          <w:bCs/>
          <w:sz w:val="16"/>
          <w:szCs w:val="20"/>
          <w:lang w:val="sr-Cyrl-CS" w:eastAsia="ja-JP"/>
        </w:rPr>
        <w:t xml:space="preserve">Извор: </w:t>
      </w:r>
      <w:r w:rsidRPr="0007074F">
        <w:rPr>
          <w:rFonts w:cstheme="minorHAnsi"/>
          <w:sz w:val="16"/>
          <w:szCs w:val="20"/>
          <w:lang w:val="sr-Cyrl-CS"/>
        </w:rPr>
        <w:t>Министарство финансија</w:t>
      </w:r>
    </w:p>
    <w:p w14:paraId="4E449D73" w14:textId="77777777" w:rsidR="00CE2F2F" w:rsidRPr="0007074F" w:rsidRDefault="00CE2F2F" w:rsidP="005D42AC">
      <w:pPr>
        <w:spacing w:before="40" w:after="120" w:line="276" w:lineRule="auto"/>
        <w:rPr>
          <w:rFonts w:eastAsia="Calibri" w:cstheme="minorHAnsi"/>
          <w:szCs w:val="20"/>
          <w:lang w:val="sr-Cyrl-CS" w:eastAsia="ja-JP"/>
        </w:rPr>
        <w:sectPr w:rsidR="00CE2F2F" w:rsidRPr="0007074F" w:rsidSect="00E05893">
          <w:type w:val="continuous"/>
          <w:pgSz w:w="12240" w:h="15840" w:code="1"/>
          <w:pgMar w:top="1440" w:right="1440" w:bottom="1440" w:left="1440" w:header="720" w:footer="720" w:gutter="0"/>
          <w:cols w:space="720"/>
          <w:docGrid w:linePitch="360"/>
        </w:sectPr>
      </w:pPr>
    </w:p>
    <w:p w14:paraId="39591853" w14:textId="77777777" w:rsidR="00CE2F2F" w:rsidRPr="0007074F" w:rsidRDefault="00CE2F2F" w:rsidP="005D42AC">
      <w:pPr>
        <w:spacing w:before="40" w:after="120" w:line="276" w:lineRule="auto"/>
        <w:rPr>
          <w:rFonts w:eastAsia="Calibri" w:cstheme="minorHAnsi"/>
          <w:szCs w:val="20"/>
          <w:lang w:val="sr-Cyrl-CS" w:eastAsia="ja-JP"/>
        </w:rPr>
      </w:pPr>
      <w:r w:rsidRPr="0007074F">
        <w:rPr>
          <w:rFonts w:eastAsia="Calibri" w:cstheme="minorHAnsi"/>
          <w:szCs w:val="20"/>
          <w:lang w:val="sr-Cyrl-CS" w:eastAsia="ja-JP"/>
        </w:rPr>
        <w:t>У 2020. и 2021. години дошло је до промене тренда у јавним расходима с обзиром на размере кризе изазване пандемијом. Мере су биле значајне на расходној страни, што је довело до једнократног повећања учешћа расходне стране буџета у БДП. У 2022. смањена је експанзивност фискалне политике, али су обезбеђена значајна средства за ублажавање последица енергетске кризе, као и у 2023. години.</w:t>
      </w:r>
    </w:p>
    <w:p w14:paraId="2A06EFEF" w14:textId="77777777"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С обзиром на ограничен фискални простор у наредном периоду зараде ће се повећавати умерено и контролисано, водећи рачуна о њиховом учешћу у БДП.</w:t>
      </w:r>
    </w:p>
    <w:p w14:paraId="672F7E1C" w14:textId="55ED6C01" w:rsidR="00CE2F2F" w:rsidRPr="0007074F" w:rsidRDefault="00E23737" w:rsidP="00E05893">
      <w:pPr>
        <w:spacing w:after="120" w:line="276" w:lineRule="auto"/>
        <w:rPr>
          <w:rFonts w:eastAsia="Calibri" w:cstheme="minorHAnsi"/>
          <w:szCs w:val="20"/>
          <w:lang w:val="sr-Cyrl-CS" w:eastAsia="ja-JP"/>
        </w:rPr>
      </w:pPr>
      <w:r w:rsidRPr="0007074F">
        <w:rPr>
          <w:rFonts w:eastAsia="Calibri" w:cstheme="minorHAnsi"/>
          <w:szCs w:val="20"/>
          <w:lang w:val="sr-Cyrl-CS" w:eastAsia="ja-JP"/>
        </w:rPr>
        <w:t>Чланом</w:t>
      </w:r>
      <w:r w:rsidR="00CE2F2F" w:rsidRPr="0007074F">
        <w:rPr>
          <w:rFonts w:eastAsia="Calibri" w:cstheme="minorHAnsi"/>
          <w:szCs w:val="20"/>
          <w:lang w:val="sr-Cyrl-CS" w:eastAsia="ja-JP"/>
        </w:rPr>
        <w:t xml:space="preserve"> 27е Закона о буџетском систему предвиђен је максимални лимит расхода за запослене сектора државе од 10% БДП и индексирање плата такво да се не пређе ова граница. Исти члан предвиђа да се овај проценат коригује навише у случају повећања обухвата сектора државе, односно укључивањем ентитета у сектор државе, односно наниже у случају искључивања ентитета из сектора државе.</w:t>
      </w:r>
    </w:p>
    <w:p w14:paraId="2405F3A8" w14:textId="294EC1AF" w:rsidR="00CE2F2F" w:rsidRPr="0007074F" w:rsidRDefault="00CE2F2F" w:rsidP="00060248">
      <w:pPr>
        <w:widowControl w:val="0"/>
        <w:spacing w:after="120" w:line="276" w:lineRule="auto"/>
        <w:rPr>
          <w:rFonts w:eastAsia="Calibri" w:cstheme="minorHAnsi"/>
          <w:spacing w:val="2"/>
          <w:szCs w:val="20"/>
          <w:lang w:val="sr-Cyrl-CS" w:eastAsia="ja-JP"/>
        </w:rPr>
      </w:pPr>
      <w:r w:rsidRPr="0007074F">
        <w:rPr>
          <w:rFonts w:eastAsia="Calibri" w:cstheme="minorHAnsi"/>
          <w:spacing w:val="2"/>
          <w:szCs w:val="20"/>
          <w:lang w:val="sr-Cyrl-CS" w:eastAsia="ja-JP"/>
        </w:rPr>
        <w:t xml:space="preserve">Како се фискални оквир сектора државе у овој фискалној стратегији проширује за сопствена средства здравствених установа, процењени ниво расхода за запослене из тих средстава је 0,15% БДП. </w:t>
      </w:r>
      <w:r w:rsidRPr="0007074F">
        <w:rPr>
          <w:rFonts w:eastAsia="Calibri" w:cstheme="minorHAnsi"/>
          <w:bCs/>
          <w:spacing w:val="2"/>
          <w:szCs w:val="20"/>
          <w:lang w:val="sr-Cyrl-CS" w:eastAsia="ja-JP"/>
        </w:rPr>
        <w:t xml:space="preserve">Проширивање обухвата сектора државе, по овом основу, имплицира корекцију максималног лимита за расходе </w:t>
      </w:r>
      <w:r w:rsidR="006848C1" w:rsidRPr="0007074F">
        <w:rPr>
          <w:rFonts w:eastAsia="Calibri" w:cstheme="minorHAnsi"/>
          <w:bCs/>
          <w:spacing w:val="2"/>
          <w:szCs w:val="20"/>
          <w:lang w:val="sr-Cyrl-CS" w:eastAsia="ja-JP"/>
        </w:rPr>
        <w:t>запослених</w:t>
      </w:r>
      <w:r w:rsidRPr="0007074F">
        <w:rPr>
          <w:rFonts w:eastAsia="Calibri" w:cstheme="minorHAnsi"/>
          <w:bCs/>
          <w:spacing w:val="2"/>
          <w:szCs w:val="20"/>
          <w:lang w:val="sr-Cyrl-CS" w:eastAsia="ja-JP"/>
        </w:rPr>
        <w:t xml:space="preserve"> у </w:t>
      </w:r>
      <w:r w:rsidRPr="0007074F">
        <w:rPr>
          <w:rFonts w:eastAsia="Calibri" w:cstheme="minorHAnsi"/>
          <w:bCs/>
          <w:spacing w:val="2"/>
          <w:szCs w:val="20"/>
          <w:lang w:val="sr-Cyrl-CS" w:eastAsia="ja-JP"/>
        </w:rPr>
        <w:t xml:space="preserve">сектору државе на </w:t>
      </w:r>
      <w:r w:rsidRPr="0007074F">
        <w:rPr>
          <w:rFonts w:eastAsia="Calibri" w:cstheme="minorHAnsi"/>
          <w:b/>
          <w:bCs/>
          <w:spacing w:val="2"/>
          <w:szCs w:val="20"/>
          <w:lang w:val="sr-Cyrl-CS" w:eastAsia="ja-JP"/>
        </w:rPr>
        <w:t>10,15% БДП</w:t>
      </w:r>
      <w:r w:rsidRPr="0007074F">
        <w:rPr>
          <w:rFonts w:eastAsia="Calibri" w:cstheme="minorHAnsi"/>
          <w:bCs/>
          <w:spacing w:val="2"/>
          <w:szCs w:val="20"/>
          <w:lang w:val="sr-Cyrl-CS" w:eastAsia="ja-JP"/>
        </w:rPr>
        <w:t>.</w:t>
      </w:r>
    </w:p>
    <w:p w14:paraId="136134B3" w14:textId="77777777" w:rsidR="00CE2F2F" w:rsidRPr="0007074F" w:rsidRDefault="00CE2F2F" w:rsidP="00060248">
      <w:pPr>
        <w:widowControl w:val="0"/>
        <w:spacing w:after="120" w:line="276" w:lineRule="auto"/>
        <w:rPr>
          <w:rFonts w:eastAsia="Calibri" w:cstheme="minorHAnsi"/>
          <w:szCs w:val="20"/>
          <w:lang w:val="sr-Cyrl-CS" w:eastAsia="ja-JP"/>
        </w:rPr>
      </w:pPr>
      <w:r w:rsidRPr="0007074F">
        <w:rPr>
          <w:rFonts w:eastAsia="Calibri" w:cstheme="minorHAnsi"/>
          <w:szCs w:val="20"/>
          <w:lang w:val="sr-Cyrl-CS" w:eastAsia="ja-JP"/>
        </w:rPr>
        <w:t>Издаци за робе и услуге ће се смањивати у средњорочном периоду у смислу учешћа у БДП, с обзиром да је предвиђено да номинално расту спорије од раста номиналног БДП. Висок ниво у 2022. години у највећој мери је резултат већих расхода у сектору здравства.</w:t>
      </w:r>
    </w:p>
    <w:p w14:paraId="132F6124" w14:textId="77777777"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У претходном периоду смањени су расходи за камате што је показатељ успешно вођене фискалне и монетарне политике. Добри фискални резултати у претходном периоду смањили су потребе за задуживањем, што је уз ублажавање монетарне политике довело до пада каматних стопа. Имајући у виду растуће трошкове задуживања с обзиром на ситуацију на међународном финансијском тржишту и потребе за финансирањем дефицита пројектовано је да ће у наредном периоду ниво расхода за камате благо расти.</w:t>
      </w:r>
    </w:p>
    <w:p w14:paraId="1BAE58B4" w14:textId="77777777"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 xml:space="preserve">Социјална помоћ и трансфери становништву представљају највећу расходну категорију буџета државе. Највећа појединачна ставка ове групе расхода, а уједно и највећа ставка свих расхода, су пензије. Од 2020. године закључно са 2022. годином, пензије су се усклађивале коришћењем „швајцарске формуле”, како би се истовремено обезбедио раст животног стандарда пензионера и одрживост пензионог система и система јавних финансија. „Швајцарска формула” подразумева </w:t>
      </w:r>
      <w:r w:rsidRPr="0007074F">
        <w:rPr>
          <w:rFonts w:eastAsia="Calibri" w:cstheme="minorHAnsi"/>
          <w:szCs w:val="20"/>
          <w:lang w:val="sr-Cyrl-CS" w:eastAsia="ja-JP"/>
        </w:rPr>
        <w:lastRenderedPageBreak/>
        <w:t>индексацију, односно увећање пензија једнако збиру половине стопе раста просечне зараде и половине стопе раста потрошачких цена.</w:t>
      </w:r>
    </w:p>
    <w:p w14:paraId="0A8DB4D4" w14:textId="6B872185"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Од 2023. године примењује се другачији начин индексације пензија, односно, усклађивање пензија узима у обзир и учешће пензија у БДП, како би се додатно заштитио животни стандард пензионера</w:t>
      </w:r>
      <w:r w:rsidRPr="0007074F">
        <w:rPr>
          <w:rStyle w:val="FootnoteReference"/>
          <w:rFonts w:eastAsia="Calibri" w:cstheme="minorHAnsi"/>
          <w:szCs w:val="20"/>
          <w:lang w:val="sr-Cyrl-CS" w:eastAsia="ja-JP"/>
        </w:rPr>
        <w:footnoteReference w:id="3"/>
      </w:r>
      <w:r w:rsidRPr="0007074F">
        <w:rPr>
          <w:rFonts w:eastAsia="Calibri" w:cstheme="minorHAnsi"/>
          <w:szCs w:val="20"/>
          <w:lang w:val="sr-Cyrl-CS" w:eastAsia="ja-JP"/>
        </w:rPr>
        <w:t>. Начин индексације пензија, те њихово кретање, опредељује и путању кретања укупних расхода за социјалну заштиту кад је реч о учешћу у БДП. С обзиром на тренутну процену нивоа масе пензија у БДП, за наредну годину предвиђена је индексација пензија растом просечне зараде.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са</w:t>
      </w:r>
      <w:r w:rsidR="00033788" w:rsidRPr="0007074F">
        <w:rPr>
          <w:rFonts w:eastAsia="Calibri" w:cstheme="minorHAnsi"/>
          <w:szCs w:val="20"/>
          <w:lang w:val="sr-Cyrl-CS" w:eastAsia="ja-JP"/>
        </w:rPr>
        <w:t xml:space="preserve"> пројектованим бројем корисника.</w:t>
      </w:r>
    </w:p>
    <w:p w14:paraId="795EEEC5" w14:textId="42A276D6"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Смањење субвенција које служе као помоћ неефикасним сегментима јавног сектора омогућило је повећање оног дела субвенција које представљају праве подстицаје привреди, пре свега пољопривреди и малим и средњим предузећима, и које доводе до убрзања привредн</w:t>
      </w:r>
      <w:r w:rsidR="00E23737" w:rsidRPr="0007074F">
        <w:rPr>
          <w:rFonts w:eastAsia="Calibri" w:cstheme="minorHAnsi"/>
          <w:szCs w:val="20"/>
          <w:lang w:val="sr-Cyrl-CS" w:eastAsia="ja-JP"/>
        </w:rPr>
        <w:t>е активности. Током 2023. године</w:t>
      </w:r>
      <w:r w:rsidRPr="0007074F">
        <w:rPr>
          <w:rFonts w:eastAsia="Calibri" w:cstheme="minorHAnsi"/>
          <w:szCs w:val="20"/>
          <w:lang w:val="sr-Cyrl-CS" w:eastAsia="ja-JP"/>
        </w:rPr>
        <w:t xml:space="preserve"> бележи се привремени раст субвенција у смислу учешћа у БДП, узрокован већим расходима намењеним превазилажењу негативних ефеката растућих цена енергената, а који ће бити финансиран из донације Европске уније, те додатним субвенцијама намењених пољопривреди и саобраћајној инфраструктури.</w:t>
      </w:r>
    </w:p>
    <w:p w14:paraId="49FAFFE4" w14:textId="77777777"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 xml:space="preserve">Категорије осталих текућих расхода чине различити издаци, као што су дотације удружењима, политичким странкама, верским и спортским организацијама, казне, накнада штете итд. Као и код субвенција једнократни раст је узрокован фискалном реакцијом на кризу, с обзиром да су се са ове позиције исплаћивали фискални стимулуси становништву у 2022. години </w:t>
      </w:r>
      <w:r w:rsidRPr="0007074F">
        <w:rPr>
          <w:rFonts w:eastAsia="Calibri" w:cstheme="minorHAnsi"/>
          <w:szCs w:val="20"/>
          <w:lang w:val="sr-Cyrl-CS" w:eastAsia="ja-JP"/>
        </w:rPr>
        <w:t>тако да се у наредном периоду очекује смањење ових расхода у БДП.</w:t>
      </w:r>
    </w:p>
    <w:p w14:paraId="3D379F47" w14:textId="77777777"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Током претходних година значајно је побољшана ефикасност извршења јавних инвестиција. Капитални расходи су у 2022. години достигли чак 7,4% БДП, упркос проблемима које је проузроковала пандемија и енергетска криза. У наредном средњорочном периоду очекује се очување високог нивоа улагања у јавну инфраструктуру. Најзначајнији радови су на путној, железничкој, комуналној и водној инфраструктури који се углавном финансирају из међународних кредита. Поред саобраћајне инфраструктуре обезбеђена су средства за додатна капитална улагања у здравству, енергетици, заштити животне средине, просвети, култури, одбрани и другим областима које представљају најважније функције државе. Ово је све део новог инвестиционог циклуса на националном нивоу који је омогућен стварањем фискалног простора и подржан повољним условима за задуживање на међународном финансијском тржишту у претходном периоду.</w:t>
      </w:r>
    </w:p>
    <w:p w14:paraId="19E62B48" w14:textId="77777777" w:rsidR="00CE2F2F" w:rsidRPr="0007074F" w:rsidRDefault="00CE2F2F" w:rsidP="00C130D2">
      <w:pPr>
        <w:spacing w:after="120" w:line="276" w:lineRule="auto"/>
        <w:rPr>
          <w:lang w:val="sr-Cyrl-CS"/>
        </w:rPr>
      </w:pPr>
      <w:r w:rsidRPr="0007074F">
        <w:rPr>
          <w:rFonts w:eastAsia="Calibri" w:cstheme="minorHAnsi"/>
          <w:szCs w:val="20"/>
          <w:lang w:val="sr-Cyrl-CS" w:eastAsia="ja-JP"/>
        </w:rPr>
        <w:t>Опште опредељење фискалне политике у средњем року јесте повећање улагања у инфраструктуру на свим нивоима власти. Кад је реч о локалном нивоу власти то се пре свега односи на улагања у водоводну и канализациону инфраструктуру, управљање отпадом, локалну путну инфраструктуру и друго. Очекује се да Град Београд већ током ове године озбиљније крене у пројекат изградње метроа, уз помоћ државе.</w:t>
      </w:r>
    </w:p>
    <w:p w14:paraId="2E171D62" w14:textId="54B1A4A9"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У средњорочном фискалном оквиру, до краја 2026. године, пројектована је избалансирана укупна фискална позиција локалне самоуправе. То значи да у збиру сви градови и општине имају приближно избалансиран буџет. Пројекција је рађена на основу кретања у претходном периоду, у коме су збирно ЈЛС најчешће биле у суфициту. Овакво стање на нивоу свих локалних самоуправа је последица раздуживања у претходном периоду. То не значи да појединачне ЈЛС не могу ићи у дефицит</w:t>
      </w:r>
      <w:r w:rsidR="00E23737" w:rsidRPr="0007074F">
        <w:rPr>
          <w:rFonts w:eastAsia="Calibri" w:cstheme="minorHAnsi"/>
          <w:szCs w:val="20"/>
          <w:lang w:val="sr-Cyrl-CS" w:eastAsia="ja-JP"/>
        </w:rPr>
        <w:t xml:space="preserve"> (у складу са фискалним правилом)</w:t>
      </w:r>
      <w:r w:rsidRPr="0007074F">
        <w:rPr>
          <w:rFonts w:eastAsia="Calibri" w:cstheme="minorHAnsi"/>
          <w:szCs w:val="20"/>
          <w:lang w:val="sr-Cyrl-CS" w:eastAsia="ja-JP"/>
        </w:rPr>
        <w:t xml:space="preserve">, што </w:t>
      </w:r>
      <w:r w:rsidRPr="0007074F">
        <w:rPr>
          <w:rFonts w:eastAsia="Calibri" w:cstheme="minorHAnsi"/>
          <w:szCs w:val="20"/>
          <w:lang w:val="sr-Cyrl-CS" w:eastAsia="ja-JP"/>
        </w:rPr>
        <w:lastRenderedPageBreak/>
        <w:t>зависи од фискалне позиције сваке појединачне општине и града.</w:t>
      </w:r>
    </w:p>
    <w:p w14:paraId="47CF033B" w14:textId="48ED85A1" w:rsidR="00CE2F2F" w:rsidRPr="0007074F" w:rsidRDefault="00CE2F2F" w:rsidP="00C130D2">
      <w:pPr>
        <w:spacing w:after="120" w:line="276" w:lineRule="auto"/>
        <w:rPr>
          <w:rFonts w:eastAsia="Calibri" w:cstheme="minorHAnsi"/>
          <w:szCs w:val="20"/>
          <w:lang w:val="sr-Cyrl-CS" w:eastAsia="ja-JP"/>
        </w:rPr>
      </w:pPr>
      <w:r w:rsidRPr="0007074F">
        <w:rPr>
          <w:rFonts w:eastAsia="Calibri" w:cstheme="minorHAnsi"/>
          <w:szCs w:val="20"/>
          <w:lang w:val="sr-Cyrl-CS" w:eastAsia="ja-JP"/>
        </w:rPr>
        <w:t>На кретање категорије буџетских</w:t>
      </w:r>
      <w:r w:rsidR="0035610A" w:rsidRPr="0007074F">
        <w:rPr>
          <w:rFonts w:eastAsia="Calibri" w:cstheme="minorHAnsi"/>
          <w:szCs w:val="20"/>
          <w:lang w:val="sr-Cyrl-CS" w:eastAsia="ja-JP"/>
        </w:rPr>
        <w:t xml:space="preserve"> позајмица највише утичу средст</w:t>
      </w:r>
      <w:r w:rsidRPr="0007074F">
        <w:rPr>
          <w:rFonts w:eastAsia="Calibri" w:cstheme="minorHAnsi"/>
          <w:szCs w:val="20"/>
          <w:lang w:val="sr-Cyrl-CS" w:eastAsia="ja-JP"/>
        </w:rPr>
        <w:t>ва намењена превазилажењу негативних последица енергетске кризе. У 2022. години са ове</w:t>
      </w:r>
      <w:r w:rsidR="002F6732" w:rsidRPr="0007074F">
        <w:rPr>
          <w:rFonts w:eastAsia="Calibri" w:cstheme="minorHAnsi"/>
          <w:szCs w:val="20"/>
          <w:lang w:val="sr-Cyrl-CS" w:eastAsia="ja-JP"/>
        </w:rPr>
        <w:t xml:space="preserve"> категорије исплаћена су средст</w:t>
      </w:r>
      <w:r w:rsidRPr="0007074F">
        <w:rPr>
          <w:rFonts w:eastAsia="Calibri" w:cstheme="minorHAnsi"/>
          <w:szCs w:val="20"/>
          <w:lang w:val="sr-Cyrl-CS" w:eastAsia="ja-JP"/>
        </w:rPr>
        <w:t>ва у износу од 2,7% БДП, у 2023. години је предвиђено</w:t>
      </w:r>
      <w:r w:rsidR="00E23737" w:rsidRPr="0007074F">
        <w:rPr>
          <w:rFonts w:eastAsia="Calibri" w:cstheme="minorHAnsi"/>
          <w:szCs w:val="20"/>
          <w:lang w:val="sr-Cyrl-CS" w:eastAsia="ja-JP"/>
        </w:rPr>
        <w:t xml:space="preserve"> око 1,4% БДП, а за 2024. годину</w:t>
      </w:r>
      <w:r w:rsidRPr="0007074F">
        <w:rPr>
          <w:rFonts w:eastAsia="Calibri" w:cstheme="minorHAnsi"/>
          <w:szCs w:val="20"/>
          <w:lang w:val="sr-Cyrl-CS" w:eastAsia="ja-JP"/>
        </w:rPr>
        <w:t xml:space="preserve"> процењује се износ од 0,7% БДП.</w:t>
      </w:r>
    </w:p>
    <w:p w14:paraId="6BBBC4F9" w14:textId="77777777" w:rsidR="00CE2F2F" w:rsidRPr="0007074F" w:rsidRDefault="00CE2F2F" w:rsidP="007912B6">
      <w:pPr>
        <w:spacing w:line="276" w:lineRule="auto"/>
        <w:rPr>
          <w:rFonts w:eastAsia="Calibri" w:cstheme="minorHAnsi"/>
          <w:szCs w:val="20"/>
          <w:lang w:val="sr-Cyrl-CS" w:eastAsia="ja-JP"/>
        </w:rPr>
      </w:pPr>
      <w:r w:rsidRPr="0007074F">
        <w:rPr>
          <w:rFonts w:eastAsia="Calibri" w:cstheme="minorHAnsi"/>
          <w:szCs w:val="20"/>
          <w:lang w:val="sr-Cyrl-CS" w:eastAsia="ja-JP"/>
        </w:rPr>
        <w:t xml:space="preserve">Отплата по основу издатих гаранција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та предузећа нису могла самостално да их извршавају. Ови расходи су представљали велики терет за буџет с обзиром на дугогодишње неефикасно пословање великог броја државних предузећа и привредних </w:t>
      </w:r>
      <w:r w:rsidRPr="0007074F">
        <w:rPr>
          <w:rFonts w:eastAsia="Calibri" w:cstheme="minorHAnsi"/>
          <w:szCs w:val="20"/>
          <w:lang w:val="sr-Cyrl-CS" w:eastAsia="ja-JP"/>
        </w:rPr>
        <w:t>друштава. У претходном периоду ови расходи су значајно смањени, а планом отплате предвиђено је да ће до 2026. године ови расходи износити 0,3% БДП на годишњем нивоу.</w:t>
      </w:r>
    </w:p>
    <w:p w14:paraId="1D807CCB" w14:textId="77777777" w:rsidR="00CE2F2F" w:rsidRPr="0007074F" w:rsidRDefault="00CE2F2F" w:rsidP="007912B6">
      <w:pPr>
        <w:spacing w:after="120" w:line="276" w:lineRule="auto"/>
        <w:rPr>
          <w:rFonts w:cstheme="minorHAnsi"/>
          <w:b/>
          <w:bCs/>
          <w:color w:val="2F5496" w:themeColor="accent1" w:themeShade="BF"/>
          <w:sz w:val="22"/>
          <w:szCs w:val="20"/>
          <w:lang w:val="sr-Cyrl-CS"/>
        </w:rPr>
      </w:pPr>
      <w:r w:rsidRPr="0007074F">
        <w:rPr>
          <w:rFonts w:cstheme="minorHAnsi"/>
          <w:b/>
          <w:bCs/>
          <w:color w:val="2F5496" w:themeColor="accent1" w:themeShade="BF"/>
          <w:sz w:val="22"/>
          <w:szCs w:val="20"/>
          <w:lang w:val="sr-Cyrl-CS"/>
        </w:rPr>
        <w:t>Поређење са претходним програмом</w:t>
      </w:r>
    </w:p>
    <w:p w14:paraId="654046CB" w14:textId="77777777" w:rsidR="00CE2F2F" w:rsidRPr="0007074F" w:rsidRDefault="00CE2F2F" w:rsidP="005D42AC">
      <w:pPr>
        <w:rPr>
          <w:rFonts w:cstheme="minorHAnsi"/>
          <w:bCs/>
          <w:szCs w:val="20"/>
          <w:lang w:val="sr-Cyrl-CS"/>
        </w:rPr>
      </w:pPr>
      <w:r w:rsidRPr="0007074F">
        <w:rPr>
          <w:rFonts w:cstheme="minorHAnsi"/>
          <w:bCs/>
          <w:szCs w:val="20"/>
          <w:lang w:val="sr-Cyrl-CS"/>
        </w:rPr>
        <w:t>Средњорочни фискални оквир није значајно промењен у односу на претходни документ</w:t>
      </w:r>
      <w:r w:rsidRPr="0007074F">
        <w:rPr>
          <w:rFonts w:cstheme="minorHAnsi"/>
          <w:bCs/>
          <w:szCs w:val="20"/>
          <w:vertAlign w:val="superscript"/>
          <w:lang w:val="sr-Cyrl-CS"/>
        </w:rPr>
        <w:footnoteReference w:id="4"/>
      </w:r>
      <w:r w:rsidRPr="0007074F">
        <w:rPr>
          <w:rFonts w:cstheme="minorHAnsi"/>
          <w:bCs/>
          <w:szCs w:val="20"/>
          <w:lang w:val="sr-Cyrl-CS"/>
        </w:rPr>
        <w:t>, осим у делу који се тиче унапређења и проширења обухвата сектора државе, што је утицало на већи ниво прихода и расхода по том основу. Осим тога бољи приходи у 2022. години и на почетку 2023. године допринели су смањењу очекиваног дефицита у текућој години. Средњорочни циљеви се нису променили, од 2025. године планирани дефицити су у складу са фискалним правилима, што омогућава даље смањивање учешћа јавног дуга у БДП.</w:t>
      </w:r>
    </w:p>
    <w:p w14:paraId="6DE8CBC9" w14:textId="77777777" w:rsidR="00CE2F2F" w:rsidRPr="0007074F" w:rsidRDefault="00CE2F2F" w:rsidP="00451097">
      <w:pPr>
        <w:spacing w:before="360"/>
        <w:jc w:val="center"/>
        <w:rPr>
          <w:rFonts w:eastAsia="MS PGothic" w:cstheme="minorHAnsi"/>
          <w:b/>
          <w:color w:val="002060"/>
          <w:szCs w:val="20"/>
          <w:lang w:val="sr-Cyrl-CS" w:eastAsia="ja-JP"/>
        </w:rPr>
        <w:sectPr w:rsidR="00CE2F2F" w:rsidRPr="0007074F" w:rsidSect="00E05893">
          <w:footerReference w:type="even" r:id="rId144"/>
          <w:footerReference w:type="default" r:id="rId145"/>
          <w:headerReference w:type="first" r:id="rId146"/>
          <w:type w:val="continuous"/>
          <w:pgSz w:w="12240" w:h="15840" w:code="1"/>
          <w:pgMar w:top="1440" w:right="1440" w:bottom="1440" w:left="1440" w:header="720" w:footer="720" w:gutter="0"/>
          <w:cols w:num="2" w:space="720"/>
          <w:docGrid w:linePitch="360"/>
          <w15:footnoteColumns w:val="1"/>
        </w:sectPr>
      </w:pPr>
    </w:p>
    <w:p w14:paraId="16DEC965" w14:textId="77777777" w:rsidR="00CE2F2F" w:rsidRPr="0007074F" w:rsidRDefault="00CE2F2F" w:rsidP="00E05893">
      <w:pPr>
        <w:spacing w:before="280"/>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t>Табела 11. Поређење фискалних показатеља два програма, у % БДП</w:t>
      </w:r>
    </w:p>
    <w:tbl>
      <w:tblPr>
        <w:tblStyle w:val="ListTable6Colorful-Accent610"/>
        <w:tblW w:w="5000" w:type="pct"/>
        <w:tblLook w:val="04A0" w:firstRow="1" w:lastRow="0" w:firstColumn="1" w:lastColumn="0" w:noHBand="0" w:noVBand="1"/>
      </w:tblPr>
      <w:tblGrid>
        <w:gridCol w:w="5142"/>
        <w:gridCol w:w="842"/>
        <w:gridCol w:w="842"/>
        <w:gridCol w:w="842"/>
        <w:gridCol w:w="845"/>
        <w:gridCol w:w="847"/>
      </w:tblGrid>
      <w:tr w:rsidR="00E23737" w:rsidRPr="0007074F" w14:paraId="39A746D1" w14:textId="77777777" w:rsidTr="00E05893">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97" w:type="pct"/>
            <w:tcBorders>
              <w:top w:val="single" w:sz="4" w:space="0" w:color="002060"/>
              <w:bottom w:val="single" w:sz="4" w:space="0" w:color="FFFFFF" w:themeColor="background1"/>
            </w:tcBorders>
            <w:shd w:val="clear" w:color="auto" w:fill="FFFFFF" w:themeFill="background1"/>
            <w:noWrap/>
            <w:hideMark/>
          </w:tcPr>
          <w:p w14:paraId="7BE0E667" w14:textId="77777777" w:rsidR="00CE2F2F" w:rsidRPr="0007074F" w:rsidRDefault="00CE2F2F"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p>
        </w:tc>
        <w:tc>
          <w:tcPr>
            <w:tcW w:w="600" w:type="pct"/>
            <w:tcBorders>
              <w:top w:val="single" w:sz="4" w:space="0" w:color="002060"/>
              <w:bottom w:val="single" w:sz="4" w:space="0" w:color="002060"/>
            </w:tcBorders>
            <w:shd w:val="clear" w:color="auto" w:fill="FFFFFF" w:themeFill="background1"/>
            <w:noWrap/>
            <w:hideMark/>
          </w:tcPr>
          <w:p w14:paraId="7DF3FEE4" w14:textId="77777777" w:rsidR="00CE2F2F" w:rsidRPr="0007074F" w:rsidRDefault="00CE2F2F"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2022</w:t>
            </w:r>
          </w:p>
        </w:tc>
        <w:tc>
          <w:tcPr>
            <w:tcW w:w="600" w:type="pct"/>
            <w:tcBorders>
              <w:top w:val="single" w:sz="4" w:space="0" w:color="002060"/>
              <w:bottom w:val="single" w:sz="4" w:space="0" w:color="002060"/>
            </w:tcBorders>
            <w:shd w:val="clear" w:color="auto" w:fill="FFFFFF" w:themeFill="background1"/>
            <w:noWrap/>
            <w:hideMark/>
          </w:tcPr>
          <w:p w14:paraId="14866C3D" w14:textId="77777777" w:rsidR="00CE2F2F" w:rsidRPr="0007074F" w:rsidRDefault="00CE2F2F"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2023</w:t>
            </w:r>
          </w:p>
        </w:tc>
        <w:tc>
          <w:tcPr>
            <w:tcW w:w="600" w:type="pct"/>
            <w:tcBorders>
              <w:top w:val="single" w:sz="4" w:space="0" w:color="002060"/>
              <w:bottom w:val="single" w:sz="4" w:space="0" w:color="002060"/>
            </w:tcBorders>
            <w:shd w:val="clear" w:color="auto" w:fill="FFFFFF" w:themeFill="background1"/>
            <w:noWrap/>
            <w:hideMark/>
          </w:tcPr>
          <w:p w14:paraId="03F319EF" w14:textId="77777777" w:rsidR="00CE2F2F" w:rsidRPr="0007074F" w:rsidRDefault="00CE2F2F"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2024</w:t>
            </w:r>
          </w:p>
        </w:tc>
        <w:tc>
          <w:tcPr>
            <w:tcW w:w="601" w:type="pct"/>
            <w:tcBorders>
              <w:top w:val="single" w:sz="4" w:space="0" w:color="002060"/>
              <w:bottom w:val="single" w:sz="4" w:space="0" w:color="002060"/>
            </w:tcBorders>
            <w:shd w:val="clear" w:color="auto" w:fill="FFFFFF" w:themeFill="background1"/>
            <w:noWrap/>
            <w:hideMark/>
          </w:tcPr>
          <w:p w14:paraId="20369B07" w14:textId="77777777" w:rsidR="00CE2F2F" w:rsidRPr="0007074F" w:rsidRDefault="00CE2F2F"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2025</w:t>
            </w:r>
          </w:p>
        </w:tc>
        <w:tc>
          <w:tcPr>
            <w:tcW w:w="602" w:type="pct"/>
            <w:tcBorders>
              <w:top w:val="single" w:sz="4" w:space="0" w:color="002060"/>
              <w:bottom w:val="single" w:sz="4" w:space="0" w:color="002060"/>
            </w:tcBorders>
            <w:shd w:val="clear" w:color="auto" w:fill="FFFFFF" w:themeFill="background1"/>
            <w:noWrap/>
            <w:hideMark/>
          </w:tcPr>
          <w:p w14:paraId="69E60DAB" w14:textId="77777777" w:rsidR="00CE2F2F" w:rsidRPr="0007074F" w:rsidRDefault="00CE2F2F" w:rsidP="00E0589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2026</w:t>
            </w:r>
          </w:p>
        </w:tc>
      </w:tr>
      <w:tr w:rsidR="00E23737" w:rsidRPr="0007074F" w14:paraId="419B4635" w14:textId="77777777" w:rsidTr="00E05893">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97" w:type="pct"/>
            <w:tcBorders>
              <w:top w:val="single" w:sz="4" w:space="0" w:color="FFFFFF" w:themeColor="background1"/>
            </w:tcBorders>
            <w:shd w:val="clear" w:color="auto" w:fill="FFFFFF" w:themeFill="background1"/>
            <w:noWrap/>
            <w:hideMark/>
          </w:tcPr>
          <w:p w14:paraId="615496C4" w14:textId="1B9A8069" w:rsidR="00CE2F2F" w:rsidRPr="0007074F" w:rsidRDefault="00CE2F2F" w:rsidP="00E05893">
            <w:pPr>
              <w:keepNext/>
              <w:widowControl w:val="0"/>
              <w:shd w:val="clear" w:color="auto" w:fill="FFFFFF" w:themeFill="background1"/>
              <w:spacing w:line="276" w:lineRule="auto"/>
              <w:rPr>
                <w:rFonts w:eastAsia="Times New Roman" w:cstheme="minorHAnsi"/>
                <w:color w:val="002060"/>
                <w:sz w:val="18"/>
                <w:szCs w:val="18"/>
                <w:lang w:val="sr-Cyrl-CS"/>
              </w:rPr>
            </w:pPr>
            <w:r w:rsidRPr="0007074F">
              <w:rPr>
                <w:rFonts w:eastAsia="Times New Roman" w:cstheme="minorHAnsi"/>
                <w:color w:val="002060"/>
                <w:sz w:val="18"/>
                <w:szCs w:val="18"/>
                <w:lang w:val="sr-Cyrl-CS"/>
              </w:rPr>
              <w:t xml:space="preserve">Ревидирана Фискална стратегија </w:t>
            </w:r>
            <w:r w:rsidR="00E23737" w:rsidRPr="0007074F">
              <w:rPr>
                <w:rFonts w:eastAsia="Times New Roman" w:cstheme="minorHAnsi"/>
                <w:color w:val="002060"/>
                <w:sz w:val="18"/>
                <w:szCs w:val="18"/>
                <w:lang w:val="sr-Cyrl-CS"/>
              </w:rPr>
              <w:t xml:space="preserve">за период </w:t>
            </w:r>
            <w:r w:rsidRPr="0007074F">
              <w:rPr>
                <w:rFonts w:eastAsia="Times New Roman" w:cstheme="minorHAnsi"/>
                <w:color w:val="002060"/>
                <w:sz w:val="18"/>
                <w:szCs w:val="18"/>
                <w:lang w:val="sr-Cyrl-CS"/>
              </w:rPr>
              <w:t>2023–2025.</w:t>
            </w:r>
            <w:r w:rsidR="00B61357" w:rsidRPr="0007074F">
              <w:rPr>
                <w:rFonts w:eastAsia="Times New Roman" w:cstheme="minorHAnsi"/>
                <w:color w:val="002060"/>
                <w:sz w:val="18"/>
                <w:szCs w:val="18"/>
                <w:lang w:val="sr-Cyrl-CS"/>
              </w:rPr>
              <w:t xml:space="preserve"> године</w:t>
            </w:r>
          </w:p>
        </w:tc>
        <w:tc>
          <w:tcPr>
            <w:tcW w:w="600" w:type="pct"/>
            <w:tcBorders>
              <w:top w:val="single" w:sz="4" w:space="0" w:color="002060"/>
            </w:tcBorders>
            <w:shd w:val="clear" w:color="auto" w:fill="FFFFFF" w:themeFill="background1"/>
            <w:noWrap/>
            <w:hideMark/>
          </w:tcPr>
          <w:p w14:paraId="0528CB0D"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0" w:type="pct"/>
            <w:tcBorders>
              <w:top w:val="single" w:sz="4" w:space="0" w:color="002060"/>
            </w:tcBorders>
            <w:shd w:val="clear" w:color="auto" w:fill="FFFFFF" w:themeFill="background1"/>
            <w:noWrap/>
            <w:hideMark/>
          </w:tcPr>
          <w:p w14:paraId="09027024"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0" w:type="pct"/>
            <w:tcBorders>
              <w:top w:val="single" w:sz="4" w:space="0" w:color="002060"/>
            </w:tcBorders>
            <w:shd w:val="clear" w:color="auto" w:fill="FFFFFF" w:themeFill="background1"/>
            <w:noWrap/>
            <w:hideMark/>
          </w:tcPr>
          <w:p w14:paraId="3D94D451"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1" w:type="pct"/>
            <w:tcBorders>
              <w:top w:val="single" w:sz="4" w:space="0" w:color="002060"/>
            </w:tcBorders>
            <w:shd w:val="clear" w:color="auto" w:fill="FFFFFF" w:themeFill="background1"/>
            <w:noWrap/>
            <w:hideMark/>
          </w:tcPr>
          <w:p w14:paraId="11A20CF5"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2" w:type="pct"/>
            <w:tcBorders>
              <w:top w:val="single" w:sz="4" w:space="0" w:color="002060"/>
            </w:tcBorders>
            <w:shd w:val="clear" w:color="auto" w:fill="FFFFFF" w:themeFill="background1"/>
            <w:noWrap/>
            <w:hideMark/>
          </w:tcPr>
          <w:p w14:paraId="10D7CB34"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r>
      <w:tr w:rsidR="00E23737" w:rsidRPr="0007074F" w14:paraId="0076C46B" w14:textId="77777777" w:rsidTr="00E05893">
        <w:trPr>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7CE1418E" w14:textId="77777777" w:rsidR="00CE2F2F" w:rsidRPr="0007074F" w:rsidRDefault="00CE2F2F"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Приходи</w:t>
            </w:r>
          </w:p>
        </w:tc>
        <w:tc>
          <w:tcPr>
            <w:tcW w:w="600" w:type="pct"/>
            <w:shd w:val="clear" w:color="auto" w:fill="FFFFFF" w:themeFill="background1"/>
            <w:noWrap/>
            <w:hideMark/>
          </w:tcPr>
          <w:p w14:paraId="689CF0C6"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43,0</w:t>
            </w:r>
          </w:p>
        </w:tc>
        <w:tc>
          <w:tcPr>
            <w:tcW w:w="600" w:type="pct"/>
            <w:tcBorders>
              <w:top w:val="nil"/>
              <w:bottom w:val="nil"/>
            </w:tcBorders>
            <w:shd w:val="clear" w:color="auto" w:fill="auto"/>
            <w:noWrap/>
            <w:vAlign w:val="center"/>
            <w:hideMark/>
          </w:tcPr>
          <w:p w14:paraId="67CDD66F"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40,8</w:t>
            </w:r>
          </w:p>
        </w:tc>
        <w:tc>
          <w:tcPr>
            <w:tcW w:w="600" w:type="pct"/>
            <w:tcBorders>
              <w:top w:val="nil"/>
              <w:bottom w:val="nil"/>
            </w:tcBorders>
            <w:shd w:val="clear" w:color="auto" w:fill="auto"/>
            <w:noWrap/>
            <w:vAlign w:val="center"/>
            <w:hideMark/>
          </w:tcPr>
          <w:p w14:paraId="5EA85FDA"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40,3</w:t>
            </w:r>
          </w:p>
        </w:tc>
        <w:tc>
          <w:tcPr>
            <w:tcW w:w="601" w:type="pct"/>
            <w:tcBorders>
              <w:top w:val="nil"/>
              <w:bottom w:val="nil"/>
            </w:tcBorders>
            <w:shd w:val="clear" w:color="auto" w:fill="auto"/>
            <w:noWrap/>
            <w:vAlign w:val="center"/>
            <w:hideMark/>
          </w:tcPr>
          <w:p w14:paraId="7C720DE0"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39,6</w:t>
            </w:r>
          </w:p>
        </w:tc>
        <w:tc>
          <w:tcPr>
            <w:tcW w:w="602" w:type="pct"/>
            <w:tcBorders>
              <w:top w:val="nil"/>
              <w:bottom w:val="nil"/>
            </w:tcBorders>
            <w:shd w:val="clear" w:color="auto" w:fill="auto"/>
            <w:noWrap/>
            <w:vAlign w:val="center"/>
            <w:hideMark/>
          </w:tcPr>
          <w:p w14:paraId="3E8B48DB"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w:t>
            </w:r>
          </w:p>
        </w:tc>
      </w:tr>
      <w:tr w:rsidR="00E23737" w:rsidRPr="0007074F" w14:paraId="6D19EDE2" w14:textId="77777777" w:rsidTr="00E05893">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6759DB97" w14:textId="77777777" w:rsidR="00CE2F2F" w:rsidRPr="0007074F" w:rsidRDefault="00CE2F2F"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Расходи</w:t>
            </w:r>
          </w:p>
        </w:tc>
        <w:tc>
          <w:tcPr>
            <w:tcW w:w="600" w:type="pct"/>
            <w:shd w:val="clear" w:color="auto" w:fill="FFFFFF" w:themeFill="background1"/>
            <w:noWrap/>
            <w:hideMark/>
          </w:tcPr>
          <w:p w14:paraId="7D4A1BD3"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46,8</w:t>
            </w:r>
          </w:p>
        </w:tc>
        <w:tc>
          <w:tcPr>
            <w:tcW w:w="600" w:type="pct"/>
            <w:tcBorders>
              <w:top w:val="nil"/>
            </w:tcBorders>
            <w:shd w:val="clear" w:color="auto" w:fill="auto"/>
            <w:noWrap/>
            <w:vAlign w:val="center"/>
            <w:hideMark/>
          </w:tcPr>
          <w:p w14:paraId="1F1A6F81"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44,1</w:t>
            </w:r>
          </w:p>
        </w:tc>
        <w:tc>
          <w:tcPr>
            <w:tcW w:w="600" w:type="pct"/>
            <w:tcBorders>
              <w:top w:val="nil"/>
            </w:tcBorders>
            <w:shd w:val="clear" w:color="auto" w:fill="auto"/>
            <w:noWrap/>
            <w:vAlign w:val="center"/>
            <w:hideMark/>
          </w:tcPr>
          <w:p w14:paraId="54347976"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42,5</w:t>
            </w:r>
          </w:p>
        </w:tc>
        <w:tc>
          <w:tcPr>
            <w:tcW w:w="601" w:type="pct"/>
            <w:tcBorders>
              <w:top w:val="nil"/>
            </w:tcBorders>
            <w:shd w:val="clear" w:color="auto" w:fill="auto"/>
            <w:noWrap/>
            <w:vAlign w:val="center"/>
            <w:hideMark/>
          </w:tcPr>
          <w:p w14:paraId="7C247649"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41,0</w:t>
            </w:r>
          </w:p>
        </w:tc>
        <w:tc>
          <w:tcPr>
            <w:tcW w:w="602" w:type="pct"/>
            <w:tcBorders>
              <w:top w:val="nil"/>
            </w:tcBorders>
            <w:shd w:val="clear" w:color="auto" w:fill="auto"/>
            <w:noWrap/>
            <w:vAlign w:val="center"/>
            <w:hideMark/>
          </w:tcPr>
          <w:p w14:paraId="1DDAC73B"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w:t>
            </w:r>
          </w:p>
        </w:tc>
      </w:tr>
      <w:tr w:rsidR="00E23737" w:rsidRPr="0007074F" w14:paraId="71AE19EF" w14:textId="77777777" w:rsidTr="00E05893">
        <w:trPr>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16C7F3EF" w14:textId="29A43925" w:rsidR="00CE2F2F" w:rsidRPr="0007074F" w:rsidRDefault="00E23737"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Фсикални р</w:t>
            </w:r>
            <w:r w:rsidR="00CE2F2F" w:rsidRPr="0007074F">
              <w:rPr>
                <w:rFonts w:eastAsia="Times New Roman" w:cstheme="minorHAnsi"/>
                <w:b w:val="0"/>
                <w:color w:val="002060"/>
                <w:sz w:val="18"/>
                <w:szCs w:val="18"/>
                <w:lang w:val="sr-Cyrl-CS"/>
              </w:rPr>
              <w:t>езултат</w:t>
            </w:r>
          </w:p>
        </w:tc>
        <w:tc>
          <w:tcPr>
            <w:tcW w:w="600" w:type="pct"/>
            <w:tcBorders>
              <w:bottom w:val="nil"/>
            </w:tcBorders>
            <w:shd w:val="clear" w:color="auto" w:fill="FFFFFF" w:themeFill="background1"/>
            <w:noWrap/>
            <w:hideMark/>
          </w:tcPr>
          <w:p w14:paraId="0FE5E2FB"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-3,8</w:t>
            </w:r>
          </w:p>
        </w:tc>
        <w:tc>
          <w:tcPr>
            <w:tcW w:w="600" w:type="pct"/>
            <w:tcBorders>
              <w:bottom w:val="nil"/>
            </w:tcBorders>
            <w:shd w:val="clear" w:color="auto" w:fill="FFFFFF" w:themeFill="background1"/>
            <w:noWrap/>
            <w:hideMark/>
          </w:tcPr>
          <w:p w14:paraId="014171C8"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-3,3</w:t>
            </w:r>
          </w:p>
        </w:tc>
        <w:tc>
          <w:tcPr>
            <w:tcW w:w="600" w:type="pct"/>
            <w:tcBorders>
              <w:bottom w:val="nil"/>
            </w:tcBorders>
            <w:shd w:val="clear" w:color="auto" w:fill="FFFFFF" w:themeFill="background1"/>
            <w:noWrap/>
            <w:hideMark/>
          </w:tcPr>
          <w:p w14:paraId="46B6BAC8"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-2,2</w:t>
            </w:r>
          </w:p>
        </w:tc>
        <w:tc>
          <w:tcPr>
            <w:tcW w:w="601" w:type="pct"/>
            <w:tcBorders>
              <w:bottom w:val="nil"/>
            </w:tcBorders>
            <w:shd w:val="clear" w:color="auto" w:fill="FFFFFF" w:themeFill="background1"/>
            <w:noWrap/>
            <w:hideMark/>
          </w:tcPr>
          <w:p w14:paraId="6B285C2D"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-1,4</w:t>
            </w:r>
          </w:p>
        </w:tc>
        <w:tc>
          <w:tcPr>
            <w:tcW w:w="602" w:type="pct"/>
            <w:tcBorders>
              <w:bottom w:val="nil"/>
            </w:tcBorders>
            <w:shd w:val="clear" w:color="auto" w:fill="FFFFFF" w:themeFill="background1"/>
            <w:noWrap/>
            <w:hideMark/>
          </w:tcPr>
          <w:p w14:paraId="066527A2"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w:t>
            </w:r>
          </w:p>
        </w:tc>
      </w:tr>
      <w:tr w:rsidR="00E23737" w:rsidRPr="0007074F" w14:paraId="083C02CD" w14:textId="77777777" w:rsidTr="00E05893">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3F25ECD8" w14:textId="5042A7B5" w:rsidR="00CE2F2F" w:rsidRPr="0007074F" w:rsidRDefault="00CE2F2F" w:rsidP="00E05893">
            <w:pPr>
              <w:keepNext/>
              <w:widowControl w:val="0"/>
              <w:shd w:val="clear" w:color="auto" w:fill="FFFFFF" w:themeFill="background1"/>
              <w:spacing w:line="276" w:lineRule="auto"/>
              <w:rPr>
                <w:rFonts w:eastAsia="Times New Roman" w:cstheme="minorHAnsi"/>
                <w:color w:val="002060"/>
                <w:sz w:val="18"/>
                <w:szCs w:val="18"/>
                <w:lang w:val="sr-Cyrl-CS"/>
              </w:rPr>
            </w:pPr>
            <w:r w:rsidRPr="0007074F">
              <w:rPr>
                <w:rFonts w:eastAsia="Times New Roman" w:cstheme="minorHAnsi"/>
                <w:color w:val="002060"/>
                <w:sz w:val="18"/>
                <w:szCs w:val="18"/>
                <w:lang w:val="sr-Cyrl-CS"/>
              </w:rPr>
              <w:t xml:space="preserve">Фискална стратегија </w:t>
            </w:r>
            <w:r w:rsidR="00E23737" w:rsidRPr="0007074F">
              <w:rPr>
                <w:rFonts w:eastAsia="Times New Roman" w:cstheme="minorHAnsi"/>
                <w:color w:val="002060"/>
                <w:sz w:val="18"/>
                <w:szCs w:val="18"/>
                <w:lang w:val="sr-Cyrl-CS"/>
              </w:rPr>
              <w:t xml:space="preserve">за период </w:t>
            </w:r>
            <w:r w:rsidRPr="0007074F">
              <w:rPr>
                <w:rFonts w:eastAsia="Times New Roman" w:cstheme="minorHAnsi"/>
                <w:color w:val="002060"/>
                <w:sz w:val="18"/>
                <w:szCs w:val="18"/>
                <w:lang w:val="sr-Cyrl-CS"/>
              </w:rPr>
              <w:t>2024–2026.</w:t>
            </w:r>
            <w:r w:rsidR="00B61357" w:rsidRPr="0007074F">
              <w:rPr>
                <w:rFonts w:eastAsia="Times New Roman" w:cstheme="minorHAnsi"/>
                <w:color w:val="002060"/>
                <w:sz w:val="18"/>
                <w:szCs w:val="18"/>
                <w:lang w:val="sr-Cyrl-CS"/>
              </w:rPr>
              <w:t xml:space="preserve"> године</w:t>
            </w:r>
          </w:p>
        </w:tc>
        <w:tc>
          <w:tcPr>
            <w:tcW w:w="600" w:type="pct"/>
            <w:tcBorders>
              <w:top w:val="nil"/>
              <w:bottom w:val="nil"/>
            </w:tcBorders>
            <w:shd w:val="clear" w:color="auto" w:fill="FFFFFF" w:themeFill="background1"/>
            <w:noWrap/>
            <w:hideMark/>
          </w:tcPr>
          <w:p w14:paraId="2CFC0099"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0" w:type="pct"/>
            <w:tcBorders>
              <w:top w:val="nil"/>
              <w:bottom w:val="nil"/>
            </w:tcBorders>
            <w:shd w:val="clear" w:color="auto" w:fill="FFFFFF" w:themeFill="background1"/>
            <w:noWrap/>
            <w:hideMark/>
          </w:tcPr>
          <w:p w14:paraId="5AAFB729"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0" w:type="pct"/>
            <w:tcBorders>
              <w:top w:val="nil"/>
              <w:bottom w:val="nil"/>
            </w:tcBorders>
            <w:shd w:val="clear" w:color="auto" w:fill="FFFFFF" w:themeFill="background1"/>
            <w:noWrap/>
            <w:hideMark/>
          </w:tcPr>
          <w:p w14:paraId="221287F9"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1" w:type="pct"/>
            <w:tcBorders>
              <w:top w:val="nil"/>
              <w:bottom w:val="nil"/>
            </w:tcBorders>
            <w:shd w:val="clear" w:color="auto" w:fill="FFFFFF" w:themeFill="background1"/>
            <w:noWrap/>
            <w:hideMark/>
          </w:tcPr>
          <w:p w14:paraId="3BF71A66"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2" w:type="pct"/>
            <w:tcBorders>
              <w:top w:val="nil"/>
              <w:bottom w:val="nil"/>
            </w:tcBorders>
            <w:shd w:val="clear" w:color="auto" w:fill="FFFFFF" w:themeFill="background1"/>
            <w:noWrap/>
            <w:hideMark/>
          </w:tcPr>
          <w:p w14:paraId="11BC84B6"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r>
      <w:tr w:rsidR="00E23737" w:rsidRPr="0007074F" w14:paraId="269F9E4B" w14:textId="77777777" w:rsidTr="00E05893">
        <w:trPr>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01442D4C" w14:textId="77777777" w:rsidR="00CE2F2F" w:rsidRPr="0007074F" w:rsidRDefault="00CE2F2F"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Приходи</w:t>
            </w:r>
          </w:p>
        </w:tc>
        <w:tc>
          <w:tcPr>
            <w:tcW w:w="600" w:type="pct"/>
            <w:tcBorders>
              <w:top w:val="nil"/>
              <w:bottom w:val="nil"/>
            </w:tcBorders>
            <w:shd w:val="clear" w:color="auto" w:fill="auto"/>
            <w:noWrap/>
            <w:vAlign w:val="center"/>
            <w:hideMark/>
          </w:tcPr>
          <w:p w14:paraId="2F8A6047"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43,8</w:t>
            </w:r>
          </w:p>
        </w:tc>
        <w:tc>
          <w:tcPr>
            <w:tcW w:w="600" w:type="pct"/>
            <w:tcBorders>
              <w:top w:val="nil"/>
              <w:bottom w:val="nil"/>
            </w:tcBorders>
            <w:shd w:val="clear" w:color="auto" w:fill="auto"/>
            <w:noWrap/>
            <w:vAlign w:val="center"/>
            <w:hideMark/>
          </w:tcPr>
          <w:p w14:paraId="6A9C48F3"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41,8</w:t>
            </w:r>
          </w:p>
        </w:tc>
        <w:tc>
          <w:tcPr>
            <w:tcW w:w="600" w:type="pct"/>
            <w:tcBorders>
              <w:top w:val="nil"/>
              <w:bottom w:val="nil"/>
            </w:tcBorders>
            <w:shd w:val="clear" w:color="auto" w:fill="auto"/>
            <w:noWrap/>
            <w:vAlign w:val="center"/>
            <w:hideMark/>
          </w:tcPr>
          <w:p w14:paraId="08A790B9"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41,5</w:t>
            </w:r>
          </w:p>
        </w:tc>
        <w:tc>
          <w:tcPr>
            <w:tcW w:w="601" w:type="pct"/>
            <w:tcBorders>
              <w:top w:val="nil"/>
              <w:bottom w:val="nil"/>
            </w:tcBorders>
            <w:shd w:val="clear" w:color="auto" w:fill="auto"/>
            <w:noWrap/>
            <w:vAlign w:val="center"/>
            <w:hideMark/>
          </w:tcPr>
          <w:p w14:paraId="1F67BD5C"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41,5</w:t>
            </w:r>
          </w:p>
        </w:tc>
        <w:tc>
          <w:tcPr>
            <w:tcW w:w="602" w:type="pct"/>
            <w:tcBorders>
              <w:top w:val="nil"/>
              <w:bottom w:val="nil"/>
            </w:tcBorders>
            <w:shd w:val="clear" w:color="auto" w:fill="auto"/>
            <w:noWrap/>
            <w:vAlign w:val="center"/>
            <w:hideMark/>
          </w:tcPr>
          <w:p w14:paraId="69D83614"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41,4</w:t>
            </w:r>
          </w:p>
        </w:tc>
      </w:tr>
      <w:tr w:rsidR="00E23737" w:rsidRPr="0007074F" w14:paraId="744C8E67" w14:textId="77777777" w:rsidTr="00E05893">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548874D8" w14:textId="77777777" w:rsidR="00CE2F2F" w:rsidRPr="0007074F" w:rsidRDefault="00CE2F2F"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Расходи</w:t>
            </w:r>
          </w:p>
        </w:tc>
        <w:tc>
          <w:tcPr>
            <w:tcW w:w="600" w:type="pct"/>
            <w:tcBorders>
              <w:top w:val="nil"/>
            </w:tcBorders>
            <w:shd w:val="clear" w:color="auto" w:fill="auto"/>
            <w:noWrap/>
            <w:vAlign w:val="center"/>
            <w:hideMark/>
          </w:tcPr>
          <w:p w14:paraId="11F754E5"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46,9</w:t>
            </w:r>
          </w:p>
        </w:tc>
        <w:tc>
          <w:tcPr>
            <w:tcW w:w="600" w:type="pct"/>
            <w:tcBorders>
              <w:top w:val="nil"/>
            </w:tcBorders>
            <w:shd w:val="clear" w:color="auto" w:fill="auto"/>
            <w:noWrap/>
            <w:vAlign w:val="center"/>
            <w:hideMark/>
          </w:tcPr>
          <w:p w14:paraId="5880812C"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44,9</w:t>
            </w:r>
          </w:p>
        </w:tc>
        <w:tc>
          <w:tcPr>
            <w:tcW w:w="600" w:type="pct"/>
            <w:tcBorders>
              <w:top w:val="nil"/>
            </w:tcBorders>
            <w:shd w:val="clear" w:color="auto" w:fill="auto"/>
            <w:noWrap/>
            <w:vAlign w:val="center"/>
            <w:hideMark/>
          </w:tcPr>
          <w:p w14:paraId="54E866B9"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43,8</w:t>
            </w:r>
          </w:p>
        </w:tc>
        <w:tc>
          <w:tcPr>
            <w:tcW w:w="601" w:type="pct"/>
            <w:tcBorders>
              <w:top w:val="nil"/>
            </w:tcBorders>
            <w:shd w:val="clear" w:color="auto" w:fill="auto"/>
            <w:noWrap/>
            <w:vAlign w:val="center"/>
            <w:hideMark/>
          </w:tcPr>
          <w:p w14:paraId="72B9BD11"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43,0</w:t>
            </w:r>
          </w:p>
        </w:tc>
        <w:tc>
          <w:tcPr>
            <w:tcW w:w="602" w:type="pct"/>
            <w:tcBorders>
              <w:top w:val="nil"/>
            </w:tcBorders>
            <w:shd w:val="clear" w:color="auto" w:fill="auto"/>
            <w:noWrap/>
            <w:vAlign w:val="center"/>
            <w:hideMark/>
          </w:tcPr>
          <w:p w14:paraId="5A972AA9"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cstheme="minorHAnsi"/>
                <w:color w:val="002060"/>
                <w:sz w:val="18"/>
                <w:szCs w:val="18"/>
                <w:lang w:val="sr-Cyrl-CS"/>
              </w:rPr>
              <w:t>42,9</w:t>
            </w:r>
          </w:p>
        </w:tc>
      </w:tr>
      <w:tr w:rsidR="00E23737" w:rsidRPr="0007074F" w14:paraId="4566F78F" w14:textId="77777777" w:rsidTr="00E05893">
        <w:trPr>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37FFECAC" w14:textId="4242DC94" w:rsidR="00CE2F2F" w:rsidRPr="0007074F" w:rsidRDefault="00E23737"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Фискални р</w:t>
            </w:r>
            <w:r w:rsidR="00CE2F2F" w:rsidRPr="0007074F">
              <w:rPr>
                <w:rFonts w:eastAsia="Times New Roman" w:cstheme="minorHAnsi"/>
                <w:b w:val="0"/>
                <w:color w:val="002060"/>
                <w:sz w:val="18"/>
                <w:szCs w:val="18"/>
                <w:lang w:val="sr-Cyrl-CS"/>
              </w:rPr>
              <w:t>езултат</w:t>
            </w:r>
          </w:p>
        </w:tc>
        <w:tc>
          <w:tcPr>
            <w:tcW w:w="600" w:type="pct"/>
            <w:shd w:val="clear" w:color="auto" w:fill="FFFFFF" w:themeFill="background1"/>
            <w:noWrap/>
            <w:hideMark/>
          </w:tcPr>
          <w:p w14:paraId="702741A5"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-3,2</w:t>
            </w:r>
          </w:p>
        </w:tc>
        <w:tc>
          <w:tcPr>
            <w:tcW w:w="600" w:type="pct"/>
            <w:shd w:val="clear" w:color="auto" w:fill="FFFFFF" w:themeFill="background1"/>
            <w:noWrap/>
            <w:hideMark/>
          </w:tcPr>
          <w:p w14:paraId="2D0E5BDE"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-3,0</w:t>
            </w:r>
          </w:p>
        </w:tc>
        <w:tc>
          <w:tcPr>
            <w:tcW w:w="600" w:type="pct"/>
            <w:shd w:val="clear" w:color="auto" w:fill="FFFFFF" w:themeFill="background1"/>
            <w:noWrap/>
            <w:hideMark/>
          </w:tcPr>
          <w:p w14:paraId="1AE7101E"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-2,2</w:t>
            </w:r>
          </w:p>
        </w:tc>
        <w:tc>
          <w:tcPr>
            <w:tcW w:w="601" w:type="pct"/>
            <w:shd w:val="clear" w:color="auto" w:fill="FFFFFF" w:themeFill="background1"/>
            <w:noWrap/>
            <w:hideMark/>
          </w:tcPr>
          <w:p w14:paraId="2D6218C7"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-1,5</w:t>
            </w:r>
          </w:p>
        </w:tc>
        <w:tc>
          <w:tcPr>
            <w:tcW w:w="602" w:type="pct"/>
            <w:shd w:val="clear" w:color="auto" w:fill="FFFFFF" w:themeFill="background1"/>
            <w:noWrap/>
            <w:hideMark/>
          </w:tcPr>
          <w:p w14:paraId="275D67E1"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-1,5</w:t>
            </w:r>
          </w:p>
        </w:tc>
      </w:tr>
      <w:tr w:rsidR="00E23737" w:rsidRPr="0007074F" w14:paraId="2C3A4FB3" w14:textId="77777777" w:rsidTr="00E05893">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1A33F41B" w14:textId="2C888BF4" w:rsidR="00CE2F2F" w:rsidRPr="0007074F" w:rsidRDefault="00CE2F2F" w:rsidP="00E05893">
            <w:pPr>
              <w:keepNext/>
              <w:widowControl w:val="0"/>
              <w:shd w:val="clear" w:color="auto" w:fill="FFFFFF" w:themeFill="background1"/>
              <w:spacing w:line="276" w:lineRule="auto"/>
              <w:rPr>
                <w:rFonts w:eastAsia="Times New Roman" w:cstheme="minorHAnsi"/>
                <w:color w:val="002060"/>
                <w:sz w:val="18"/>
                <w:szCs w:val="18"/>
                <w:lang w:val="sr-Cyrl-CS"/>
              </w:rPr>
            </w:pPr>
            <w:r w:rsidRPr="0007074F">
              <w:rPr>
                <w:rFonts w:eastAsia="Times New Roman" w:cstheme="minorHAnsi"/>
                <w:color w:val="002060"/>
                <w:sz w:val="18"/>
                <w:szCs w:val="18"/>
                <w:lang w:val="sr-Cyrl-CS"/>
              </w:rPr>
              <w:t>Разлика</w:t>
            </w:r>
            <w:r w:rsidR="00E23737" w:rsidRPr="0007074F">
              <w:rPr>
                <w:rFonts w:eastAsia="Times New Roman" w:cstheme="minorHAnsi"/>
                <w:color w:val="002060"/>
                <w:sz w:val="18"/>
                <w:szCs w:val="18"/>
                <w:lang w:val="sr-Cyrl-CS"/>
              </w:rPr>
              <w:t xml:space="preserve"> два програма </w:t>
            </w:r>
          </w:p>
        </w:tc>
        <w:tc>
          <w:tcPr>
            <w:tcW w:w="600" w:type="pct"/>
            <w:shd w:val="clear" w:color="auto" w:fill="FFFFFF" w:themeFill="background1"/>
            <w:noWrap/>
            <w:hideMark/>
          </w:tcPr>
          <w:p w14:paraId="56286A67"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0" w:type="pct"/>
            <w:shd w:val="clear" w:color="auto" w:fill="FFFFFF" w:themeFill="background1"/>
            <w:noWrap/>
            <w:hideMark/>
          </w:tcPr>
          <w:p w14:paraId="6786CCE7"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0" w:type="pct"/>
            <w:shd w:val="clear" w:color="auto" w:fill="FFFFFF" w:themeFill="background1"/>
            <w:noWrap/>
            <w:hideMark/>
          </w:tcPr>
          <w:p w14:paraId="396FB1CE"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1" w:type="pct"/>
            <w:shd w:val="clear" w:color="auto" w:fill="FFFFFF" w:themeFill="background1"/>
            <w:noWrap/>
            <w:hideMark/>
          </w:tcPr>
          <w:p w14:paraId="0D04F74B"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c>
          <w:tcPr>
            <w:tcW w:w="602" w:type="pct"/>
            <w:shd w:val="clear" w:color="auto" w:fill="FFFFFF" w:themeFill="background1"/>
            <w:noWrap/>
            <w:hideMark/>
          </w:tcPr>
          <w:p w14:paraId="128FA85A"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p>
        </w:tc>
      </w:tr>
      <w:tr w:rsidR="00E23737" w:rsidRPr="0007074F" w14:paraId="254676DF" w14:textId="77777777" w:rsidTr="00E05893">
        <w:trPr>
          <w:trHeight w:val="241"/>
        </w:trPr>
        <w:tc>
          <w:tcPr>
            <w:cnfStyle w:val="001000000000" w:firstRow="0" w:lastRow="0" w:firstColumn="1" w:lastColumn="0" w:oddVBand="0" w:evenVBand="0" w:oddHBand="0" w:evenHBand="0" w:firstRowFirstColumn="0" w:firstRowLastColumn="0" w:lastRowFirstColumn="0" w:lastRowLastColumn="0"/>
            <w:tcW w:w="1997" w:type="pct"/>
            <w:shd w:val="clear" w:color="auto" w:fill="FFFFFF" w:themeFill="background1"/>
            <w:noWrap/>
            <w:hideMark/>
          </w:tcPr>
          <w:p w14:paraId="5410590C" w14:textId="77777777" w:rsidR="00CE2F2F" w:rsidRPr="0007074F" w:rsidRDefault="00CE2F2F"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Приходи</w:t>
            </w:r>
          </w:p>
        </w:tc>
        <w:tc>
          <w:tcPr>
            <w:tcW w:w="600" w:type="pct"/>
            <w:shd w:val="clear" w:color="auto" w:fill="FFFFFF" w:themeFill="background1"/>
            <w:noWrap/>
            <w:hideMark/>
          </w:tcPr>
          <w:p w14:paraId="12350518"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0,8</w:t>
            </w:r>
          </w:p>
        </w:tc>
        <w:tc>
          <w:tcPr>
            <w:tcW w:w="600" w:type="pct"/>
            <w:shd w:val="clear" w:color="auto" w:fill="FFFFFF" w:themeFill="background1"/>
            <w:noWrap/>
            <w:hideMark/>
          </w:tcPr>
          <w:p w14:paraId="17111422"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1,0</w:t>
            </w:r>
          </w:p>
        </w:tc>
        <w:tc>
          <w:tcPr>
            <w:tcW w:w="600" w:type="pct"/>
            <w:shd w:val="clear" w:color="auto" w:fill="FFFFFF" w:themeFill="background1"/>
            <w:noWrap/>
            <w:hideMark/>
          </w:tcPr>
          <w:p w14:paraId="053E087D"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2060"/>
                <w:sz w:val="18"/>
                <w:szCs w:val="18"/>
                <w:lang w:val="sr-Cyrl-CS"/>
              </w:rPr>
            </w:pPr>
            <w:r w:rsidRPr="0007074F">
              <w:rPr>
                <w:rFonts w:eastAsia="Times New Roman" w:cstheme="minorHAnsi"/>
                <w:bCs/>
                <w:color w:val="002060"/>
                <w:sz w:val="18"/>
                <w:szCs w:val="18"/>
                <w:lang w:val="sr-Cyrl-CS"/>
              </w:rPr>
              <w:t>1,2</w:t>
            </w:r>
          </w:p>
        </w:tc>
        <w:tc>
          <w:tcPr>
            <w:tcW w:w="601" w:type="pct"/>
            <w:shd w:val="clear" w:color="auto" w:fill="FFFFFF" w:themeFill="background1"/>
            <w:noWrap/>
            <w:hideMark/>
          </w:tcPr>
          <w:p w14:paraId="37D8565D"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2060"/>
                <w:sz w:val="18"/>
                <w:szCs w:val="18"/>
                <w:lang w:val="sr-Cyrl-CS"/>
              </w:rPr>
            </w:pPr>
            <w:r w:rsidRPr="0007074F">
              <w:rPr>
                <w:rFonts w:eastAsia="Times New Roman" w:cstheme="minorHAnsi"/>
                <w:bCs/>
                <w:color w:val="002060"/>
                <w:sz w:val="18"/>
                <w:szCs w:val="18"/>
                <w:lang w:val="sr-Cyrl-CS"/>
              </w:rPr>
              <w:t>1,9</w:t>
            </w:r>
          </w:p>
        </w:tc>
        <w:tc>
          <w:tcPr>
            <w:tcW w:w="602" w:type="pct"/>
            <w:shd w:val="clear" w:color="auto" w:fill="FFFFFF" w:themeFill="background1"/>
            <w:noWrap/>
            <w:hideMark/>
          </w:tcPr>
          <w:p w14:paraId="0175F50C"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color w:val="002060"/>
                <w:sz w:val="18"/>
                <w:szCs w:val="18"/>
                <w:lang w:val="sr-Cyrl-CS"/>
              </w:rPr>
              <w:t>-</w:t>
            </w:r>
          </w:p>
        </w:tc>
      </w:tr>
      <w:tr w:rsidR="00E23737" w:rsidRPr="0007074F" w14:paraId="45A71054" w14:textId="77777777" w:rsidTr="00E05893">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997" w:type="pct"/>
            <w:tcBorders>
              <w:bottom w:val="nil"/>
            </w:tcBorders>
            <w:shd w:val="clear" w:color="auto" w:fill="FFFFFF" w:themeFill="background1"/>
            <w:noWrap/>
            <w:hideMark/>
          </w:tcPr>
          <w:p w14:paraId="1B4B149E" w14:textId="77777777" w:rsidR="00CE2F2F" w:rsidRPr="0007074F" w:rsidRDefault="00CE2F2F"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Расходи</w:t>
            </w:r>
          </w:p>
        </w:tc>
        <w:tc>
          <w:tcPr>
            <w:tcW w:w="600" w:type="pct"/>
            <w:tcBorders>
              <w:bottom w:val="nil"/>
            </w:tcBorders>
            <w:shd w:val="clear" w:color="auto" w:fill="FFFFFF" w:themeFill="background1"/>
            <w:noWrap/>
            <w:hideMark/>
          </w:tcPr>
          <w:p w14:paraId="2A62BAF1"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0,1</w:t>
            </w:r>
          </w:p>
        </w:tc>
        <w:tc>
          <w:tcPr>
            <w:tcW w:w="600" w:type="pct"/>
            <w:tcBorders>
              <w:bottom w:val="nil"/>
            </w:tcBorders>
            <w:shd w:val="clear" w:color="auto" w:fill="FFFFFF" w:themeFill="background1"/>
            <w:noWrap/>
            <w:hideMark/>
          </w:tcPr>
          <w:p w14:paraId="28AA80F6"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0,8</w:t>
            </w:r>
          </w:p>
        </w:tc>
        <w:tc>
          <w:tcPr>
            <w:tcW w:w="600" w:type="pct"/>
            <w:tcBorders>
              <w:bottom w:val="nil"/>
            </w:tcBorders>
            <w:shd w:val="clear" w:color="auto" w:fill="FFFFFF" w:themeFill="background1"/>
            <w:noWrap/>
            <w:hideMark/>
          </w:tcPr>
          <w:p w14:paraId="3022318D"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CS"/>
              </w:rPr>
            </w:pPr>
            <w:r w:rsidRPr="0007074F">
              <w:rPr>
                <w:rFonts w:eastAsia="Times New Roman" w:cstheme="minorHAnsi"/>
                <w:bCs/>
                <w:color w:val="002060"/>
                <w:sz w:val="18"/>
                <w:szCs w:val="18"/>
                <w:lang w:val="sr-Cyrl-CS"/>
              </w:rPr>
              <w:t>1,2</w:t>
            </w:r>
          </w:p>
        </w:tc>
        <w:tc>
          <w:tcPr>
            <w:tcW w:w="601" w:type="pct"/>
            <w:tcBorders>
              <w:bottom w:val="nil"/>
            </w:tcBorders>
            <w:shd w:val="clear" w:color="auto" w:fill="FFFFFF" w:themeFill="background1"/>
            <w:noWrap/>
            <w:hideMark/>
          </w:tcPr>
          <w:p w14:paraId="2AD3B7B1"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CS"/>
              </w:rPr>
            </w:pPr>
            <w:r w:rsidRPr="0007074F">
              <w:rPr>
                <w:rFonts w:eastAsia="Times New Roman" w:cstheme="minorHAnsi"/>
                <w:bCs/>
                <w:color w:val="002060"/>
                <w:sz w:val="18"/>
                <w:szCs w:val="18"/>
                <w:lang w:val="sr-Cyrl-CS"/>
              </w:rPr>
              <w:t>2,0</w:t>
            </w:r>
          </w:p>
        </w:tc>
        <w:tc>
          <w:tcPr>
            <w:tcW w:w="602" w:type="pct"/>
            <w:tcBorders>
              <w:bottom w:val="nil"/>
            </w:tcBorders>
            <w:shd w:val="clear" w:color="auto" w:fill="FFFFFF" w:themeFill="background1"/>
            <w:noWrap/>
            <w:hideMark/>
          </w:tcPr>
          <w:p w14:paraId="173ACBBF" w14:textId="77777777" w:rsidR="00CE2F2F" w:rsidRPr="0007074F" w:rsidRDefault="00CE2F2F" w:rsidP="00E0589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w:t>
            </w:r>
          </w:p>
        </w:tc>
      </w:tr>
      <w:tr w:rsidR="00E23737" w:rsidRPr="0007074F" w14:paraId="0BB35D29" w14:textId="77777777" w:rsidTr="00E05893">
        <w:trPr>
          <w:trHeight w:val="241"/>
        </w:trPr>
        <w:tc>
          <w:tcPr>
            <w:cnfStyle w:val="001000000000" w:firstRow="0" w:lastRow="0" w:firstColumn="1" w:lastColumn="0" w:oddVBand="0" w:evenVBand="0" w:oddHBand="0" w:evenHBand="0" w:firstRowFirstColumn="0" w:firstRowLastColumn="0" w:lastRowFirstColumn="0" w:lastRowLastColumn="0"/>
            <w:tcW w:w="1997" w:type="pct"/>
            <w:tcBorders>
              <w:top w:val="nil"/>
              <w:bottom w:val="single" w:sz="4" w:space="0" w:color="002060"/>
            </w:tcBorders>
            <w:shd w:val="clear" w:color="auto" w:fill="FFFFFF" w:themeFill="background1"/>
            <w:noWrap/>
            <w:hideMark/>
          </w:tcPr>
          <w:p w14:paraId="352A2F9C" w14:textId="3F9CC3B8" w:rsidR="00CE2F2F" w:rsidRPr="0007074F" w:rsidRDefault="00E23737" w:rsidP="00E05893">
            <w:pPr>
              <w:keepNext/>
              <w:widowControl w:val="0"/>
              <w:shd w:val="clear" w:color="auto" w:fill="FFFFFF" w:themeFill="background1"/>
              <w:spacing w:line="276" w:lineRule="auto"/>
              <w:rPr>
                <w:rFonts w:eastAsia="Times New Roman" w:cstheme="minorHAnsi"/>
                <w:b w:val="0"/>
                <w:color w:val="002060"/>
                <w:sz w:val="18"/>
                <w:szCs w:val="18"/>
                <w:lang w:val="sr-Cyrl-CS"/>
              </w:rPr>
            </w:pPr>
            <w:r w:rsidRPr="0007074F">
              <w:rPr>
                <w:rFonts w:eastAsia="Times New Roman" w:cstheme="minorHAnsi"/>
                <w:b w:val="0"/>
                <w:color w:val="002060"/>
                <w:sz w:val="18"/>
                <w:szCs w:val="18"/>
                <w:lang w:val="sr-Cyrl-CS"/>
              </w:rPr>
              <w:t>Фискални р</w:t>
            </w:r>
            <w:r w:rsidR="00CE2F2F" w:rsidRPr="0007074F">
              <w:rPr>
                <w:rFonts w:eastAsia="Times New Roman" w:cstheme="minorHAnsi"/>
                <w:b w:val="0"/>
                <w:color w:val="002060"/>
                <w:sz w:val="18"/>
                <w:szCs w:val="18"/>
                <w:lang w:val="sr-Cyrl-CS"/>
              </w:rPr>
              <w:t>езултат</w:t>
            </w:r>
          </w:p>
        </w:tc>
        <w:tc>
          <w:tcPr>
            <w:tcW w:w="600" w:type="pct"/>
            <w:tcBorders>
              <w:top w:val="nil"/>
              <w:bottom w:val="single" w:sz="4" w:space="0" w:color="002060"/>
            </w:tcBorders>
            <w:shd w:val="clear" w:color="auto" w:fill="FFFFFF" w:themeFill="background1"/>
            <w:noWrap/>
            <w:hideMark/>
          </w:tcPr>
          <w:p w14:paraId="2E714199"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0,6</w:t>
            </w:r>
          </w:p>
        </w:tc>
        <w:tc>
          <w:tcPr>
            <w:tcW w:w="600" w:type="pct"/>
            <w:tcBorders>
              <w:top w:val="nil"/>
              <w:bottom w:val="single" w:sz="4" w:space="0" w:color="002060"/>
            </w:tcBorders>
            <w:shd w:val="clear" w:color="auto" w:fill="FFFFFF" w:themeFill="background1"/>
            <w:noWrap/>
            <w:hideMark/>
          </w:tcPr>
          <w:p w14:paraId="49EE60D3"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0,3</w:t>
            </w:r>
          </w:p>
        </w:tc>
        <w:tc>
          <w:tcPr>
            <w:tcW w:w="600" w:type="pct"/>
            <w:tcBorders>
              <w:top w:val="nil"/>
              <w:bottom w:val="single" w:sz="4" w:space="0" w:color="002060"/>
            </w:tcBorders>
            <w:shd w:val="clear" w:color="auto" w:fill="FFFFFF" w:themeFill="background1"/>
            <w:noWrap/>
            <w:hideMark/>
          </w:tcPr>
          <w:p w14:paraId="59055B1D"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0,0</w:t>
            </w:r>
          </w:p>
        </w:tc>
        <w:tc>
          <w:tcPr>
            <w:tcW w:w="601" w:type="pct"/>
            <w:tcBorders>
              <w:top w:val="nil"/>
              <w:bottom w:val="single" w:sz="4" w:space="0" w:color="002060"/>
            </w:tcBorders>
            <w:shd w:val="clear" w:color="auto" w:fill="FFFFFF" w:themeFill="background1"/>
            <w:noWrap/>
            <w:hideMark/>
          </w:tcPr>
          <w:p w14:paraId="3D8546EB"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-0,1</w:t>
            </w:r>
          </w:p>
        </w:tc>
        <w:tc>
          <w:tcPr>
            <w:tcW w:w="602" w:type="pct"/>
            <w:tcBorders>
              <w:top w:val="nil"/>
              <w:bottom w:val="single" w:sz="4" w:space="0" w:color="002060"/>
            </w:tcBorders>
            <w:shd w:val="clear" w:color="auto" w:fill="FFFFFF" w:themeFill="background1"/>
            <w:noWrap/>
            <w:hideMark/>
          </w:tcPr>
          <w:p w14:paraId="3CFE87FA" w14:textId="77777777" w:rsidR="00CE2F2F" w:rsidRPr="0007074F" w:rsidRDefault="00CE2F2F" w:rsidP="00E0589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CS"/>
              </w:rPr>
            </w:pPr>
            <w:r w:rsidRPr="0007074F">
              <w:rPr>
                <w:rFonts w:eastAsia="Times New Roman" w:cstheme="minorHAnsi"/>
                <w:bCs/>
                <w:color w:val="002060"/>
                <w:sz w:val="18"/>
                <w:szCs w:val="18"/>
                <w:lang w:val="sr-Cyrl-CS"/>
              </w:rPr>
              <w:t>-</w:t>
            </w:r>
          </w:p>
        </w:tc>
      </w:tr>
    </w:tbl>
    <w:p w14:paraId="7B09B17A" w14:textId="77777777" w:rsidR="00CE2F2F" w:rsidRPr="0007074F" w:rsidRDefault="00CE2F2F" w:rsidP="00783F09">
      <w:pPr>
        <w:spacing w:before="40" w:after="120" w:line="276" w:lineRule="auto"/>
        <w:rPr>
          <w:rFonts w:cstheme="minorHAnsi"/>
          <w:sz w:val="16"/>
          <w:szCs w:val="20"/>
          <w:lang w:val="sr-Cyrl-CS"/>
        </w:rPr>
      </w:pPr>
      <w:r w:rsidRPr="0007074F">
        <w:rPr>
          <w:rFonts w:eastAsia="Calibri" w:cstheme="minorHAnsi"/>
          <w:bCs/>
          <w:sz w:val="16"/>
          <w:szCs w:val="20"/>
          <w:lang w:val="sr-Cyrl-CS" w:eastAsia="ja-JP"/>
        </w:rPr>
        <w:t xml:space="preserve">Извор: </w:t>
      </w:r>
      <w:r w:rsidRPr="0007074F">
        <w:rPr>
          <w:rFonts w:cstheme="minorHAnsi"/>
          <w:sz w:val="16"/>
          <w:szCs w:val="20"/>
          <w:lang w:val="sr-Cyrl-CS"/>
        </w:rPr>
        <w:t>Министарство финансија</w:t>
      </w:r>
    </w:p>
    <w:p w14:paraId="3DEA8F61" w14:textId="77777777" w:rsidR="00CE2F2F" w:rsidRPr="0007074F" w:rsidRDefault="00CE2F2F" w:rsidP="00E255B2">
      <w:pPr>
        <w:spacing w:line="276" w:lineRule="auto"/>
        <w:rPr>
          <w:rFonts w:cstheme="minorHAnsi"/>
          <w:bCs/>
          <w:szCs w:val="20"/>
          <w:lang w:val="sr-Cyrl-CS"/>
        </w:rPr>
        <w:sectPr w:rsidR="00CE2F2F" w:rsidRPr="0007074F" w:rsidSect="00E05893">
          <w:type w:val="continuous"/>
          <w:pgSz w:w="12240" w:h="15840" w:code="1"/>
          <w:pgMar w:top="1440" w:right="1440" w:bottom="1440" w:left="1440" w:header="720" w:footer="720" w:gutter="0"/>
          <w:cols w:space="720"/>
          <w:docGrid w:linePitch="360"/>
        </w:sectPr>
      </w:pPr>
    </w:p>
    <w:p w14:paraId="6A8B5207" w14:textId="77777777" w:rsidR="00CE2F2F" w:rsidRPr="0007074F" w:rsidRDefault="00CE2F2F">
      <w:pPr>
        <w:jc w:val="left"/>
        <w:rPr>
          <w:lang w:val="sr-Cyrl-CS"/>
        </w:rPr>
      </w:pPr>
    </w:p>
    <w:p w14:paraId="7DD6D5EB" w14:textId="77777777" w:rsidR="00CE2F2F" w:rsidRPr="0007074F" w:rsidRDefault="00CE2F2F">
      <w:pPr>
        <w:jc w:val="left"/>
        <w:rPr>
          <w:lang w:val="sr-Cyrl-CS"/>
        </w:rPr>
      </w:pPr>
    </w:p>
    <w:p w14:paraId="2F7CD678" w14:textId="77777777" w:rsidR="00CE2F2F" w:rsidRPr="0007074F" w:rsidRDefault="00CE2F2F" w:rsidP="00CE2F2F">
      <w:pPr>
        <w:rPr>
          <w:lang w:val="sr-Cyrl-CS"/>
        </w:rPr>
      </w:pPr>
      <w:r w:rsidRPr="0007074F">
        <w:rPr>
          <w:lang w:val="sr-Cyrl-CS"/>
        </w:rPr>
        <w:br w:type="page"/>
      </w:r>
    </w:p>
    <w:bookmarkEnd w:id="42"/>
    <w:bookmarkEnd w:id="43"/>
    <w:p w14:paraId="79DE8481" w14:textId="77777777" w:rsidR="00C171B0" w:rsidRPr="0007074F" w:rsidRDefault="00C171B0" w:rsidP="000D3688">
      <w:pPr>
        <w:rPr>
          <w:lang w:val="sr-Cyrl-CS"/>
        </w:rPr>
      </w:pPr>
      <w:r w:rsidRPr="0007074F">
        <w:rPr>
          <w:rFonts w:eastAsia="Calibri" w:cstheme="minorHAnsi"/>
          <w:b/>
          <w:color w:val="2F5496" w:themeColor="accent1" w:themeShade="BF"/>
          <w:sz w:val="22"/>
          <w:szCs w:val="20"/>
          <w:lang w:val="sr-Cyrl-CS" w:eastAsia="ja-JP"/>
        </w:rPr>
        <w:lastRenderedPageBreak/>
        <w:t>Структурне мере за унапређење стабилности и одрживости јавних финансија</w:t>
      </w:r>
      <w:r w:rsidRPr="0007074F">
        <w:rPr>
          <w:rFonts w:eastAsia="Calibri" w:cstheme="minorHAnsi"/>
          <w:b/>
          <w:color w:val="2F5496" w:themeColor="accent1" w:themeShade="BF"/>
          <w:sz w:val="22"/>
          <w:szCs w:val="20"/>
          <w:vertAlign w:val="superscript"/>
          <w:lang w:val="sr-Cyrl-CS" w:eastAsia="ja-JP"/>
        </w:rPr>
        <w:footnoteReference w:id="5"/>
      </w:r>
    </w:p>
    <w:p w14:paraId="688E46BE" w14:textId="77777777" w:rsidR="00C171B0" w:rsidRPr="0007074F" w:rsidRDefault="00C171B0" w:rsidP="00953528">
      <w:pPr>
        <w:rPr>
          <w:rFonts w:ascii="Calibri" w:eastAsia="Calibri" w:hAnsi="Calibri" w:cs="Calibri"/>
          <w:color w:val="44546A"/>
          <w:spacing w:val="-2"/>
          <w:szCs w:val="20"/>
          <w:lang w:val="sr-Cyrl-CS" w:eastAsia="ja-JP"/>
        </w:rPr>
      </w:pPr>
      <w:r w:rsidRPr="0007074F">
        <w:rPr>
          <w:rFonts w:ascii="Calibri" w:eastAsia="Calibri" w:hAnsi="Calibri" w:cs="Calibri"/>
          <w:color w:val="44546A"/>
          <w:spacing w:val="-2"/>
          <w:szCs w:val="20"/>
          <w:lang w:val="sr-Cyrl-CS" w:eastAsia="ja-JP"/>
        </w:rPr>
        <w:t>Криза у Украјини је унела неизвесност у све економске токове, жестоко погађајући ланце снабдевања и стварајући додатне инфлаторне притиске на тржиштима хране, енергије, сировина и других добара. Смањење домаће производње електричне енергије у 2022. години повећало је потребе за њеним увозом по значајно вишим ценама, док су значајна додатна средства била потребна и за набавку гаса уз погоршавање услова на финансијским тржиштима. У оваквим ванредним околностима Република Србија је у децембру 2022. године склопила нови аранжман са ММФ, у трајању од две године и који има карактер аранжмана из предострожности. Програм има за циљ: 1) очување макроекономске и финансијске стабилности прилагођавањем политика на настале економске шокове; 2) јачање отпорности привреде на енергетске шокове спровођењем одговарајућих енергетских политика и реформи за суочавање са изазовима домаћег енергетског сектора, истовремено штитећи најугроженије; 3) давање подстицаја бржем, зеленом и инклузивном одрживом расту у средњем року спровођењем свеобухватних структурних реформи. Циљеви програма су компатибилни с тежњама Републике Србије да се придружи ЕУ.</w:t>
      </w:r>
    </w:p>
    <w:p w14:paraId="353CC6DC" w14:textId="77777777" w:rsidR="00C171B0" w:rsidRPr="0007074F" w:rsidRDefault="00C171B0" w:rsidP="000D3688">
      <w:pPr>
        <w:rPr>
          <w:rFonts w:ascii="Calibri" w:eastAsia="Calibri" w:hAnsi="Calibri" w:cs="Calibri"/>
          <w:color w:val="44546A"/>
          <w:spacing w:val="-2"/>
          <w:szCs w:val="20"/>
          <w:lang w:val="sr-Cyrl-CS" w:eastAsia="ja-JP"/>
        </w:rPr>
      </w:pPr>
      <w:r w:rsidRPr="0007074F">
        <w:rPr>
          <w:rFonts w:ascii="Calibri" w:eastAsia="Calibri" w:hAnsi="Calibri" w:cs="Calibri"/>
          <w:color w:val="44546A"/>
          <w:spacing w:val="-2"/>
          <w:szCs w:val="20"/>
          <w:lang w:val="sr-Cyrl-CS" w:eastAsia="ja-JP"/>
        </w:rPr>
        <w:t xml:space="preserve">Како би се обезбедила стабилност и одрживост јавних финансија на дужи рок потребно је имати функционалан систем фискалних правила. Фискална правила по први пут су уведена Законом о буџетском систему 2010. године. Република Србија је била једна од првих земаља која је </w:t>
      </w:r>
      <w:r w:rsidRPr="0007074F">
        <w:rPr>
          <w:rFonts w:ascii="Calibri" w:eastAsia="Calibri" w:hAnsi="Calibri" w:cs="Calibri"/>
          <w:color w:val="44546A"/>
          <w:spacing w:val="-2"/>
          <w:szCs w:val="20"/>
          <w:lang w:val="sr-Cyrl-CS" w:eastAsia="ja-JP"/>
        </w:rPr>
        <w:t>законом утврдила национална фискална правила и оформила независну институцију Фискални савет који оцењује Владину економску и фискалну политику, као и поштовање правила. Како су правила постала важећа у току светске економске кризе, нумеричко правило за дуг прекршено је већ у првој години примене. У међувремену фискална правила уводило је све више земаља, поред националних фискалних правила земље чланице ЕУ примењују и правила дефинисана на нивоу ЕУ и ЕМУ. Европска фискална правила су у неколико наврата мењана и редефинисана имајући у виду примену и ефекте до којих је примена правила доводила. Имајући у виду да је од увођења фискалних правила у Републици Србији протекло дванаест година, створили су се услови за њихову измену, узимајући у обзир искуства других земаља, праваца у којима су се мењала фискална правила ЕУ, последице и реаговања фискалне политике на велику економску кризу из 2008. године, али и искуство последње, пре свега здравствене, али и економске кризе коју је изазвала пандемија коронавируса, а након тога и криза изазвана конфликтом у Украјини.</w:t>
      </w:r>
    </w:p>
    <w:p w14:paraId="77A5A59C" w14:textId="77777777" w:rsidR="00C171B0" w:rsidRPr="0007074F" w:rsidRDefault="00C171B0" w:rsidP="000D3688">
      <w:pPr>
        <w:rPr>
          <w:rFonts w:ascii="Calibri" w:eastAsia="Calibri" w:hAnsi="Calibri" w:cs="Calibri"/>
          <w:color w:val="44546A"/>
          <w:szCs w:val="20"/>
          <w:lang w:val="sr-Cyrl-CS" w:eastAsia="ja-JP"/>
        </w:rPr>
      </w:pPr>
      <w:r w:rsidRPr="0007074F">
        <w:rPr>
          <w:rFonts w:ascii="Calibri" w:eastAsia="Calibri" w:hAnsi="Calibri" w:cs="Calibri"/>
          <w:color w:val="44546A"/>
          <w:spacing w:val="-2"/>
          <w:szCs w:val="20"/>
          <w:lang w:val="sr-Cyrl-CS"/>
        </w:rPr>
        <w:t>Нови сет фискалних правила саставни је део Закона о изменама и допунама Закона о буџетском систему, усвојеног у децембру 2022. године</w:t>
      </w:r>
      <w:r w:rsidRPr="0007074F">
        <w:rPr>
          <w:rFonts w:ascii="Calibri" w:eastAsia="Calibri" w:hAnsi="Calibri" w:cs="Calibri"/>
          <w:color w:val="44546A"/>
          <w:szCs w:val="20"/>
          <w:lang w:val="sr-Cyrl-CS" w:eastAsia="ja-JP"/>
        </w:rPr>
        <w:t>. Одступање од ових правила је могуће само изузетно и привремено, и то у случајевима природних катастрофа и екстерних шокова који утичу на угрожавање здравља људи, националне безбедности и значајан пад привредне активности.</w:t>
      </w:r>
    </w:p>
    <w:p w14:paraId="28CF3AA6" w14:textId="77777777" w:rsidR="00C171B0" w:rsidRPr="0007074F" w:rsidRDefault="00C171B0">
      <w:pPr>
        <w:jc w:val="left"/>
        <w:rPr>
          <w:rFonts w:ascii="Calibri" w:eastAsia="Calibri" w:hAnsi="Calibri" w:cs="Calibri"/>
          <w:color w:val="44546A"/>
          <w:spacing w:val="-2"/>
          <w:szCs w:val="20"/>
          <w:lang w:val="sr-Cyrl-CS" w:eastAsia="ja-JP"/>
        </w:rPr>
      </w:pPr>
      <w:r w:rsidRPr="0007074F">
        <w:rPr>
          <w:rFonts w:ascii="Calibri" w:eastAsia="Calibri" w:hAnsi="Calibri" w:cs="Calibri"/>
          <w:color w:val="44546A"/>
          <w:spacing w:val="-2"/>
          <w:szCs w:val="20"/>
          <w:lang w:val="sr-Cyrl-CS" w:eastAsia="ja-JP"/>
        </w:rPr>
        <w:br w:type="page"/>
      </w:r>
    </w:p>
    <w:p w14:paraId="3109B837" w14:textId="77777777" w:rsidR="00C171B0" w:rsidRPr="0007074F" w:rsidRDefault="00C171B0" w:rsidP="000D3688">
      <w:pPr>
        <w:spacing w:after="0"/>
        <w:rPr>
          <w:rFonts w:ascii="Calibri" w:eastAsia="Calibri" w:hAnsi="Calibri" w:cs="Calibri"/>
          <w:color w:val="44546A"/>
          <w:spacing w:val="-2"/>
          <w:szCs w:val="20"/>
          <w:lang w:val="sr-Cyrl-CS" w:eastAsia="ja-JP"/>
        </w:rPr>
        <w:sectPr w:rsidR="00C171B0" w:rsidRPr="0007074F" w:rsidSect="000D3688">
          <w:headerReference w:type="default" r:id="rId147"/>
          <w:footerReference w:type="default" r:id="rId148"/>
          <w:headerReference w:type="first" r:id="rId149"/>
          <w:footerReference w:type="first" r:id="rId150"/>
          <w:type w:val="continuous"/>
          <w:pgSz w:w="12240" w:h="15840" w:code="1"/>
          <w:pgMar w:top="1440" w:right="1440" w:bottom="1440" w:left="1440" w:header="720" w:footer="720" w:gutter="0"/>
          <w:cols w:num="2" w:space="720"/>
          <w:docGrid w:linePitch="360"/>
          <w15:footnoteColumns w:val="1"/>
        </w:sectPr>
      </w:pPr>
    </w:p>
    <w:tbl>
      <w:tblPr>
        <w:tblStyle w:val="TableGrid"/>
        <w:tblW w:w="0" w:type="auto"/>
        <w:tblBorders>
          <w:top w:val="single" w:sz="4" w:space="0" w:color="44546A" w:themeColor="text2"/>
          <w:left w:val="single" w:sz="4" w:space="0" w:color="44546A" w:themeColor="text2"/>
          <w:bottom w:val="single" w:sz="4" w:space="0" w:color="44546A" w:themeColor="text2"/>
          <w:right w:val="single" w:sz="4" w:space="0" w:color="44546A" w:themeColor="text2"/>
          <w:insideH w:val="none" w:sz="0" w:space="0" w:color="auto"/>
          <w:insideV w:val="none" w:sz="0" w:space="0" w:color="auto"/>
        </w:tblBorders>
        <w:tblLook w:val="04A0" w:firstRow="1" w:lastRow="0" w:firstColumn="1" w:lastColumn="0" w:noHBand="0" w:noVBand="1"/>
      </w:tblPr>
      <w:tblGrid>
        <w:gridCol w:w="9350"/>
      </w:tblGrid>
      <w:tr w:rsidR="00C171B0" w:rsidRPr="0007074F" w14:paraId="170FA4C4" w14:textId="77777777" w:rsidTr="000D3688">
        <w:tc>
          <w:tcPr>
            <w:tcW w:w="9350" w:type="dxa"/>
          </w:tcPr>
          <w:p w14:paraId="5CECDB83" w14:textId="77777777" w:rsidR="00C171B0" w:rsidRPr="0007074F" w:rsidRDefault="00C171B0" w:rsidP="000D3688">
            <w:pPr>
              <w:spacing w:after="160"/>
              <w:rPr>
                <w:b/>
                <w:lang w:val="sr-Cyrl-CS"/>
              </w:rPr>
            </w:pPr>
            <w:r w:rsidRPr="0007074F">
              <w:rPr>
                <w:b/>
                <w:lang w:val="sr-Cyrl-CS"/>
              </w:rPr>
              <w:lastRenderedPageBreak/>
              <w:t>Нови сет фискалних правила:</w:t>
            </w:r>
          </w:p>
          <w:p w14:paraId="05AE2003" w14:textId="77777777" w:rsidR="00C171B0" w:rsidRPr="0007074F" w:rsidRDefault="00C171B0" w:rsidP="000D3688">
            <w:pPr>
              <w:spacing w:after="160"/>
              <w:rPr>
                <w:lang w:val="sr-Cyrl-CS"/>
              </w:rPr>
            </w:pPr>
            <w:r w:rsidRPr="0007074F">
              <w:rPr>
                <w:lang w:val="sr-Cyrl-CS"/>
              </w:rPr>
              <w:t>Општа фискална правила*:</w:t>
            </w:r>
          </w:p>
          <w:p w14:paraId="040ECA64" w14:textId="77777777" w:rsidR="00C171B0" w:rsidRPr="0007074F" w:rsidRDefault="00C171B0" w:rsidP="000D3688">
            <w:pPr>
              <w:pStyle w:val="ListParagraph"/>
              <w:numPr>
                <w:ilvl w:val="0"/>
                <w:numId w:val="19"/>
              </w:numPr>
              <w:spacing w:after="60"/>
              <w:contextualSpacing w:val="0"/>
              <w:rPr>
                <w:lang w:val="sr-Cyrl-CS"/>
              </w:rPr>
            </w:pPr>
            <w:r w:rsidRPr="0007074F">
              <w:rPr>
                <w:lang w:val="sr-Cyrl-CS"/>
              </w:rPr>
              <w:t>дуг сектора државе, укључујући обавезе по основу реституције, неће бити већи од 60% БДП.</w:t>
            </w:r>
          </w:p>
          <w:p w14:paraId="467713C0" w14:textId="77777777" w:rsidR="00C171B0" w:rsidRPr="0007074F" w:rsidRDefault="00C171B0" w:rsidP="000D3688">
            <w:pPr>
              <w:pStyle w:val="ListParagraph"/>
              <w:numPr>
                <w:ilvl w:val="0"/>
                <w:numId w:val="19"/>
              </w:numPr>
              <w:spacing w:after="60"/>
              <w:contextualSpacing w:val="0"/>
              <w:rPr>
                <w:lang w:val="sr-Cyrl-CS"/>
              </w:rPr>
            </w:pPr>
            <w:r w:rsidRPr="0007074F">
              <w:rPr>
                <w:lang w:val="sr-Cyrl-CS"/>
              </w:rPr>
              <w:t>циљани средњорочни дефицит је 0,5% БДП.</w:t>
            </w:r>
          </w:p>
          <w:p w14:paraId="613D9A25" w14:textId="77777777" w:rsidR="00C171B0" w:rsidRPr="0007074F" w:rsidRDefault="00C171B0" w:rsidP="000D3688">
            <w:pPr>
              <w:pStyle w:val="ListParagraph"/>
              <w:spacing w:after="60"/>
              <w:contextualSpacing w:val="0"/>
              <w:rPr>
                <w:i/>
                <w:lang w:val="sr-Cyrl-CS"/>
              </w:rPr>
            </w:pPr>
            <w:r w:rsidRPr="0007074F">
              <w:rPr>
                <w:i/>
                <w:lang w:val="sr-Cyrl-CS"/>
              </w:rPr>
              <w:t>Уколико је дуг сектора државе изнад 60% БДП, фискална позиција сектора државе мора бити уравнотежена, тако да дефицит износи највише 0% БДП.</w:t>
            </w:r>
          </w:p>
          <w:p w14:paraId="134F5EC7" w14:textId="13BE8CB1" w:rsidR="00C171B0" w:rsidRPr="0007074F" w:rsidRDefault="00C171B0" w:rsidP="000D3688">
            <w:pPr>
              <w:pStyle w:val="ListParagraph"/>
              <w:spacing w:after="60"/>
              <w:contextualSpacing w:val="0"/>
              <w:rPr>
                <w:i/>
                <w:lang w:val="sr-Cyrl-CS"/>
              </w:rPr>
            </w:pPr>
            <w:r w:rsidRPr="0007074F">
              <w:rPr>
                <w:i/>
                <w:lang w:val="sr-Cyrl-CS"/>
              </w:rPr>
              <w:t>Уколико је дуг сектора државе између 55% и 60% БДП</w:t>
            </w:r>
            <w:r w:rsidR="00632B8E" w:rsidRPr="0007074F">
              <w:rPr>
                <w:i/>
                <w:lang w:val="sr-Cyrl-CS"/>
              </w:rPr>
              <w:t>,</w:t>
            </w:r>
            <w:r w:rsidRPr="0007074F">
              <w:rPr>
                <w:i/>
                <w:lang w:val="sr-Cyrl-CS"/>
              </w:rPr>
              <w:t xml:space="preserve"> дефицит износи највише 0,5% БДП.</w:t>
            </w:r>
          </w:p>
          <w:p w14:paraId="66F3A9E5" w14:textId="420EC9AE" w:rsidR="00C171B0" w:rsidRPr="0007074F" w:rsidRDefault="00C171B0" w:rsidP="000D3688">
            <w:pPr>
              <w:pStyle w:val="ListParagraph"/>
              <w:spacing w:after="60"/>
              <w:contextualSpacing w:val="0"/>
              <w:rPr>
                <w:i/>
                <w:lang w:val="sr-Cyrl-CS"/>
              </w:rPr>
            </w:pPr>
            <w:r w:rsidRPr="0007074F">
              <w:rPr>
                <w:i/>
                <w:lang w:val="sr-Cyrl-CS"/>
              </w:rPr>
              <w:t>Уколико је дуг сектора државе између 45% и 55% БДП</w:t>
            </w:r>
            <w:r w:rsidR="00632B8E" w:rsidRPr="0007074F">
              <w:rPr>
                <w:i/>
                <w:lang w:val="sr-Cyrl-CS"/>
              </w:rPr>
              <w:t>,</w:t>
            </w:r>
            <w:r w:rsidRPr="0007074F">
              <w:rPr>
                <w:i/>
                <w:lang w:val="sr-Cyrl-CS"/>
              </w:rPr>
              <w:t xml:space="preserve"> дефицит износи највише 1,5% БДП.</w:t>
            </w:r>
          </w:p>
          <w:p w14:paraId="2CC99979" w14:textId="77777777" w:rsidR="00C171B0" w:rsidRPr="0007074F" w:rsidRDefault="00C171B0" w:rsidP="000D3688">
            <w:pPr>
              <w:pStyle w:val="ListParagraph"/>
              <w:spacing w:after="160"/>
              <w:rPr>
                <w:i/>
                <w:lang w:val="sr-Cyrl-CS"/>
              </w:rPr>
            </w:pPr>
            <w:r w:rsidRPr="0007074F">
              <w:rPr>
                <w:i/>
                <w:lang w:val="sr-Cyrl-CS"/>
              </w:rPr>
              <w:t>Уколико је дуг сектора државе испод 45% БДП, дефицит неће прећи износ од 3% БДП.</w:t>
            </w:r>
          </w:p>
          <w:p w14:paraId="4D118448" w14:textId="77777777" w:rsidR="00C171B0" w:rsidRPr="0007074F" w:rsidRDefault="00C171B0" w:rsidP="000D3688">
            <w:pPr>
              <w:spacing w:after="160"/>
              <w:rPr>
                <w:lang w:val="sr-Cyrl-CS"/>
              </w:rPr>
            </w:pPr>
            <w:r w:rsidRPr="0007074F">
              <w:rPr>
                <w:lang w:val="sr-Cyrl-CS"/>
              </w:rPr>
              <w:t>Посебна фискална правила**:</w:t>
            </w:r>
          </w:p>
          <w:p w14:paraId="340CA961" w14:textId="77777777" w:rsidR="00C171B0" w:rsidRPr="0007074F" w:rsidRDefault="00C171B0" w:rsidP="000D3688">
            <w:pPr>
              <w:pStyle w:val="ListParagraph"/>
              <w:numPr>
                <w:ilvl w:val="0"/>
                <w:numId w:val="19"/>
              </w:numPr>
              <w:spacing w:after="60"/>
              <w:contextualSpacing w:val="0"/>
              <w:rPr>
                <w:lang w:val="sr-Cyrl-CS"/>
              </w:rPr>
            </w:pPr>
            <w:r w:rsidRPr="0007074F">
              <w:rPr>
                <w:lang w:val="sr-Cyrl-CS"/>
              </w:rPr>
              <w:t>учешће плата сектора државе у БДП до 10%.</w:t>
            </w:r>
          </w:p>
          <w:p w14:paraId="64CAC54E" w14:textId="77777777" w:rsidR="00C171B0" w:rsidRPr="0007074F" w:rsidRDefault="00C171B0" w:rsidP="000D3688">
            <w:pPr>
              <w:pStyle w:val="ListParagraph"/>
              <w:numPr>
                <w:ilvl w:val="0"/>
                <w:numId w:val="19"/>
              </w:numPr>
              <w:spacing w:after="60"/>
              <w:contextualSpacing w:val="0"/>
              <w:rPr>
                <w:lang w:val="sr-Cyrl-CS"/>
              </w:rPr>
            </w:pPr>
            <w:r w:rsidRPr="0007074F">
              <w:rPr>
                <w:lang w:val="sr-Cyrl-CS"/>
              </w:rPr>
              <w:t>индексирање пензија зависно од њиховог учешћа у БДП.</w:t>
            </w:r>
          </w:p>
          <w:p w14:paraId="52001DB9" w14:textId="77777777" w:rsidR="00C171B0" w:rsidRPr="0007074F" w:rsidRDefault="00C171B0" w:rsidP="000D3688">
            <w:pPr>
              <w:pStyle w:val="ListParagraph"/>
              <w:spacing w:after="60"/>
              <w:contextualSpacing w:val="0"/>
              <w:rPr>
                <w:i/>
                <w:lang w:val="sr-Cyrl-CS"/>
              </w:rPr>
            </w:pPr>
            <w:r w:rsidRPr="0007074F">
              <w:rPr>
                <w:i/>
                <w:lang w:val="sr-Cyrl-CS"/>
              </w:rPr>
              <w:t>Уколико су укупни расходи за пензије и новчани износ као увећање за пензију мањи од 10% БДП, пензија ће се ускладити према промени просечне зараде без пореза и доприноса, на начин дефинисан законом који уређује пензијско и инвалидско осигурање.</w:t>
            </w:r>
          </w:p>
          <w:p w14:paraId="69811A9F" w14:textId="77777777" w:rsidR="00C171B0" w:rsidRPr="0007074F" w:rsidRDefault="00C171B0" w:rsidP="000D3688">
            <w:pPr>
              <w:pStyle w:val="ListParagraph"/>
              <w:spacing w:after="60"/>
              <w:contextualSpacing w:val="0"/>
              <w:rPr>
                <w:i/>
                <w:lang w:val="sr-Cyrl-CS"/>
              </w:rPr>
            </w:pPr>
            <w:r w:rsidRPr="0007074F">
              <w:rPr>
                <w:i/>
                <w:lang w:val="sr-Cyrl-CS"/>
              </w:rPr>
              <w:t>Уколико су укупни расходи за пензије и новчани износ као увећање за пензију 10% или већи од 10%, а мањи од 10,5% БДП, пензија ће се ускладити са збиром половине процента промене просечне зараде без пореза и доприноса</w:t>
            </w:r>
            <w:r w:rsidRPr="0007074F" w:rsidDel="001A681C">
              <w:rPr>
                <w:i/>
                <w:lang w:val="sr-Cyrl-CS"/>
              </w:rPr>
              <w:t xml:space="preserve"> </w:t>
            </w:r>
            <w:r w:rsidRPr="0007074F">
              <w:rPr>
                <w:i/>
                <w:lang w:val="sr-Cyrl-CS"/>
              </w:rPr>
              <w:t>и половине процента промене потрошачких цена, на начин дефинисан законом који уређује пензијско и инвалидско осигурање.</w:t>
            </w:r>
          </w:p>
          <w:p w14:paraId="18E72C7E" w14:textId="77777777" w:rsidR="00C171B0" w:rsidRPr="0007074F" w:rsidRDefault="00C171B0" w:rsidP="000D3688">
            <w:pPr>
              <w:pStyle w:val="ListParagraph"/>
              <w:spacing w:after="160"/>
              <w:rPr>
                <w:i/>
                <w:lang w:val="sr-Cyrl-CS"/>
              </w:rPr>
            </w:pPr>
            <w:r w:rsidRPr="0007074F">
              <w:rPr>
                <w:i/>
                <w:lang w:val="sr-Cyrl-CS"/>
              </w:rPr>
              <w:t>Уколико су укупни расходи за пензије и новчани износ као увећање за пензију једнаки или већи од 10,5% БДП, пензија ће се ускладити према промени потрошачких цена, на начин дефинисан законом који уређује пензијско и инвалидско осигурање.</w:t>
            </w:r>
          </w:p>
          <w:p w14:paraId="77A2925F" w14:textId="77777777" w:rsidR="00C171B0" w:rsidRPr="0007074F" w:rsidRDefault="00C171B0" w:rsidP="000D3688">
            <w:pPr>
              <w:pStyle w:val="ListParagraph"/>
              <w:ind w:left="0"/>
              <w:rPr>
                <w:i/>
                <w:sz w:val="16"/>
                <w:szCs w:val="16"/>
                <w:lang w:val="sr-Cyrl-CS"/>
              </w:rPr>
            </w:pPr>
          </w:p>
          <w:p w14:paraId="32D633FC" w14:textId="77777777" w:rsidR="00C171B0" w:rsidRPr="0007074F" w:rsidRDefault="00C171B0" w:rsidP="000D3688">
            <w:pPr>
              <w:pStyle w:val="ListParagraph"/>
              <w:spacing w:after="40"/>
              <w:ind w:left="0"/>
              <w:contextualSpacing w:val="0"/>
              <w:rPr>
                <w:i/>
                <w:sz w:val="16"/>
                <w:szCs w:val="16"/>
                <w:lang w:val="sr-Cyrl-CS"/>
              </w:rPr>
            </w:pPr>
            <w:r w:rsidRPr="0007074F">
              <w:rPr>
                <w:i/>
                <w:sz w:val="16"/>
                <w:szCs w:val="16"/>
                <w:lang w:val="sr-Cyrl-CS"/>
              </w:rPr>
              <w:t>* примењиваће се од доношења Закона о буџету Републике Србије за 2025. годину, до тада ће се примењивати фискални циљеви утврђени у Фискалној стратегији</w:t>
            </w:r>
          </w:p>
          <w:p w14:paraId="5E950C8F" w14:textId="77777777" w:rsidR="00C171B0" w:rsidRPr="0007074F" w:rsidRDefault="00C171B0" w:rsidP="000D3688">
            <w:pPr>
              <w:pStyle w:val="ListParagraph"/>
              <w:spacing w:after="120"/>
              <w:ind w:left="0"/>
              <w:rPr>
                <w:i/>
                <w:sz w:val="16"/>
                <w:szCs w:val="16"/>
                <w:lang w:val="sr-Cyrl-CS"/>
              </w:rPr>
            </w:pPr>
            <w:r w:rsidRPr="0007074F">
              <w:rPr>
                <w:i/>
                <w:sz w:val="16"/>
                <w:szCs w:val="16"/>
                <w:lang w:val="sr-Cyrl-CS"/>
              </w:rPr>
              <w:t>**</w:t>
            </w:r>
            <w:r w:rsidRPr="0007074F">
              <w:rPr>
                <w:lang w:val="sr-Cyrl-CS"/>
              </w:rPr>
              <w:t xml:space="preserve"> </w:t>
            </w:r>
            <w:r w:rsidRPr="0007074F">
              <w:rPr>
                <w:i/>
                <w:sz w:val="16"/>
                <w:szCs w:val="16"/>
                <w:lang w:val="sr-Cyrl-CS"/>
              </w:rPr>
              <w:t>примењује се од доношења Закона о буџету Републике Србије за 2023. годину, уз постепено ширење обухвата сектора државе, у складу са законом</w:t>
            </w:r>
          </w:p>
        </w:tc>
      </w:tr>
    </w:tbl>
    <w:p w14:paraId="4E30AC5F" w14:textId="77777777" w:rsidR="00C171B0" w:rsidRPr="0007074F" w:rsidRDefault="00C171B0" w:rsidP="000D3688">
      <w:pPr>
        <w:spacing w:after="0"/>
        <w:rPr>
          <w:rFonts w:ascii="Calibri" w:eastAsia="Calibri" w:hAnsi="Calibri" w:cs="Calibri"/>
          <w:color w:val="44546A"/>
          <w:spacing w:val="-2"/>
          <w:szCs w:val="20"/>
          <w:lang w:val="sr-Cyrl-CS" w:eastAsia="ja-JP"/>
        </w:rPr>
      </w:pPr>
    </w:p>
    <w:p w14:paraId="3C51A90E" w14:textId="77777777" w:rsidR="00C171B0" w:rsidRPr="0007074F" w:rsidRDefault="00C171B0" w:rsidP="000D3688">
      <w:pPr>
        <w:spacing w:after="0"/>
        <w:rPr>
          <w:rFonts w:ascii="Calibri" w:eastAsia="Calibri" w:hAnsi="Calibri" w:cs="Calibri"/>
          <w:color w:val="44546A"/>
          <w:spacing w:val="-2"/>
          <w:szCs w:val="20"/>
          <w:lang w:val="sr-Cyrl-CS" w:eastAsia="ja-JP"/>
        </w:rPr>
        <w:sectPr w:rsidR="00C171B0" w:rsidRPr="0007074F" w:rsidSect="000D3688">
          <w:type w:val="continuous"/>
          <w:pgSz w:w="12240" w:h="15840" w:code="1"/>
          <w:pgMar w:top="1440" w:right="1440" w:bottom="1440" w:left="1440" w:header="720" w:footer="720" w:gutter="0"/>
          <w:cols w:space="720"/>
          <w:docGrid w:linePitch="360"/>
        </w:sectPr>
      </w:pPr>
    </w:p>
    <w:p w14:paraId="23CF512F" w14:textId="77777777" w:rsidR="00C171B0" w:rsidRPr="0007074F" w:rsidRDefault="00C171B0" w:rsidP="00953528">
      <w:pPr>
        <w:rPr>
          <w:rFonts w:ascii="Calibri" w:eastAsia="Calibri" w:hAnsi="Calibri" w:cs="Calibri"/>
          <w:color w:val="44546A"/>
          <w:szCs w:val="20"/>
          <w:lang w:val="sr-Cyrl-CS" w:eastAsia="ja-JP"/>
        </w:rPr>
      </w:pPr>
      <w:r w:rsidRPr="0007074F">
        <w:rPr>
          <w:rFonts w:ascii="Calibri" w:eastAsia="Calibri" w:hAnsi="Calibri" w:cs="Calibri"/>
          <w:color w:val="44546A"/>
          <w:szCs w:val="20"/>
          <w:lang w:val="sr-Cyrl-CS" w:eastAsia="ja-JP"/>
        </w:rPr>
        <w:t>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У наредном средњорочном периоду акценат ће бити на структурним мерама, које би преко планирања броја запослених с једне стране, и успостављања новог система плата у сектору државе с друге стране, допринеле повећању ефикасности и квалитету пружених јавних услуга. Упоредо с тим планира се прелазак на нови оквир којим ће се на нивоу сектора државе, на основу нове методологије управљати запошљавањем у сектору државе.</w:t>
      </w:r>
    </w:p>
    <w:p w14:paraId="636A3C68" w14:textId="4DDED480" w:rsidR="00C171B0" w:rsidRPr="0007074F" w:rsidRDefault="00C171B0" w:rsidP="00953528">
      <w:pPr>
        <w:rPr>
          <w:rFonts w:ascii="Calibri" w:eastAsia="Calibri" w:hAnsi="Calibri" w:cs="Calibri"/>
          <w:color w:val="44546A"/>
          <w:szCs w:val="20"/>
          <w:lang w:val="sr-Cyrl-CS" w:eastAsia="ja-JP"/>
        </w:rPr>
      </w:pPr>
      <w:r w:rsidRPr="0007074F">
        <w:rPr>
          <w:rFonts w:ascii="Calibri" w:eastAsia="Calibri" w:hAnsi="Calibri" w:cs="Calibri"/>
          <w:color w:val="44546A"/>
          <w:szCs w:val="20"/>
          <w:lang w:val="sr-Cyrl-CS" w:eastAsia="ja-JP"/>
        </w:rPr>
        <w:t xml:space="preserve">Постојећи систем запошљавања, којим руководи Владина Комисија за давање сагласности за ново запошљавање и додатно радно ангажовање код корисника јавних средстава наставиће да функционише у прелазном периоду, односно све док нови систем не буде у потпуности оперативан. Крајем 2020. године усвојене су измене Закона о буџетском систему како би било омогућено да у прелазном периоду институције могу да ангажују нова лица до нивоа од 70% оних који напуштају институцију или одлазе у пензију, док је дозвола Комисије потребна уколико број новозапослених пређе 70%. Смисао ове мере је да се обезбеди већа флексибилност у запошљавању на нивоу самих институција, у складу с њиховим потребама за новим кадровима. Такође, постављен је и лимит од 1% за повећање укупног броја запослених на неодређено време у односу на ниво </w:t>
      </w:r>
      <w:r w:rsidRPr="0007074F">
        <w:rPr>
          <w:rFonts w:ascii="Calibri" w:eastAsia="Calibri" w:hAnsi="Calibri" w:cs="Calibri"/>
          <w:color w:val="44546A"/>
          <w:szCs w:val="20"/>
          <w:lang w:val="sr-Cyrl-CS" w:eastAsia="ja-JP"/>
        </w:rPr>
        <w:lastRenderedPageBreak/>
        <w:t xml:space="preserve">с краја 2020. године. Електронски регистар запослених у јавном сектору „Искра” тренутно обухвата све директне кориснике буџета, институције из области културе, правосуђа, рада и социјалне заштите и просвете (осим установа вишег и високог образовања), а у следећој фази биће укључене институције из области здравства. Суштина овог система је боље планирање, извршење и контрола расхода за плате запослених, већа транспарентност и боље управљање људским ресурсима у условима све јаче конкуренције из приватног сектора, што има негативан утицај на привлачење и задржавање запослених у јавном сектору, поготово имајући у виду атрактивност зарада у приватном сектору, што може довести до значајног одлива кадрова уколико се ове реформе не спроведу. Системом ће бити обухваћено преко 450.000 запослених у јавном сектору, а ван система </w:t>
      </w:r>
      <w:r w:rsidR="007D155C" w:rsidRPr="0007074F">
        <w:rPr>
          <w:rFonts w:ascii="Calibri" w:eastAsia="Calibri" w:hAnsi="Calibri" w:cs="Calibri"/>
          <w:color w:val="44546A"/>
          <w:szCs w:val="20"/>
          <w:lang w:val="sr-Cyrl-CS" w:eastAsia="ja-JP"/>
        </w:rPr>
        <w:t xml:space="preserve">у овој фази </w:t>
      </w:r>
      <w:r w:rsidRPr="0007074F">
        <w:rPr>
          <w:rFonts w:ascii="Calibri" w:eastAsia="Calibri" w:hAnsi="Calibri" w:cs="Calibri"/>
          <w:color w:val="44546A"/>
          <w:szCs w:val="20"/>
          <w:lang w:val="sr-Cyrl-CS" w:eastAsia="ja-JP"/>
        </w:rPr>
        <w:t>ће остати само запослени у сектору одбране, безбедности и унутрашњих послова и институције вишег и високог образовања.</w:t>
      </w:r>
    </w:p>
    <w:p w14:paraId="7D9C54CB" w14:textId="487462C3" w:rsidR="00C171B0" w:rsidRPr="0007074F" w:rsidRDefault="00C171B0" w:rsidP="00953528">
      <w:pPr>
        <w:rPr>
          <w:rFonts w:ascii="Calibri" w:eastAsia="Calibri" w:hAnsi="Calibri" w:cs="Calibri"/>
          <w:szCs w:val="20"/>
          <w:lang w:val="sr-Cyrl-CS" w:eastAsia="ja-JP"/>
        </w:rPr>
      </w:pPr>
      <w:r w:rsidRPr="0007074F">
        <w:rPr>
          <w:rFonts w:ascii="Calibri" w:eastAsia="Calibri" w:hAnsi="Calibri" w:cs="Calibri"/>
          <w:szCs w:val="20"/>
          <w:lang w:val="sr-Cyrl-CS" w:eastAsia="ja-JP"/>
        </w:rPr>
        <w:t xml:space="preserve">Криза у Украјини је кроз негативан утицај на тржишту енергената нарочито истакла све изазове и проблеме с којима се суочава енергетски сектор у Србији који се могу решити само спровођењем свеобухватног сета преко потребних реформи, које су критичне како за обезбеђивање енергетске безбедности тако и за фискалну и екстерну одрживост. Фазно подизање цена енергената (гаса и електричне енергије) су нужна мера како би се надоместили егзогено условљени високи трошкови њихове набавке. Далеко већи проблеми се тичу структурних дубоко укорењених слабости енергетског сектора који захтевају ургентне и свеобухватне реформе. Приоритет има реструктурирање великих енергетских компанија у власништву државе, како би се повећала њихова ефикасност и смањила буџетска подршка и фискални ризици. Статусна промена ЕПС из јавног предузећа у акционарско друштво извршена у априлу ове године има за циљ јачање ове компаније на дуги рок кроз професионализацију менаџмента. Ову промену прати и усвајање новог статута друштва у складу с новим Законом о управљању привредним друштвима у власништву Републике Србије, чије се усвајање очекује у наредном периоду. До краја године би требало да </w:t>
      </w:r>
      <w:r w:rsidRPr="0007074F">
        <w:rPr>
          <w:rFonts w:ascii="Calibri" w:eastAsia="Calibri" w:hAnsi="Calibri" w:cs="Calibri"/>
          <w:szCs w:val="20"/>
          <w:lang w:val="sr-Cyrl-CS" w:eastAsia="ja-JP"/>
        </w:rPr>
        <w:t xml:space="preserve">буде израђен детаљан стратешки план реструктурирања ове компаније, којим треба да буду решени бројни проблеми у пословању и који ће дефинисати кораке у трансформацији компаније, обезбеђујући њену стабилизацију и прецизирајући реформске приоритете у управљању и организационој структури. У складу с начелом транспарентности биће објављени сви стратешки и финансијски планови за </w:t>
      </w:r>
      <w:r w:rsidR="00267FEF" w:rsidRPr="0007074F">
        <w:rPr>
          <w:rFonts w:ascii="Calibri" w:eastAsia="Calibri" w:hAnsi="Calibri" w:cs="Calibri"/>
          <w:szCs w:val="20"/>
          <w:lang w:val="sr-Cyrl-CS" w:eastAsia="ja-JP"/>
        </w:rPr>
        <w:t xml:space="preserve">ЕПС а.д. </w:t>
      </w:r>
      <w:r w:rsidRPr="0007074F">
        <w:rPr>
          <w:rFonts w:ascii="Calibri" w:eastAsia="Calibri" w:hAnsi="Calibri" w:cs="Calibri"/>
          <w:szCs w:val="20"/>
          <w:lang w:val="sr-Cyrl-CS" w:eastAsia="ja-JP"/>
        </w:rPr>
        <w:t xml:space="preserve">и ЈП „Србијагас”, за које се очекује завршетак посла раздвајања основних од споредних делатности до краја 2024. године. Такође, наставиће се с праксом објављивања 20 највећих дужника овим двема компанијама на месечном нивоу. Следећи приоритет представља усвајање Интегрисаног националног енергетског и климатског плана Републике Србије, што се очекује до краја године и чији је циљ смањење емисија гасова стаклене баште, повећање удела обновљивих извора енергије и повећање енергетске ефикасности. У току писања овог документа приводи се крају израда инвестиционог плана за енергетски сектор чија се имплементација очекује у наредних 2-5 година и којим ће бити обезбеђена сигурност у снабдевању енергентима и стабилизована производња електричне енергије, уз дефинисање субјеката и извора </w:t>
      </w:r>
      <w:r w:rsidR="000F4ACE" w:rsidRPr="0007074F">
        <w:rPr>
          <w:rFonts w:ascii="Calibri" w:eastAsia="Calibri" w:hAnsi="Calibri" w:cs="Calibri"/>
          <w:szCs w:val="20"/>
          <w:lang w:val="sr-Cyrl-CS" w:eastAsia="ja-JP"/>
        </w:rPr>
        <w:t>финансирања за ове пројекте. У с</w:t>
      </w:r>
      <w:r w:rsidRPr="0007074F">
        <w:rPr>
          <w:rFonts w:ascii="Calibri" w:eastAsia="Calibri" w:hAnsi="Calibri" w:cs="Calibri"/>
          <w:szCs w:val="20"/>
          <w:lang w:val="sr-Cyrl-CS" w:eastAsia="ja-JP"/>
        </w:rPr>
        <w:t>кладу са овим инвестиционим планом и Интегрисаним националним енергетским и климатским планом Републике Србије биће донета измењена Стратегија развоја енергетике Републике Србије с пројекцијама до 2050. године, док ће средства за ове инвестиције бити саставни део капиталних расхода у буџету Републике. Истовремено, потребно је обезбедити повољније окружење и унапредити постојећу законску регулативу како би се омогућило веће учешће приватног сектора у области обновљивих извора енергије. У току је припрема трогодишњег акционог плана за ветропаркове и соларне паркове.</w:t>
      </w:r>
    </w:p>
    <w:p w14:paraId="716DE8FA" w14:textId="02D2B981" w:rsidR="00C171B0" w:rsidRPr="0007074F" w:rsidRDefault="00C171B0" w:rsidP="00953528">
      <w:pPr>
        <w:rPr>
          <w:rFonts w:ascii="Calibri" w:eastAsia="Calibri" w:hAnsi="Calibri" w:cs="Calibri"/>
          <w:szCs w:val="20"/>
          <w:lang w:val="sr-Cyrl-CS" w:eastAsia="ja-JP"/>
        </w:rPr>
      </w:pPr>
      <w:r w:rsidRPr="0007074F">
        <w:rPr>
          <w:rFonts w:ascii="Calibri" w:eastAsia="Calibri" w:hAnsi="Calibri" w:cs="Calibri"/>
          <w:szCs w:val="20"/>
          <w:lang w:val="sr-Cyrl-CS" w:eastAsia="ja-JP"/>
        </w:rPr>
        <w:t xml:space="preserve">Влада је, уз подршку </w:t>
      </w:r>
      <w:r w:rsidR="00F5182D" w:rsidRPr="0007074F">
        <w:rPr>
          <w:rFonts w:eastAsia="MS PGothic" w:cstheme="minorHAnsi"/>
          <w:szCs w:val="20"/>
          <w:lang w:val="sr-Cyrl-CS" w:eastAsia="ja-JP"/>
        </w:rPr>
        <w:t>Европске банке за обнову и развој (у даљем тексту: ЕБРД)</w:t>
      </w:r>
      <w:r w:rsidRPr="0007074F">
        <w:rPr>
          <w:rFonts w:ascii="Calibri" w:eastAsia="Calibri" w:hAnsi="Calibri" w:cs="Calibri"/>
          <w:szCs w:val="20"/>
          <w:lang w:val="sr-Cyrl-CS" w:eastAsia="ja-JP"/>
        </w:rPr>
        <w:t xml:space="preserve">, усвојила Стратегију државног власништва и управљања привредним субјектима који су у власништву Републике Србије за период од 2021. до 2027. године као јединствени акт који пружа стратешку визију и упутства у вези са циљевима власничког </w:t>
      </w:r>
      <w:r w:rsidRPr="0007074F">
        <w:rPr>
          <w:rFonts w:ascii="Calibri" w:eastAsia="Calibri" w:hAnsi="Calibri" w:cs="Calibri"/>
          <w:szCs w:val="20"/>
          <w:lang w:val="sr-Cyrl-CS" w:eastAsia="ja-JP"/>
        </w:rPr>
        <w:lastRenderedPageBreak/>
        <w:t>управљања, циљевима финансијских и јавних политика, као и принципима корпоративног управљања и праксама надзора у складу са међународним стандардима и најбољом праксом.</w:t>
      </w:r>
    </w:p>
    <w:p w14:paraId="208FBB21" w14:textId="6A0D5B72" w:rsidR="00C171B0" w:rsidRPr="0007074F" w:rsidRDefault="00C171B0" w:rsidP="00953528">
      <w:pPr>
        <w:rPr>
          <w:rFonts w:ascii="Calibri" w:eastAsia="Calibri" w:hAnsi="Calibri" w:cs="Calibri"/>
          <w:szCs w:val="20"/>
          <w:lang w:val="sr-Cyrl-CS" w:eastAsia="ja-JP"/>
        </w:rPr>
      </w:pPr>
      <w:r w:rsidRPr="0007074F">
        <w:rPr>
          <w:rFonts w:ascii="Calibri" w:eastAsia="Calibri" w:hAnsi="Calibri" w:cs="Calibri"/>
          <w:szCs w:val="20"/>
          <w:lang w:val="sr-Cyrl-CS" w:eastAsia="ja-JP"/>
        </w:rPr>
        <w:t xml:space="preserve">Наставља се стриктно ограничавање издавања државних гаранција. У 2023. години издате су две нове државне гаранције за комерцијалне кредите за ЈП „Србијагас” и нова државна гаранција за кредите </w:t>
      </w:r>
      <w:r w:rsidR="00267FEF" w:rsidRPr="0007074F">
        <w:rPr>
          <w:rFonts w:ascii="Calibri" w:eastAsia="Calibri" w:hAnsi="Calibri" w:cs="Calibri"/>
          <w:szCs w:val="20"/>
          <w:lang w:val="sr-Cyrl-CS" w:eastAsia="ja-JP"/>
        </w:rPr>
        <w:t>ЕПС а.д</w:t>
      </w:r>
      <w:r w:rsidRPr="0007074F">
        <w:rPr>
          <w:rFonts w:ascii="Calibri" w:eastAsia="Calibri" w:hAnsi="Calibri" w:cs="Calibri"/>
          <w:szCs w:val="20"/>
          <w:lang w:val="sr-Cyrl-CS" w:eastAsia="ja-JP"/>
        </w:rPr>
        <w:t xml:space="preserve">. Неће бити издаване никакве нове државне гаранције за подршку ликвидности државним предузећима осим за ЈП „Србијагас” и </w:t>
      </w:r>
      <w:r w:rsidR="00267FEF" w:rsidRPr="0007074F">
        <w:rPr>
          <w:rFonts w:ascii="Calibri" w:eastAsia="Calibri" w:hAnsi="Calibri" w:cs="Calibri"/>
          <w:szCs w:val="20"/>
          <w:lang w:val="sr-Cyrl-CS" w:eastAsia="ja-JP"/>
        </w:rPr>
        <w:t>ЕПС а.д</w:t>
      </w:r>
      <w:r w:rsidRPr="0007074F">
        <w:rPr>
          <w:rFonts w:ascii="Calibri" w:eastAsia="Calibri" w:hAnsi="Calibri" w:cs="Calibri"/>
          <w:szCs w:val="20"/>
          <w:lang w:val="sr-Cyrl-CS" w:eastAsia="ja-JP"/>
        </w:rPr>
        <w:t>, или државне гаранције за било које предузеће у портфолију бивше Агенције за приватизацију. Наставиће се са издавањем гаранција за пројектне зајмове које дају мултилатералне финансијске организације као подршку инвестиционој и реформској агенди.</w:t>
      </w:r>
    </w:p>
    <w:p w14:paraId="450AA1A7" w14:textId="4D516158" w:rsidR="00C171B0" w:rsidRPr="0007074F" w:rsidRDefault="00C171B0" w:rsidP="00953528">
      <w:pPr>
        <w:rPr>
          <w:rFonts w:ascii="Calibri" w:eastAsia="Calibri" w:hAnsi="Calibri" w:cs="Calibri"/>
          <w:szCs w:val="20"/>
          <w:lang w:val="sr-Cyrl-CS" w:eastAsia="ja-JP"/>
        </w:rPr>
      </w:pPr>
      <w:r w:rsidRPr="0007074F">
        <w:rPr>
          <w:rFonts w:ascii="Calibri" w:eastAsia="Calibri" w:hAnsi="Calibri" w:cs="Calibri"/>
          <w:szCs w:val="20"/>
          <w:lang w:val="sr-Cyrl-CS" w:eastAsia="ja-JP"/>
        </w:rPr>
        <w:t xml:space="preserve">За предузећа која чине стратешке компаније из портфолија бивше Агенције за приватизацију, решење се налази или кроз приватизационе тендере, или кроз стечај. За саобраћајно предузеће „Ласта” АД Београд тражиће се компаније заинтересоване за приватизацију или стратешко партнерство. </w:t>
      </w:r>
      <w:r w:rsidR="005106D7" w:rsidRPr="0007074F">
        <w:rPr>
          <w:rFonts w:ascii="Calibri" w:eastAsia="Calibri" w:hAnsi="Calibri" w:cs="Calibri"/>
          <w:szCs w:val="20"/>
          <w:lang w:val="sr-Cyrl-CS" w:eastAsia="ja-JP"/>
        </w:rPr>
        <w:t xml:space="preserve">Министарство рударства и енергетике ради на изради планова </w:t>
      </w:r>
      <w:r w:rsidRPr="0007074F">
        <w:rPr>
          <w:rFonts w:ascii="Calibri" w:eastAsia="Calibri" w:hAnsi="Calibri" w:cs="Calibri"/>
          <w:szCs w:val="20"/>
          <w:lang w:val="sr-Cyrl-CS" w:eastAsia="ja-JP"/>
        </w:rPr>
        <w:t>за ЈП ПЕУ „Ресавица”, чије</w:t>
      </w:r>
      <w:r w:rsidR="005106D7" w:rsidRPr="0007074F">
        <w:rPr>
          <w:rFonts w:ascii="Calibri" w:eastAsia="Calibri" w:hAnsi="Calibri" w:cs="Calibri"/>
          <w:szCs w:val="20"/>
          <w:lang w:val="sr-Cyrl-CS" w:eastAsia="ja-JP"/>
        </w:rPr>
        <w:t xml:space="preserve"> спровођење </w:t>
      </w:r>
      <w:r w:rsidRPr="0007074F">
        <w:rPr>
          <w:rFonts w:ascii="Calibri" w:eastAsia="Calibri" w:hAnsi="Calibri" w:cs="Calibri"/>
          <w:szCs w:val="20"/>
          <w:lang w:val="sr-Cyrl-CS" w:eastAsia="ja-JP"/>
        </w:rPr>
        <w:t xml:space="preserve">укључује проналажење решења за </w:t>
      </w:r>
      <w:r w:rsidR="005106D7" w:rsidRPr="0007074F">
        <w:rPr>
          <w:rFonts w:ascii="Calibri" w:eastAsia="Calibri" w:hAnsi="Calibri" w:cs="Calibri"/>
          <w:szCs w:val="20"/>
          <w:lang w:val="sr-Cyrl-CS" w:eastAsia="ja-JP"/>
        </w:rPr>
        <w:t>економски неодрживе руднике који су пред исцрпљењемпреосталих резерви угља, као и план рационализације производње</w:t>
      </w:r>
      <w:r w:rsidR="00F60154" w:rsidRPr="0007074F">
        <w:rPr>
          <w:rFonts w:ascii="Calibri" w:eastAsia="Calibri" w:hAnsi="Calibri" w:cs="Calibri"/>
          <w:szCs w:val="20"/>
          <w:lang w:val="sr-Cyrl-CS" w:eastAsia="ja-JP"/>
        </w:rPr>
        <w:t xml:space="preserve"> и пословања у деловима системау којима анализа покаже да могу да буду економски одрживи.</w:t>
      </w:r>
      <w:r w:rsidRPr="0007074F">
        <w:rPr>
          <w:rFonts w:ascii="Calibri" w:eastAsia="Calibri" w:hAnsi="Calibri" w:cs="Calibri"/>
          <w:szCs w:val="20"/>
          <w:lang w:val="sr-Cyrl-CS" w:eastAsia="ja-JP"/>
        </w:rPr>
        <w:t xml:space="preserve"> За ХИП – Петрохемија споразум о приватизацији је постигнут у децембру 2021. године с компанијом НИС, а ЕК је одобрила ово преузимање у септембру 2022. године.</w:t>
      </w:r>
    </w:p>
    <w:p w14:paraId="43E85424" w14:textId="77777777" w:rsidR="00C171B0" w:rsidRPr="0007074F" w:rsidRDefault="00C171B0" w:rsidP="00953528">
      <w:pPr>
        <w:rPr>
          <w:rFonts w:ascii="Calibri" w:eastAsia="Calibri" w:hAnsi="Calibri" w:cs="Calibri"/>
          <w:color w:val="44546A"/>
          <w:szCs w:val="20"/>
          <w:lang w:val="sr-Cyrl-CS" w:eastAsia="ja-JP"/>
        </w:rPr>
      </w:pPr>
      <w:r w:rsidRPr="0007074F">
        <w:rPr>
          <w:rFonts w:ascii="Calibri" w:eastAsia="Calibri" w:hAnsi="Calibri" w:cs="Calibri"/>
          <w:color w:val="44546A"/>
          <w:szCs w:val="20"/>
          <w:lang w:val="sr-Cyrl-CS" w:eastAsia="ja-JP"/>
        </w:rPr>
        <w:t>Побољшање управљања јавним финансијама је нужно, не само као подршка мерама фискалне стабилизације и структурним реформама, већ као процес који подиже квалитет државне управе и осигурава привлачан амбијент за инвеститоре. Нови Програм реформе управљања јавним финансијама за период од 2021–2025. године усвојен је у јуну 2021. године.</w:t>
      </w:r>
    </w:p>
    <w:p w14:paraId="42F0C610" w14:textId="27FAF106" w:rsidR="00C171B0" w:rsidRPr="0007074F" w:rsidRDefault="00C171B0" w:rsidP="00953528">
      <w:pPr>
        <w:rPr>
          <w:rFonts w:ascii="Calibri" w:eastAsia="Calibri" w:hAnsi="Calibri" w:cs="Calibri"/>
          <w:color w:val="44546A"/>
          <w:szCs w:val="20"/>
          <w:lang w:val="sr-Cyrl-CS" w:eastAsia="ja-JP"/>
        </w:rPr>
      </w:pPr>
      <w:r w:rsidRPr="0007074F">
        <w:rPr>
          <w:rFonts w:ascii="Calibri" w:eastAsia="Calibri" w:hAnsi="Calibri" w:cs="Calibri"/>
          <w:color w:val="44546A"/>
          <w:szCs w:val="20"/>
          <w:lang w:val="sr-Cyrl-CS" w:eastAsia="ja-JP"/>
        </w:rPr>
        <w:t xml:space="preserve">Систем за припрему, извршење, рачуноводство и извештавање – СПИРИ је информациони систем који на јединствен начин подржава све активности </w:t>
      </w:r>
      <w:r w:rsidRPr="0007074F">
        <w:rPr>
          <w:rFonts w:ascii="Calibri" w:eastAsia="Calibri" w:hAnsi="Calibri" w:cs="Calibri"/>
          <w:color w:val="44546A"/>
          <w:szCs w:val="20"/>
          <w:lang w:val="sr-Cyrl-CS" w:eastAsia="ja-JP"/>
        </w:rPr>
        <w:t>Министарства финансија и Управе за трезор у вези са буџетом Републике Србије, чиме се поједностављује начин рада корисника и омогућава ефикаснији начин управљања системом јавних финансија. У систем су укључени директни корисници јавних средстава, правосудни органи и индиректни корисници Министарства културе, Министарства за рад, запошљавање, борачка и социјална питања и Управе за извршење кривичних санкција, као и индиректни корисници Министарства спорта, Министарства привреде, Министарства унутрашњих послова и Министарства просвете који нису били део претходног система (ИСИБ), којег је СПИРИ заменио почетком 202</w:t>
      </w:r>
      <w:r w:rsidR="00C2076F" w:rsidRPr="0007074F">
        <w:rPr>
          <w:rFonts w:ascii="Calibri" w:eastAsia="Calibri" w:hAnsi="Calibri" w:cs="Calibri"/>
          <w:color w:val="44546A"/>
          <w:szCs w:val="20"/>
          <w:lang w:val="sr-Cyrl-CS" w:eastAsia="ja-JP"/>
        </w:rPr>
        <w:t>3</w:t>
      </w:r>
      <w:r w:rsidRPr="0007074F">
        <w:rPr>
          <w:rFonts w:ascii="Calibri" w:eastAsia="Calibri" w:hAnsi="Calibri" w:cs="Calibri"/>
          <w:color w:val="44546A"/>
          <w:szCs w:val="20"/>
          <w:lang w:val="sr-Cyrl-CS" w:eastAsia="ja-JP"/>
        </w:rPr>
        <w:t>. године. Систем ће постепено укључивати друге кориснике, а крајњи циљ је укључивање свих институција које припадају сектору државе.</w:t>
      </w:r>
    </w:p>
    <w:p w14:paraId="29EB3D9D" w14:textId="77777777" w:rsidR="00C171B0" w:rsidRPr="0007074F" w:rsidRDefault="00C171B0" w:rsidP="00953528">
      <w:pPr>
        <w:rPr>
          <w:rFonts w:ascii="Calibri" w:eastAsia="Calibri" w:hAnsi="Calibri" w:cs="Calibri"/>
          <w:color w:val="44546A"/>
          <w:szCs w:val="20"/>
          <w:lang w:val="sr-Cyrl-CS" w:eastAsia="ja-JP"/>
        </w:rPr>
      </w:pPr>
      <w:r w:rsidRPr="0007074F">
        <w:rPr>
          <w:rFonts w:ascii="Calibri" w:eastAsia="Calibri" w:hAnsi="Calibri" w:cs="Calibri"/>
          <w:color w:val="44546A"/>
          <w:szCs w:val="20"/>
          <w:lang w:val="sr-Cyrl-CS" w:eastAsia="ja-JP"/>
        </w:rPr>
        <w:t>Област управљања јавним финансијама којој је озбиљно посвећена пажња и на чијем се унапређењу ради је управљање јавним инвестицијама. Јачањем оквира управљања јавним инвестицијама интензивирају се нови инфраструктурни пројекти и подиже квалитет постојеће инфраструктуре. У априлу 2018. године усвојен је Закон о планском систему Републике Србије, којим је успостављен национални оквир за планирање и којим су дефинисани План развоја и Инвестициони план. Систем управљања јавним инвестицијама, који се развија уз помоћ Светске банке, укључује интегрисану базу података о инвестиционим пројектима, која је тренутно у развоју, као и јединствену листу приоритетних пројеката (</w:t>
      </w:r>
      <w:r w:rsidRPr="0007074F">
        <w:rPr>
          <w:rFonts w:ascii="Calibri" w:eastAsia="Calibri" w:hAnsi="Calibri" w:cs="Calibri"/>
          <w:i/>
          <w:color w:val="44546A"/>
          <w:szCs w:val="20"/>
          <w:lang w:val="sr-Cyrl-CS" w:eastAsia="ja-JP"/>
        </w:rPr>
        <w:t>Single Project Pipeline</w:t>
      </w:r>
      <w:r w:rsidRPr="0007074F">
        <w:rPr>
          <w:rFonts w:ascii="Calibri" w:eastAsia="Calibri" w:hAnsi="Calibri" w:cs="Calibri"/>
          <w:color w:val="44546A"/>
          <w:szCs w:val="20"/>
          <w:lang w:val="sr-Cyrl-CS" w:eastAsia="ja-JP"/>
        </w:rPr>
        <w:t>). Систем је почетком 2023. године постао потпуно функционалан за пројекте који су у фази имплементације. У наредном периоду, након доношења правних аката који уређују ову област и регулисања надлежности које су се до сада преплитале између појединих институција, систем ће укључити и пројекте који су у фази која претходи имплементацији, а током 2024. и 2025. године прошириће обухват на национални ниво, укључујући и компатибилне локалне информационе системе.</w:t>
      </w:r>
    </w:p>
    <w:p w14:paraId="40A775CB" w14:textId="77777777" w:rsidR="00C171B0" w:rsidRPr="0007074F" w:rsidRDefault="00C171B0" w:rsidP="00953528">
      <w:pPr>
        <w:rPr>
          <w:rFonts w:ascii="Calibri" w:eastAsia="Calibri" w:hAnsi="Calibri" w:cs="Calibri"/>
          <w:color w:val="44546A"/>
          <w:szCs w:val="20"/>
          <w:lang w:val="sr-Cyrl-CS" w:eastAsia="ja-JP"/>
        </w:rPr>
      </w:pPr>
      <w:r w:rsidRPr="0007074F">
        <w:rPr>
          <w:rFonts w:ascii="Calibri" w:eastAsia="Calibri" w:hAnsi="Calibri" w:cs="Calibri"/>
          <w:color w:val="44546A"/>
          <w:szCs w:val="20"/>
          <w:lang w:val="sr-Cyrl-CS" w:eastAsia="ja-JP"/>
        </w:rPr>
        <w:t>Јавно-приватна партнерства (</w:t>
      </w:r>
      <w:r w:rsidRPr="0007074F">
        <w:rPr>
          <w:rFonts w:ascii="Calibri" w:eastAsia="Calibri" w:hAnsi="Calibri" w:cs="Calibri"/>
          <w:i/>
          <w:color w:val="44546A"/>
          <w:szCs w:val="20"/>
          <w:lang w:val="sr-Cyrl-CS" w:eastAsia="ja-JP"/>
        </w:rPr>
        <w:t>Public-Private Partnerships</w:t>
      </w:r>
      <w:r w:rsidRPr="0007074F">
        <w:rPr>
          <w:rFonts w:ascii="Calibri" w:eastAsia="Calibri" w:hAnsi="Calibri" w:cs="Calibri"/>
          <w:color w:val="44546A"/>
          <w:szCs w:val="20"/>
          <w:lang w:val="sr-Cyrl-CS" w:eastAsia="ja-JP"/>
        </w:rPr>
        <w:t xml:space="preserve"> – PPP), као специфичан вид сарадње државе и приватног сектора захтевају посебну </w:t>
      </w:r>
      <w:r w:rsidRPr="0007074F">
        <w:rPr>
          <w:rFonts w:ascii="Calibri" w:eastAsia="Calibri" w:hAnsi="Calibri" w:cs="Calibri"/>
          <w:color w:val="44546A"/>
          <w:szCs w:val="20"/>
          <w:lang w:val="sr-Cyrl-CS" w:eastAsia="ja-JP"/>
        </w:rPr>
        <w:lastRenderedPageBreak/>
        <w:t>пажњу и опрез, стога ће Министарство финансија и даље пратити пројекте од посебног значаја током њихове имплементације и о томе обавештавати Владу.</w:t>
      </w:r>
    </w:p>
    <w:p w14:paraId="735ECAB4" w14:textId="76B64EBD" w:rsidR="00C171B0" w:rsidRPr="0007074F" w:rsidRDefault="00C171B0" w:rsidP="00953528">
      <w:pPr>
        <w:rPr>
          <w:rFonts w:ascii="Calibri" w:eastAsia="Calibri" w:hAnsi="Calibri" w:cs="Calibri"/>
          <w:color w:val="44546A"/>
          <w:szCs w:val="20"/>
          <w:lang w:val="sr-Cyrl-CS" w:eastAsia="ja-JP"/>
        </w:rPr>
      </w:pPr>
      <w:r w:rsidRPr="0007074F">
        <w:rPr>
          <w:rFonts w:ascii="Calibri" w:eastAsia="Calibri" w:hAnsi="Calibri" w:cs="Calibri"/>
          <w:color w:val="44546A"/>
          <w:szCs w:val="20"/>
          <w:lang w:val="sr-Cyrl-CS" w:eastAsia="ja-JP"/>
        </w:rPr>
        <w:t xml:space="preserve">Реформе у области управљања јавним набавкама су такође веома важне с обзиром на велики значај и вредност јавних инвестиција. Важећи Закон о јавним набавкама, припремљен уз подршку ЕУ, усклађен је са правним тековинама ЕУ и има за циљ да унапреди конкурентност и транспарентност у поступцима. С тим у вези потребно је обезбедити редовно јавно извештавање преко Управе за јавне набавке о свим набавкама које су изузете из режима редовних набавки према овом закону, као и навођење по ком основу су та изузећа учињена. Убудуће је </w:t>
      </w:r>
      <w:r w:rsidR="006848C1" w:rsidRPr="0007074F">
        <w:rPr>
          <w:rFonts w:ascii="Calibri" w:eastAsia="Calibri" w:hAnsi="Calibri" w:cs="Calibri"/>
          <w:color w:val="44546A"/>
          <w:szCs w:val="20"/>
          <w:lang w:val="sr-Cyrl-CS" w:eastAsia="ja-JP"/>
        </w:rPr>
        <w:t>потребно</w:t>
      </w:r>
      <w:r w:rsidRPr="0007074F">
        <w:rPr>
          <w:rFonts w:ascii="Calibri" w:eastAsia="Calibri" w:hAnsi="Calibri" w:cs="Calibri"/>
          <w:color w:val="44546A"/>
          <w:szCs w:val="20"/>
          <w:lang w:val="sr-Cyrl-CS" w:eastAsia="ja-JP"/>
        </w:rPr>
        <w:t xml:space="preserve"> обезбедити континуирано усклађивање целокупног оквира јавних набавки с правним тековинама ЕУ. Такође, потребно је обезбедити да се све трансакције набавки у јавном сектору одвијају путем портала е-набавки уз настојање да се створе услови за повећање броја понуда по поступку. Имајући то у виду, ради се на унапређењу функционалности Портала јавних набавки како би била олакшана примена одредби Закона о јавним набавкама. Такође, спроводе се обуке за службенике јавних набавки, као и за полицијске службенике у вези праћења јавних набавки и најчешћих неправилности у области јавних набавки у Србији.</w:t>
      </w:r>
    </w:p>
    <w:p w14:paraId="1693530E" w14:textId="308F1C49" w:rsidR="00C171B0" w:rsidRPr="0007074F" w:rsidRDefault="00C171B0" w:rsidP="00953528">
      <w:pPr>
        <w:rPr>
          <w:rFonts w:ascii="Calibri" w:eastAsia="Calibri" w:hAnsi="Calibri" w:cs="Calibri"/>
          <w:szCs w:val="20"/>
          <w:lang w:val="sr-Cyrl-CS" w:eastAsia="ja-JP"/>
        </w:rPr>
      </w:pPr>
      <w:r w:rsidRPr="0007074F">
        <w:rPr>
          <w:rFonts w:ascii="Calibri" w:eastAsia="Calibri" w:hAnsi="Calibri" w:cs="Calibri"/>
          <w:szCs w:val="20"/>
          <w:lang w:val="sr-Cyrl-CS" w:eastAsia="ja-JP"/>
        </w:rPr>
        <w:t xml:space="preserve">Успешно се спроводи нови Акциони план трансформације Пореске управе за период 2021–2025. године, који је усвојен у мају 2021. године и који дефинише стратешке смернице и временске рокове у којим ће бити спроведене активности потребне за стварање модерне пореске администрације,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У мају прошле године уведен је нови модел фискализације (е-фискализација), на основу којег је извршен први круг ревизија. Очекује се да ће систем допринети смањењу неусклађености код пореских обвезника и мањем броју негативних мишљења ревизије. Систем за </w:t>
      </w:r>
      <w:r w:rsidRPr="0007074F">
        <w:rPr>
          <w:rFonts w:ascii="Calibri" w:eastAsia="Calibri" w:hAnsi="Calibri" w:cs="Calibri"/>
          <w:szCs w:val="20"/>
          <w:lang w:val="sr-Cyrl-CS" w:eastAsia="ja-JP"/>
        </w:rPr>
        <w:t xml:space="preserve">електронску размену фактура (е-фактура) је био следећи корак који је имплементиран почетком 2023. године. Ускоро се, путем тендера, очекује набавка информационог система од комерцијалног провајдера, који ће, заједно са редизајнираним бизнис моделом чије се усвајање ускоро очекује, омогућити имплементацију модерних пословних процеса. У току је пројекат који се бави анализом ПДВ јаза где се тренутно врши анализа недостатака у подацима и прилагођавање аналитичких алата. Прелиминарни резултати сугеришу да је ПДВ јаз знатно смањен у односу на 2018. годину. Усвајањем Закона о утврђивању порекла имовине и посебном порезу и образовањем посебне организационе јединице Пореске управе, створили су се услови за унакрсну анализу имовине и прихода лица, а прве ревизије би требало да почну половином ове године. Развој нове стратегије људских ресурса за Пореску управу и убрзање процедура запошљавања остају приоритет како би се осигурао адекватан број запослених. Број запослених у Пореској управи је значајно опао током последњих година. Са предстојећим таласом пензионисања великог броја запослених и узимајући у обзир план трансформације која подразумева прелазак на рад са вишим квалификацијама, императив је да се на време запосли адекватан број висококвалификованог особља, што </w:t>
      </w:r>
      <w:r w:rsidR="00074664" w:rsidRPr="0007074F">
        <w:rPr>
          <w:rFonts w:ascii="Calibri" w:eastAsia="Calibri" w:hAnsi="Calibri" w:cs="Calibri"/>
          <w:szCs w:val="20"/>
          <w:lang w:val="sr-Cyrl-CS" w:eastAsia="ja-JP"/>
        </w:rPr>
        <w:t>подразумева и адекватне зараде.</w:t>
      </w:r>
    </w:p>
    <w:p w14:paraId="2CE5F6B6" w14:textId="349132EC" w:rsidR="00C171B0" w:rsidRPr="0007074F" w:rsidRDefault="00FA1604" w:rsidP="000D3688">
      <w:pPr>
        <w:rPr>
          <w:rFonts w:ascii="Calibri" w:eastAsia="Calibri" w:hAnsi="Calibri" w:cs="Calibri"/>
          <w:color w:val="44546A"/>
          <w:szCs w:val="20"/>
          <w:lang w:val="sr-Cyrl-CS" w:eastAsia="ja-JP"/>
        </w:rPr>
      </w:pPr>
      <w:r w:rsidRPr="0007074F">
        <w:rPr>
          <w:rFonts w:ascii="Calibri" w:eastAsia="Calibri" w:hAnsi="Calibri" w:cs="Calibri"/>
          <w:color w:val="44546A"/>
          <w:szCs w:val="20"/>
          <w:lang w:val="sr-Cyrl-CS" w:eastAsia="ja-JP"/>
        </w:rPr>
        <w:t>Побољшање квалитета и транспарентности статистике државних финансија</w:t>
      </w:r>
      <w:r w:rsidRPr="0007074F">
        <w:rPr>
          <w:rFonts w:ascii="Calibri" w:eastAsia="Calibri" w:hAnsi="Calibri" w:cs="Calibri"/>
          <w:b/>
          <w:bCs/>
          <w:color w:val="44546A"/>
          <w:szCs w:val="20"/>
          <w:lang w:val="sr-Cyrl-CS" w:eastAsia="ja-JP"/>
        </w:rPr>
        <w:t xml:space="preserve"> </w:t>
      </w:r>
      <w:r w:rsidRPr="0007074F">
        <w:rPr>
          <w:rFonts w:ascii="Calibri" w:eastAsia="Calibri" w:hAnsi="Calibri" w:cs="Calibri"/>
          <w:color w:val="44546A"/>
          <w:szCs w:val="20"/>
          <w:lang w:val="sr-Cyrl-CS" w:eastAsia="ja-JP"/>
        </w:rPr>
        <w:t xml:space="preserve">се врши кроз унапређење свеобухватне, правовремене и аутоматске размене података између надлежних институција – Републичког завода за статистику, Народне банке Србије и Министарства финансија, а у складу са Споразумом о сарадњи у области статистике националних рачуна сектора државе и с њом повезаних статистика. У априлу 2018. године Републички завод је објавио листу институција које чине сектор државе, као и остале секторе, у складу са Европским системом националних и регионалних рачуна (ESA) 2010, Системом националних рачуна (SNA 2008) и Приручником о дефициту и дугу сектора државе, која је урађена у сарадњи са Народном банком Србије и Министарством финансија. Управа за </w:t>
      </w:r>
      <w:r w:rsidRPr="0007074F">
        <w:rPr>
          <w:rFonts w:ascii="Calibri" w:eastAsia="Calibri" w:hAnsi="Calibri" w:cs="Calibri"/>
          <w:color w:val="44546A"/>
          <w:szCs w:val="20"/>
          <w:lang w:val="sr-Cyrl-CS" w:eastAsia="ja-JP"/>
        </w:rPr>
        <w:lastRenderedPageBreak/>
        <w:t>јавни дуг од средине 2021. тромесечно објављује податке о мастришком дугу, који израђује Народна банка Србије у складу са ESA 2010</w:t>
      </w:r>
      <w:r w:rsidRPr="0007074F">
        <w:rPr>
          <w:rFonts w:ascii="Calibri" w:eastAsia="Calibri" w:hAnsi="Calibri" w:cs="Calibri"/>
          <w:b/>
          <w:bCs/>
          <w:color w:val="44546A"/>
          <w:szCs w:val="20"/>
          <w:lang w:val="sr-Cyrl-CS" w:eastAsia="ja-JP"/>
        </w:rPr>
        <w:t>.</w:t>
      </w:r>
      <w:r w:rsidR="00C171B0" w:rsidRPr="0007074F">
        <w:rPr>
          <w:rFonts w:ascii="Calibri" w:eastAsia="Calibri" w:hAnsi="Calibri" w:cs="Calibri"/>
          <w:color w:val="44546A"/>
          <w:szCs w:val="20"/>
          <w:lang w:val="sr-Cyrl-CS" w:eastAsia="ja-JP"/>
        </w:rPr>
        <w:t xml:space="preserve"> У току је пројекат у сарадњи са ММФ који има за циљ да се у оквиру Управе за трезор, као централног информационог система и свеобухватне базе </w:t>
      </w:r>
      <w:r w:rsidR="00C171B0" w:rsidRPr="0007074F">
        <w:rPr>
          <w:rFonts w:ascii="Calibri" w:eastAsia="Calibri" w:hAnsi="Calibri" w:cs="Calibri"/>
          <w:color w:val="44546A"/>
          <w:szCs w:val="20"/>
          <w:lang w:val="sr-Cyrl-CS" w:eastAsia="ja-JP"/>
        </w:rPr>
        <w:t>података изгради систем који ће омогућити прикупљање и консолидацију података за сектор државе како по националној методологији тако и по методологији GFSM 2014, кроз постепено увођење институција у његов обухват.</w:t>
      </w:r>
    </w:p>
    <w:p w14:paraId="0D36678E" w14:textId="77777777" w:rsidR="00C171B0" w:rsidRPr="0007074F" w:rsidRDefault="00C171B0" w:rsidP="000D3688">
      <w:pPr>
        <w:rPr>
          <w:rFonts w:ascii="Calibri" w:eastAsia="Calibri" w:hAnsi="Calibri" w:cs="Calibri"/>
          <w:color w:val="44546A"/>
          <w:szCs w:val="20"/>
          <w:lang w:val="sr-Cyrl-CS" w:eastAsia="ja-JP"/>
        </w:rPr>
        <w:sectPr w:rsidR="00C171B0" w:rsidRPr="0007074F" w:rsidSect="000D3688">
          <w:headerReference w:type="even" r:id="rId151"/>
          <w:footerReference w:type="even" r:id="rId152"/>
          <w:footerReference w:type="default" r:id="rId153"/>
          <w:headerReference w:type="first" r:id="rId154"/>
          <w:type w:val="continuous"/>
          <w:pgSz w:w="12240" w:h="15840" w:code="1"/>
          <w:pgMar w:top="1440" w:right="1440" w:bottom="1440" w:left="1440" w:header="720" w:footer="720" w:gutter="0"/>
          <w:cols w:num="2" w:space="720"/>
          <w:docGrid w:linePitch="360"/>
        </w:sectPr>
      </w:pPr>
    </w:p>
    <w:p w14:paraId="7B2F7857" w14:textId="77777777" w:rsidR="00C171B0" w:rsidRPr="0007074F" w:rsidRDefault="00C171B0" w:rsidP="000D3688">
      <w:pPr>
        <w:rPr>
          <w:lang w:val="sr-Cyrl-CS"/>
        </w:rPr>
      </w:pPr>
    </w:p>
    <w:p w14:paraId="6728A5ED" w14:textId="77777777" w:rsidR="00C171B0" w:rsidRPr="0007074F" w:rsidRDefault="00C171B0">
      <w:pPr>
        <w:jc w:val="left"/>
        <w:rPr>
          <w:lang w:val="sr-Cyrl-CS"/>
        </w:rPr>
      </w:pPr>
    </w:p>
    <w:p w14:paraId="5277AC35" w14:textId="77777777" w:rsidR="00EF6B75" w:rsidRPr="0007074F" w:rsidRDefault="00EF6B75">
      <w:pPr>
        <w:jc w:val="left"/>
        <w:rPr>
          <w:rFonts w:ascii="Calibri" w:eastAsia="Calibri" w:hAnsi="Calibri" w:cs="Calibri"/>
          <w:bCs/>
          <w:color w:val="44546A"/>
          <w:szCs w:val="72"/>
          <w:lang w:val="sr-Cyrl-CS"/>
        </w:rPr>
      </w:pPr>
      <w:r w:rsidRPr="0007074F">
        <w:rPr>
          <w:rFonts w:ascii="Calibri" w:eastAsia="Calibri" w:hAnsi="Calibri" w:cs="Calibri"/>
          <w:bCs/>
          <w:color w:val="44546A"/>
          <w:szCs w:val="72"/>
          <w:lang w:val="sr-Cyrl-CS"/>
        </w:rPr>
        <w:br w:type="page"/>
      </w:r>
    </w:p>
    <w:p w14:paraId="7E543FBB" w14:textId="77777777" w:rsidR="00434D5D" w:rsidRPr="0007074F" w:rsidRDefault="00434D5D" w:rsidP="00B349CD">
      <w:pPr>
        <w:keepNext/>
        <w:keepLines/>
        <w:spacing w:after="320"/>
        <w:jc w:val="center"/>
        <w:outlineLvl w:val="1"/>
        <w:rPr>
          <w:rFonts w:eastAsia="MS PGothic" w:cstheme="minorHAnsi"/>
          <w:b/>
          <w:color w:val="2F5496" w:themeColor="accent1" w:themeShade="BF"/>
          <w:sz w:val="24"/>
          <w:szCs w:val="26"/>
          <w:lang w:val="sr-Cyrl-CS" w:eastAsia="ja-JP"/>
        </w:rPr>
      </w:pPr>
      <w:bookmarkStart w:id="44" w:name="_Toc135994504"/>
      <w:bookmarkStart w:id="45" w:name="_Toc119654147"/>
      <w:r w:rsidRPr="0007074F">
        <w:rPr>
          <w:rFonts w:eastAsia="MS PGothic" w:cstheme="minorHAnsi"/>
          <w:b/>
          <w:color w:val="2F5496" w:themeColor="accent1" w:themeShade="BF"/>
          <w:sz w:val="24"/>
          <w:szCs w:val="26"/>
          <w:lang w:val="sr-Cyrl-CS" w:eastAsia="ja-JP"/>
        </w:rPr>
        <w:lastRenderedPageBreak/>
        <w:t>5. Фискални ризици</w:t>
      </w:r>
      <w:bookmarkEnd w:id="44"/>
    </w:p>
    <w:p w14:paraId="011DF2E1" w14:textId="77777777" w:rsidR="00434D5D" w:rsidRPr="0007074F" w:rsidRDefault="00434D5D" w:rsidP="00B349CD">
      <w:pPr>
        <w:spacing w:after="120"/>
        <w:rPr>
          <w:rFonts w:eastAsia="MS PGothic" w:cstheme="minorHAnsi"/>
          <w:szCs w:val="20"/>
          <w:lang w:val="sr-Cyrl-CS" w:eastAsia="ja-JP"/>
        </w:rPr>
        <w:sectPr w:rsidR="00434D5D" w:rsidRPr="0007074F" w:rsidSect="00B349CD">
          <w:headerReference w:type="even" r:id="rId155"/>
          <w:headerReference w:type="default" r:id="rId156"/>
          <w:footerReference w:type="even" r:id="rId157"/>
          <w:footerReference w:type="default" r:id="rId158"/>
          <w:headerReference w:type="first" r:id="rId159"/>
          <w:type w:val="continuous"/>
          <w:pgSz w:w="12240" w:h="15840" w:code="1"/>
          <w:pgMar w:top="1440" w:right="1440" w:bottom="1440" w:left="1440" w:header="720" w:footer="720" w:gutter="0"/>
          <w:cols w:space="720"/>
          <w:titlePg/>
          <w:docGrid w:linePitch="360"/>
        </w:sectPr>
      </w:pPr>
    </w:p>
    <w:p w14:paraId="74FB64A5" w14:textId="77777777" w:rsidR="00434D5D" w:rsidRPr="0007074F" w:rsidRDefault="00434D5D" w:rsidP="00B349CD">
      <w:pPr>
        <w:spacing w:after="120"/>
        <w:rPr>
          <w:rFonts w:eastAsia="MS PGothic" w:cstheme="minorHAnsi"/>
          <w:szCs w:val="20"/>
          <w:lang w:val="sr-Cyrl-CS" w:eastAsia="ja-JP"/>
        </w:rPr>
      </w:pPr>
      <w:r w:rsidRPr="0007074F">
        <w:rPr>
          <w:rFonts w:eastAsia="MS PGothic" w:cstheme="minorHAnsi"/>
          <w:szCs w:val="20"/>
          <w:lang w:val="sr-Cyrl-CS" w:eastAsia="ja-JP"/>
        </w:rPr>
        <w:t>Фискални ризици представљају изложеност јавних финансија одређеним околностима које могу проузроковати одступања од пројектованог фискалног оквира. До одступања може доћи у приходима, расходима, фискалном резултату, као и у имовини и обавезама државе, у односу на оно што је планирано и очекивано. На спољашње ризике, попут природних катастрофа или глобалних финансијских криза, Влада не може да утиче, али могуће је дефинисати излазне стратегије које би ублажиле њихово дејство (очување стабилности у 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 ризици, односно њихова материјализација последица су активности у јавном сектору, те се на вероватноћу њихове реализације може утицати одлукама и политикама Владе.</w:t>
      </w:r>
    </w:p>
    <w:p w14:paraId="6B511603" w14:textId="77777777" w:rsidR="00434D5D" w:rsidRPr="0007074F" w:rsidRDefault="00434D5D" w:rsidP="00B349CD">
      <w:pPr>
        <w:spacing w:after="120"/>
        <w:rPr>
          <w:rFonts w:eastAsia="MS PGothic" w:cstheme="minorHAnsi"/>
          <w:szCs w:val="20"/>
          <w:lang w:val="sr-Cyrl-CS" w:eastAsia="ja-JP"/>
        </w:rPr>
      </w:pPr>
      <w:r w:rsidRPr="0007074F">
        <w:rPr>
          <w:rFonts w:eastAsia="MS PGothic" w:cstheme="minorHAnsi"/>
          <w:szCs w:val="20"/>
          <w:lang w:val="sr-Cyrl-CS" w:eastAsia="ja-JP"/>
        </w:rPr>
        <w:t>Идентификација највећих фискалних ризика који могу утицати на државне финансије у средњем року полазна је тачка у бољем управљању фискалним ризицима. О одређеним фискалним ризицима постоје детаљни подаци и лако се може идентификовати да ли ће и са коликом вероватноћом утицати на фискалне агрегате у средњем року. За друге, пак, не постоје довољно детаљни подаци, али и само њихово идентификовање подиже свест о могућности да у наредном периоду доведу до одступања од планираног фискалног оквира.</w:t>
      </w:r>
    </w:p>
    <w:p w14:paraId="20C65113" w14:textId="77777777" w:rsidR="00434D5D" w:rsidRPr="0007074F" w:rsidRDefault="00434D5D" w:rsidP="00B349CD">
      <w:pPr>
        <w:spacing w:after="120"/>
        <w:rPr>
          <w:rFonts w:eastAsia="MS PGothic" w:cstheme="minorHAnsi"/>
          <w:szCs w:val="20"/>
          <w:lang w:val="sr-Cyrl-CS" w:eastAsia="ja-JP"/>
        </w:rPr>
      </w:pPr>
      <w:r w:rsidRPr="0007074F">
        <w:rPr>
          <w:rFonts w:eastAsia="MS PGothic" w:cstheme="minorHAnsi"/>
          <w:szCs w:val="20"/>
          <w:lang w:val="sr-Cyrl-CS" w:eastAsia="ja-JP"/>
        </w:rPr>
        <w:t xml:space="preserve">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мора имати и водећу улогу у успостављању институционалне и законске структуре, те изградњи капацитета неопходних за управљање фискалним ризицима. Сектор за праћење фискалних ризика, организациона јединица за управљање фискалним ризицима у Министарству финансија, основан је са циљем да ради на јачању законске регулативе и методолошког оквира, изградњи </w:t>
      </w:r>
      <w:r w:rsidRPr="0007074F">
        <w:rPr>
          <w:rFonts w:eastAsia="MS PGothic" w:cstheme="minorHAnsi"/>
          <w:szCs w:val="20"/>
          <w:lang w:val="sr-Cyrl-CS" w:eastAsia="ja-JP"/>
        </w:rPr>
        <w:t>капацитета, те развијању техничких алата и модела неопходних за праћење и процену фискалних ризика. Намера је да резултат ових активности буде идентификација и процена ризика и предлагање излазних стратегија, као помоћ Влади у очувању стабилности јавних финансија, што је кључни циљ фискалне политике и један од основних предуслова за динамичнији привредни раст.</w:t>
      </w:r>
    </w:p>
    <w:p w14:paraId="7321139A" w14:textId="77777777" w:rsidR="00434D5D" w:rsidRPr="0007074F" w:rsidRDefault="00434D5D" w:rsidP="00B349CD">
      <w:pPr>
        <w:spacing w:after="0"/>
        <w:rPr>
          <w:rFonts w:eastAsia="MS PGothic" w:cstheme="minorHAnsi"/>
          <w:szCs w:val="20"/>
          <w:lang w:val="sr-Cyrl-CS" w:eastAsia="ja-JP"/>
        </w:rPr>
      </w:pPr>
      <w:r w:rsidRPr="0007074F">
        <w:rPr>
          <w:rFonts w:eastAsia="MS PGothic" w:cstheme="minorHAnsi"/>
          <w:szCs w:val="20"/>
          <w:lang w:val="sr-Cyrl-CS" w:eastAsia="ja-JP"/>
        </w:rPr>
        <w:t xml:space="preserve">У циљу спровођења наведеног процеса праћења фискалних ризика, у октобру 2021. године, усвојена је Јединствена методологија, која је припремљена уз помоћ Светске банке, која обухвата четири основне методологије и то: </w:t>
      </w:r>
      <w:r w:rsidRPr="0007074F">
        <w:rPr>
          <w:rFonts w:eastAsia="MS PGothic" w:cstheme="minorHAnsi"/>
          <w:szCs w:val="20"/>
          <w:lang w:val="sr-Cyrl-CS" w:eastAsia="ja-JP"/>
        </w:rPr>
        <w:br w:type="textWrapping" w:clear="all"/>
        <w:t xml:space="preserve">1) Методологију за праћење фискалних ризика који произлазе из пословања јавних предузећа; </w:t>
      </w:r>
      <w:r w:rsidRPr="0007074F">
        <w:rPr>
          <w:rFonts w:eastAsia="MS PGothic" w:cstheme="minorHAnsi"/>
          <w:szCs w:val="20"/>
          <w:lang w:val="sr-Cyrl-CS" w:eastAsia="ja-JP"/>
        </w:rPr>
        <w:br w:type="textWrapping" w:clear="all"/>
        <w:t xml:space="preserve">2) Методологију за праћење фискалних ризика по буџет Републике Србије који произлазе из вршења надлежности јединица локалне самоуправе; </w:t>
      </w:r>
      <w:r w:rsidRPr="0007074F">
        <w:rPr>
          <w:rFonts w:eastAsia="MS PGothic" w:cstheme="minorHAnsi"/>
          <w:szCs w:val="20"/>
          <w:lang w:val="sr-Cyrl-CS" w:eastAsia="ja-JP"/>
        </w:rPr>
        <w:br w:type="textWrapping" w:clear="all"/>
        <w:t>3) Методологију за праћење фискалних ризика по основу судских поступака;</w:t>
      </w:r>
    </w:p>
    <w:p w14:paraId="56F9E2A5" w14:textId="77777777" w:rsidR="00434D5D" w:rsidRPr="0007074F" w:rsidRDefault="00434D5D" w:rsidP="00B349CD">
      <w:pPr>
        <w:spacing w:after="120"/>
        <w:rPr>
          <w:rFonts w:eastAsia="MS PGothic" w:cstheme="minorHAnsi"/>
          <w:szCs w:val="20"/>
          <w:lang w:val="sr-Cyrl-CS" w:eastAsia="ja-JP"/>
        </w:rPr>
      </w:pPr>
      <w:r w:rsidRPr="0007074F">
        <w:rPr>
          <w:rFonts w:eastAsia="MS PGothic" w:cstheme="minorHAnsi"/>
          <w:szCs w:val="20"/>
          <w:lang w:val="sr-Cyrl-CS" w:eastAsia="ja-JP"/>
        </w:rPr>
        <w:t>4) Методологију за праћење фискалних ризика који се јављају као последица елементарних непогода.</w:t>
      </w:r>
    </w:p>
    <w:p w14:paraId="4B78BCC4" w14:textId="77777777" w:rsidR="00434D5D" w:rsidRPr="0007074F" w:rsidRDefault="00434D5D" w:rsidP="00B349CD">
      <w:pPr>
        <w:spacing w:after="120"/>
        <w:rPr>
          <w:highlight w:val="yellow"/>
          <w:lang w:val="sr-Cyrl-CS"/>
        </w:rPr>
      </w:pPr>
      <w:r w:rsidRPr="0007074F">
        <w:rPr>
          <w:rFonts w:eastAsia="MS PGothic" w:cstheme="minorHAnsi"/>
          <w:szCs w:val="20"/>
          <w:lang w:val="sr-Cyrl-CS" w:eastAsia="ja-JP"/>
        </w:rPr>
        <w:t>Током јесени 2021. године десили су се поремећаји на енергетском тржишту у свету. Криза у енергетском сектору се само надовезала на већ постојећу кризу изазвану пандемијом COVID-19. Због повећане тражње узроковане постпандемијским развојем економије и проблема у снабдевању, односно недовољне понуде и недовољних залиха, цене природног гаса су достигле историјске максимуме. Ово је подстакло тражњу за осталим енергентима, чије су цене изузетно порасле. Високе цене осталих енергената, а у Европи и смањена производња из електрана на ветар и високе цене дозвола за емисију CO</w:t>
      </w:r>
      <w:r w:rsidRPr="0007074F">
        <w:rPr>
          <w:rFonts w:eastAsia="MS PGothic" w:cstheme="minorHAnsi"/>
          <w:szCs w:val="20"/>
          <w:vertAlign w:val="subscript"/>
          <w:lang w:val="sr-Cyrl-CS" w:eastAsia="ja-JP"/>
        </w:rPr>
        <w:t>2</w:t>
      </w:r>
      <w:r w:rsidRPr="0007074F">
        <w:rPr>
          <w:rFonts w:eastAsia="MS PGothic" w:cstheme="minorHAnsi"/>
          <w:szCs w:val="20"/>
          <w:lang w:val="sr-Cyrl-CS" w:eastAsia="ja-JP"/>
        </w:rPr>
        <w:t xml:space="preserve"> довеле су до раста цена електричне енергије, такође до историјских максимума. У таквим условима, порасла је производња електричне енергије из угља, јер је она била повољнија од производње из гаса.</w:t>
      </w:r>
    </w:p>
    <w:p w14:paraId="71EE8976" w14:textId="6B26E8A8" w:rsidR="00434D5D" w:rsidRPr="0007074F" w:rsidRDefault="00434D5D" w:rsidP="00B349CD">
      <w:pPr>
        <w:spacing w:after="120"/>
        <w:rPr>
          <w:highlight w:val="yellow"/>
          <w:lang w:val="sr-Cyrl-CS"/>
        </w:rPr>
      </w:pPr>
      <w:r w:rsidRPr="0007074F">
        <w:rPr>
          <w:lang w:val="sr-Cyrl-CS"/>
        </w:rPr>
        <w:t xml:space="preserve">До сада се више пута показало, да раст цене неког од основних енергената, попут нафте и гаса, доводи до раста осталих цена на тржишту, а на </w:t>
      </w:r>
      <w:r w:rsidRPr="0007074F">
        <w:rPr>
          <w:lang w:val="sr-Cyrl-CS"/>
        </w:rPr>
        <w:lastRenderedPageBreak/>
        <w:t>целу ову већ тешку ситуацију се надовезала и криза у Украјини, те се као један од кључних проблема наметнуло питање енергетске сигурности и европске зависности од руских фосилних горива. Овај след догађаја утицао је да цене електричне енергије и природног гаса у свету достигну цене знатно веће од уобичајених у последњих неколико година. Енергетска криза неизбежно се прелила и на Србију, а највише су погођена енергетска предузећа, претежно „Електропривреда Србије”</w:t>
      </w:r>
      <w:r w:rsidR="00267FEF" w:rsidRPr="0007074F">
        <w:rPr>
          <w:lang w:val="sr-Cyrl-CS"/>
        </w:rPr>
        <w:t xml:space="preserve"> АД</w:t>
      </w:r>
      <w:r w:rsidRPr="0007074F">
        <w:rPr>
          <w:lang w:val="sr-Cyrl-CS"/>
        </w:rPr>
        <w:t xml:space="preserve"> и ЈП „Србијагас”.</w:t>
      </w:r>
    </w:p>
    <w:p w14:paraId="671C6109" w14:textId="242727A9" w:rsidR="00434D5D" w:rsidRPr="0007074F" w:rsidRDefault="00434D5D" w:rsidP="00B349CD">
      <w:pPr>
        <w:spacing w:after="120"/>
        <w:rPr>
          <w:spacing w:val="-4"/>
          <w:lang w:val="sr-Cyrl-CS"/>
        </w:rPr>
      </w:pPr>
      <w:r w:rsidRPr="0007074F">
        <w:rPr>
          <w:spacing w:val="-4"/>
          <w:lang w:val="sr-Cyrl-CS"/>
        </w:rPr>
        <w:t xml:space="preserve">Због виших цена електричне енергије, које би угрозиле пословање привредних субјеката у Републици Србији, као и енергетских субјеката који обављају делатност преноса, односно дистрибуције електричне енергије (у вези набавке електричне енергије за губитке), препоручено је да </w:t>
      </w:r>
      <w:r w:rsidR="00267FEF" w:rsidRPr="0007074F">
        <w:rPr>
          <w:spacing w:val="-4"/>
          <w:lang w:val="sr-Cyrl-CS"/>
        </w:rPr>
        <w:t xml:space="preserve">ЕПС а.д. </w:t>
      </w:r>
      <w:r w:rsidRPr="0007074F">
        <w:rPr>
          <w:spacing w:val="-4"/>
          <w:lang w:val="sr-Cyrl-CS"/>
        </w:rPr>
        <w:t xml:space="preserve">те субјекте снабдева по ценама знатно нижим од тржишних, чиме је </w:t>
      </w:r>
      <w:r w:rsidR="00267FEF" w:rsidRPr="0007074F">
        <w:rPr>
          <w:spacing w:val="-4"/>
          <w:lang w:val="sr-Cyrl-CS"/>
        </w:rPr>
        <w:t xml:space="preserve">ЕПС а.д. </w:t>
      </w:r>
      <w:r w:rsidRPr="0007074F">
        <w:rPr>
          <w:spacing w:val="-4"/>
          <w:lang w:val="sr-Cyrl-CS"/>
        </w:rPr>
        <w:t xml:space="preserve">изложен финансијском ризику, односно ризик раста цена у 2022. години у потпуности је пребачен на </w:t>
      </w:r>
      <w:r w:rsidR="00267FEF" w:rsidRPr="0007074F">
        <w:rPr>
          <w:spacing w:val="-4"/>
          <w:lang w:val="sr-Cyrl-CS"/>
        </w:rPr>
        <w:t>ЕПС а.д.</w:t>
      </w:r>
      <w:r w:rsidRPr="0007074F">
        <w:rPr>
          <w:spacing w:val="-4"/>
          <w:lang w:val="sr-Cyrl-CS"/>
        </w:rPr>
        <w:t>.</w:t>
      </w:r>
    </w:p>
    <w:p w14:paraId="46C38922" w14:textId="2A8A6315" w:rsidR="00434D5D" w:rsidRPr="0007074F" w:rsidRDefault="00434D5D" w:rsidP="00B349CD">
      <w:pPr>
        <w:spacing w:after="120"/>
        <w:rPr>
          <w:highlight w:val="yellow"/>
          <w:lang w:val="sr-Cyrl-CS"/>
        </w:rPr>
      </w:pPr>
      <w:r w:rsidRPr="0007074F">
        <w:rPr>
          <w:lang w:val="sr-Cyrl-CS"/>
        </w:rPr>
        <w:t>Tоком целе претходне 2022. године, а што је настављено и у првој половини 2023. године, Република Србија се борила да финансијским и стратешким мерама обезбеди и осигура снабдевање кључним енергентима. Поред наведеног, уложен је додатни напор да се настави са трансформацијом предузећа из енергетског сектора, тако је 6. априла 2023. године промењена форма „Електропривреде Србије”</w:t>
      </w:r>
      <w:r w:rsidR="00267FEF" w:rsidRPr="0007074F">
        <w:rPr>
          <w:lang w:val="sr-Cyrl-CS"/>
        </w:rPr>
        <w:t xml:space="preserve"> АД</w:t>
      </w:r>
      <w:r w:rsidRPr="0007074F">
        <w:rPr>
          <w:lang w:val="sr-Cyrl-CS"/>
        </w:rPr>
        <w:t xml:space="preserve"> из јавног предузећа у нејавно акционарско друштво. Повећање цена електричне енергије од 1. септембра 2022. године, рационално планирање ресурса, кретање цена енергената и позитивни хидролошки трендови утицали су да у прва три месеца 2023. године </w:t>
      </w:r>
      <w:r w:rsidR="00267FEF" w:rsidRPr="0007074F">
        <w:rPr>
          <w:lang w:val="sr-Cyrl-CS"/>
        </w:rPr>
        <w:t xml:space="preserve">ЕПС а.д. </w:t>
      </w:r>
      <w:r w:rsidRPr="0007074F">
        <w:rPr>
          <w:lang w:val="sr-Cyrl-CS"/>
        </w:rPr>
        <w:t>оствари најбоље резултате у последњих пет година. Током 2023. године настављено је са реализацијом планираних активности те је од 1. маја 2023. године дошло до новог повећања цене електричне енергије од 8%, чији ће се ефекти позитивно одразити у наредном периоду.</w:t>
      </w:r>
    </w:p>
    <w:p w14:paraId="5670C8A6" w14:textId="77777777" w:rsidR="00434D5D" w:rsidRPr="0007074F" w:rsidRDefault="00434D5D" w:rsidP="00B349CD">
      <w:pPr>
        <w:spacing w:after="120"/>
        <w:rPr>
          <w:lang w:val="sr-Cyrl-CS"/>
        </w:rPr>
      </w:pPr>
      <w:r w:rsidRPr="0007074F">
        <w:rPr>
          <w:lang w:val="sr-Cyrl-CS"/>
        </w:rPr>
        <w:t xml:space="preserve">Што се тиче </w:t>
      </w:r>
      <w:r w:rsidRPr="0007074F">
        <w:rPr>
          <w:spacing w:val="-4"/>
          <w:lang w:val="sr-Cyrl-CS"/>
        </w:rPr>
        <w:t>ЈП „Србијагас”,</w:t>
      </w:r>
      <w:r w:rsidRPr="0007074F">
        <w:rPr>
          <w:lang w:val="sr-Cyrl-CS"/>
        </w:rPr>
        <w:t xml:space="preserve"> </w:t>
      </w:r>
      <w:r w:rsidRPr="0007074F">
        <w:rPr>
          <w:spacing w:val="-4"/>
          <w:lang w:val="sr-Cyrl-CS"/>
        </w:rPr>
        <w:t xml:space="preserve">неповољна тржишна кретања и финансијска позиција дистрибутера природног гаса утицали су да Република Србија у претходном периоду учествује у финансирању набавки резервних количина гаса, као и </w:t>
      </w:r>
      <w:r w:rsidRPr="0007074F">
        <w:rPr>
          <w:spacing w:val="-4"/>
          <w:lang w:val="sr-Cyrl-CS"/>
        </w:rPr>
        <w:t>суфинансирању редовних набавки. П</w:t>
      </w:r>
      <w:r w:rsidRPr="0007074F">
        <w:rPr>
          <w:lang w:val="sr-Cyrl-CS"/>
        </w:rPr>
        <w:t>роактивним режимом рада током 2022. године обезбеђени су додатни складишни капацитети за природни гас у Мађарској, одакле су се ускладиштене количине повремено повлачиле у зимској сезони 2022/2023. године, а преостале количине омогућиће додатну сигурност снабдевања тржишта током зимске сезоне 2023/2024. године. Кретања цена енергената на светском тржишту утицала су да и ЈП „Србијагас” изврши корекцију продајних цена гаса. Према томе од 1. јануара 2023. године ЈП „Србијагас” примењује нове цене природног гаса у делатности јавног снабдевања које су веће за 11%. Од 1. маја 2023. године примењено је ново повећање цена природног гаса за јавно снабдевање малих купаца и домаћинстава од 10%, а ефекти наведених повећања биће видљиви у другој половини 2023. године.</w:t>
      </w:r>
    </w:p>
    <w:p w14:paraId="3FCE6657" w14:textId="77777777" w:rsidR="00434D5D" w:rsidRPr="0007074F" w:rsidRDefault="00434D5D" w:rsidP="00B349CD">
      <w:pPr>
        <w:rPr>
          <w:lang w:val="sr-Cyrl-CS"/>
        </w:rPr>
      </w:pPr>
      <w:r w:rsidRPr="0007074F">
        <w:rPr>
          <w:lang w:val="sr-Cyrl-CS"/>
        </w:rPr>
        <w:t>Ефекти енергетске кризе у свету нису заобишли ни ЈП „Путеви Србије” које је идентификовано као носилац високог фискалног ризика због раста цена основних енергената и главних сировина потребних за обављање основне делатности, што би могло додатно да погорша финансијску позицију овог јавног предузећа, а самим тим и повећа ослањање на буџет Републике Србије. У циљу благовременог спречавања утицаја на буџет, током 2023. године Република Србија је донела низ мера. Како би се избегли негативни ефекти и њихов утицај на буџет Републике Србије, ЈП „Путеви Србије” је од 1. априла 2023. године повећало цене путарина за 14%, односно 8% за возила са ТАГ уређајем.</w:t>
      </w:r>
    </w:p>
    <w:p w14:paraId="6C38EFDE" w14:textId="77777777" w:rsidR="00434D5D" w:rsidRPr="0007074F" w:rsidRDefault="00434D5D" w:rsidP="00B349CD">
      <w:pPr>
        <w:spacing w:after="120"/>
        <w:rPr>
          <w:lang w:val="sr-Cyrl-CS"/>
        </w:rPr>
      </w:pPr>
      <w:r w:rsidRPr="0007074F">
        <w:rPr>
          <w:lang w:val="sr-Cyrl-CS"/>
        </w:rPr>
        <w:t>Слична ситуација идентификована је и код „Коридори Србије” д.о.о, због високих издатака за капиталне инвестиције које су у надлежности овог друштва, где промене цена основних сировина могу значајно повећати трошкове спровођења пројеката и повећати ослањање на буџет Републике Србије, у циљу континуиране реализације пројеката.</w:t>
      </w:r>
    </w:p>
    <w:p w14:paraId="5F5716CD" w14:textId="77777777" w:rsidR="00434D5D" w:rsidRPr="0007074F" w:rsidRDefault="00434D5D" w:rsidP="00B349CD">
      <w:pPr>
        <w:spacing w:after="120"/>
        <w:jc w:val="left"/>
        <w:rPr>
          <w:rFonts w:cstheme="minorHAnsi"/>
          <w:b/>
          <w:bCs/>
          <w:color w:val="2F5496" w:themeColor="accent1" w:themeShade="BF"/>
          <w:sz w:val="22"/>
          <w:szCs w:val="20"/>
          <w:lang w:val="sr-Cyrl-CS"/>
        </w:rPr>
      </w:pPr>
      <w:r w:rsidRPr="0007074F">
        <w:rPr>
          <w:rFonts w:cstheme="minorHAnsi"/>
          <w:b/>
          <w:bCs/>
          <w:color w:val="2F5496" w:themeColor="accent1" w:themeShade="BF"/>
          <w:sz w:val="22"/>
          <w:szCs w:val="20"/>
          <w:lang w:val="sr-Cyrl-CS"/>
        </w:rPr>
        <w:t>Државне гаранције</w:t>
      </w:r>
    </w:p>
    <w:p w14:paraId="2B1299C1" w14:textId="77777777" w:rsidR="00434D5D" w:rsidRPr="0007074F" w:rsidRDefault="00434D5D" w:rsidP="00B349CD">
      <w:pPr>
        <w:spacing w:after="120"/>
        <w:rPr>
          <w:lang w:val="sr-Cyrl-CS"/>
        </w:rPr>
      </w:pPr>
      <w:r w:rsidRPr="0007074F">
        <w:rPr>
          <w:rFonts w:eastAsia="MS PGothic" w:cstheme="minorHAnsi"/>
          <w:szCs w:val="20"/>
          <w:lang w:val="sr-Cyrl-CS" w:eastAsia="ja-JP"/>
        </w:rPr>
        <w:t xml:space="preserve">Гаранције издате од стране државе утичу на висину јавног дуга, али и на висину дефицита, уколико отплату по кредиту уместо првобитног дужника преузме држава. Издате гаранције су према дефиницији одређеној Законом о јавном </w:t>
      </w:r>
      <w:r w:rsidRPr="0007074F">
        <w:rPr>
          <w:rFonts w:eastAsia="MS PGothic" w:cstheme="minorHAnsi"/>
          <w:szCs w:val="20"/>
          <w:lang w:val="sr-Cyrl-CS" w:eastAsia="ja-JP"/>
        </w:rPr>
        <w:lastRenderedPageBreak/>
        <w:t>дугу</w:t>
      </w:r>
      <w:r w:rsidRPr="0007074F">
        <w:rPr>
          <w:rFonts w:eastAsia="MS PGothic" w:cstheme="minorHAnsi"/>
          <w:szCs w:val="20"/>
          <w:vertAlign w:val="superscript"/>
          <w:lang w:val="sr-Cyrl-CS" w:eastAsia="ja-JP"/>
        </w:rPr>
        <w:footnoteReference w:id="6"/>
      </w:r>
      <w:r w:rsidRPr="0007074F">
        <w:rPr>
          <w:rFonts w:eastAsia="MS PGothic" w:cstheme="minorHAnsi"/>
          <w:szCs w:val="20"/>
          <w:lang w:val="sr-Cyrl-CS" w:eastAsia="ja-JP"/>
        </w:rPr>
        <w:t xml:space="preserve"> део индиректних обавеза и у укупном износу се укључују у јавни дуг</w:t>
      </w:r>
      <w:r w:rsidRPr="0007074F">
        <w:rPr>
          <w:rFonts w:eastAsia="MS PGothic" w:cstheme="minorHAnsi"/>
          <w:szCs w:val="20"/>
          <w:vertAlign w:val="superscript"/>
          <w:lang w:val="sr-Cyrl-CS" w:eastAsia="ja-JP"/>
        </w:rPr>
        <w:footnoteReference w:id="7"/>
      </w:r>
      <w:r w:rsidRPr="0007074F">
        <w:rPr>
          <w:rFonts w:eastAsia="MS PGothic" w:cstheme="minorHAnsi"/>
          <w:szCs w:val="20"/>
          <w:lang w:val="sr-Cyrl-CS" w:eastAsia="ja-JP"/>
        </w:rPr>
        <w:t>. Ограничења постављена на издавање нових гаранција дала су резултате те се учешће индиректних обавеза у укупном јавном дугу смањује. Индиректне обавезе (издате гаранције од стране Републике Србије) су учествовале са 4,6% у укупном јавном дугу (сектора државе), према националној методологији, на крају 2022. године. Учешће ових обавеза у јавном дугу је истом нивоу и у текућој години, те на крају марта 2023. године оне чине 4,6% укупног јавног дуга (сектора државе). Највеће учешће ових обавеза у јавном дугу, нешто изнад 14% у просеку забележено је између 2009. и 2013. године.</w:t>
      </w:r>
    </w:p>
    <w:p w14:paraId="03A14E71" w14:textId="77777777" w:rsidR="00434D5D" w:rsidRPr="0007074F" w:rsidRDefault="00434D5D" w:rsidP="00B349CD">
      <w:pPr>
        <w:rPr>
          <w:lang w:val="sr-Cyrl-CS"/>
        </w:rPr>
      </w:pPr>
    </w:p>
    <w:p w14:paraId="5E4B09E9" w14:textId="77777777" w:rsidR="00434D5D" w:rsidRPr="0007074F" w:rsidRDefault="00434D5D" w:rsidP="00B349CD">
      <w:pPr>
        <w:rPr>
          <w:lang w:val="sr-Cyrl-CS"/>
        </w:rPr>
      </w:pPr>
    </w:p>
    <w:p w14:paraId="7FC806B5" w14:textId="77777777" w:rsidR="00434D5D" w:rsidRPr="0007074F" w:rsidRDefault="00434D5D" w:rsidP="00B349CD">
      <w:pPr>
        <w:rPr>
          <w:lang w:val="sr-Cyrl-CS"/>
        </w:rPr>
      </w:pPr>
    </w:p>
    <w:p w14:paraId="37B65081" w14:textId="77777777" w:rsidR="00434D5D" w:rsidRPr="0007074F" w:rsidRDefault="00434D5D" w:rsidP="00B349CD">
      <w:pPr>
        <w:spacing w:after="0"/>
        <w:jc w:val="left"/>
        <w:rPr>
          <w:rFonts w:cstheme="minorHAnsi"/>
          <w:b/>
          <w:bCs/>
          <w:color w:val="2F5496" w:themeColor="accent1" w:themeShade="BF"/>
          <w:sz w:val="22"/>
          <w:szCs w:val="20"/>
          <w:lang w:val="sr-Cyrl-CS"/>
        </w:rPr>
      </w:pPr>
      <w:r w:rsidRPr="0007074F">
        <w:rPr>
          <w:rFonts w:cstheme="minorHAnsi"/>
          <w:b/>
          <w:bCs/>
          <w:color w:val="2F5496" w:themeColor="accent1" w:themeShade="BF"/>
          <w:sz w:val="22"/>
          <w:szCs w:val="20"/>
          <w:lang w:val="sr-Cyrl-CS"/>
        </w:rPr>
        <w:t>Учешће индиректног дуга у укупном јавном дугу Републике Србије (у %)</w:t>
      </w:r>
    </w:p>
    <w:p w14:paraId="683B3D5A" w14:textId="77777777" w:rsidR="00434D5D" w:rsidRPr="0007074F" w:rsidRDefault="00434D5D" w:rsidP="00B349CD">
      <w:pPr>
        <w:spacing w:after="120"/>
        <w:jc w:val="left"/>
        <w:rPr>
          <w:rFonts w:eastAsia="MS PGothic" w:cstheme="minorHAnsi"/>
          <w:szCs w:val="20"/>
          <w:lang w:val="sr-Cyrl-CS" w:eastAsia="ja-JP"/>
        </w:rPr>
      </w:pPr>
      <w:r w:rsidRPr="0007074F">
        <w:rPr>
          <w:noProof/>
          <w14:ligatures w14:val="standardContextual"/>
        </w:rPr>
        <w:drawing>
          <wp:inline distT="0" distB="0" distL="0" distR="0" wp14:anchorId="0FF09FC7" wp14:editId="1D2E4673">
            <wp:extent cx="2743200" cy="1645920"/>
            <wp:effectExtent l="0" t="0" r="0" b="0"/>
            <wp:docPr id="59" name="Chart 59">
              <a:extLst xmlns:a="http://schemas.openxmlformats.org/drawingml/2006/main">
                <a:ext uri="{FF2B5EF4-FFF2-40B4-BE49-F238E27FC236}">
                  <a16:creationId xmlns:a16="http://schemas.microsoft.com/office/drawing/2014/main" id="{00000000-0008-0000-0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p w14:paraId="43AD9364" w14:textId="77777777" w:rsidR="00434D5D" w:rsidRPr="0007074F" w:rsidRDefault="00434D5D" w:rsidP="00B349CD">
      <w:pPr>
        <w:rPr>
          <w:rFonts w:eastAsia="MS PGothic" w:cstheme="minorHAnsi"/>
          <w:spacing w:val="-2"/>
          <w:szCs w:val="20"/>
          <w:lang w:val="sr-Cyrl-CS" w:eastAsia="ja-JP"/>
        </w:rPr>
      </w:pPr>
      <w:r w:rsidRPr="0007074F">
        <w:rPr>
          <w:rFonts w:eastAsia="MS PGothic" w:cstheme="minorHAnsi"/>
          <w:spacing w:val="-2"/>
          <w:szCs w:val="20"/>
          <w:lang w:val="sr-Cyrl-CS" w:eastAsia="ja-JP"/>
        </w:rPr>
        <w:t>На крају 2022. године стање дуга по основу издатих гаранција износило је 1,5 млрд евра, односно 2,6% БДП. Стање дуга по овом основу повећано је за близу 163,8 милиона евра у односу на крај 2021. године. До марта текуће године стање дуга по гаранцијама повећано је за 88,8 милиона евра, у односу на крај 2022. године и износи 1,6 млрд евра на дан 31. март 2023. године.</w:t>
      </w:r>
    </w:p>
    <w:p w14:paraId="74FC3A2B" w14:textId="77777777" w:rsidR="00434D5D" w:rsidRPr="0007074F" w:rsidRDefault="00434D5D" w:rsidP="00B349CD">
      <w:pPr>
        <w:spacing w:after="120" w:line="276" w:lineRule="auto"/>
        <w:jc w:val="center"/>
        <w:rPr>
          <w:rFonts w:eastAsia="MS PGothic" w:cstheme="minorHAnsi"/>
          <w:b/>
          <w:bCs/>
          <w:color w:val="002060"/>
          <w:szCs w:val="20"/>
          <w:lang w:val="sr-Cyrl-CS" w:eastAsia="ja-JP"/>
        </w:rPr>
        <w:sectPr w:rsidR="00434D5D" w:rsidRPr="0007074F" w:rsidSect="00B349CD">
          <w:type w:val="continuous"/>
          <w:pgSz w:w="12240" w:h="15840"/>
          <w:pgMar w:top="1440" w:right="1440" w:bottom="1440" w:left="1440" w:header="720" w:footer="720" w:gutter="0"/>
          <w:cols w:num="2" w:space="720"/>
          <w:docGrid w:linePitch="360"/>
          <w15:footnoteColumns w:val="1"/>
        </w:sectPr>
      </w:pPr>
    </w:p>
    <w:p w14:paraId="0B507178" w14:textId="77777777" w:rsidR="00434D5D" w:rsidRPr="0007074F" w:rsidRDefault="00434D5D" w:rsidP="00B349CD">
      <w:pPr>
        <w:spacing w:after="120" w:line="276" w:lineRule="auto"/>
        <w:jc w:val="center"/>
        <w:rPr>
          <w:rFonts w:eastAsia="MS PGothic" w:cstheme="minorHAnsi"/>
          <w:b/>
          <w:bCs/>
          <w:color w:val="002060"/>
          <w:szCs w:val="20"/>
          <w:lang w:val="sr-Cyrl-CS" w:eastAsia="ja-JP"/>
        </w:rPr>
      </w:pPr>
      <w:r w:rsidRPr="0007074F">
        <w:rPr>
          <w:rFonts w:eastAsia="MS PGothic" w:cstheme="minorHAnsi"/>
          <w:b/>
          <w:bCs/>
          <w:color w:val="002060"/>
          <w:szCs w:val="20"/>
          <w:lang w:val="sr-Cyrl-CS" w:eastAsia="ja-JP"/>
        </w:rPr>
        <w:t>Табела 12. Стање дуга по основу издатих гаранција у мил. евра</w:t>
      </w:r>
    </w:p>
    <w:tbl>
      <w:tblPr>
        <w:tblW w:w="7896" w:type="dxa"/>
        <w:jc w:val="center"/>
        <w:tblLook w:val="04A0" w:firstRow="1" w:lastRow="0" w:firstColumn="1" w:lastColumn="0" w:noHBand="0" w:noVBand="1"/>
      </w:tblPr>
      <w:tblGrid>
        <w:gridCol w:w="6786"/>
        <w:gridCol w:w="1110"/>
      </w:tblGrid>
      <w:tr w:rsidR="00434D5D" w:rsidRPr="0007074F" w14:paraId="3529B8D3" w14:textId="77777777" w:rsidTr="00B349CD">
        <w:trPr>
          <w:trHeight w:hRule="exact" w:val="255"/>
          <w:tblHeader/>
          <w:jc w:val="center"/>
        </w:trPr>
        <w:tc>
          <w:tcPr>
            <w:tcW w:w="6786" w:type="dxa"/>
            <w:tcBorders>
              <w:top w:val="single" w:sz="8" w:space="0" w:color="002060"/>
              <w:left w:val="nil"/>
              <w:bottom w:val="single" w:sz="8" w:space="0" w:color="002060"/>
              <w:right w:val="nil"/>
            </w:tcBorders>
            <w:shd w:val="clear" w:color="auto" w:fill="auto"/>
            <w:noWrap/>
            <w:vAlign w:val="center"/>
            <w:hideMark/>
          </w:tcPr>
          <w:p w14:paraId="281DC729" w14:textId="77777777" w:rsidR="00434D5D" w:rsidRPr="0007074F" w:rsidRDefault="00434D5D" w:rsidP="00B349CD">
            <w:pPr>
              <w:spacing w:after="120" w:line="276" w:lineRule="auto"/>
              <w:jc w:val="lef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Корисник</w:t>
            </w:r>
          </w:p>
        </w:tc>
        <w:tc>
          <w:tcPr>
            <w:tcW w:w="1110" w:type="dxa"/>
            <w:tcBorders>
              <w:top w:val="single" w:sz="8" w:space="0" w:color="002060"/>
              <w:left w:val="nil"/>
              <w:bottom w:val="single" w:sz="8" w:space="0" w:color="002060"/>
              <w:right w:val="nil"/>
            </w:tcBorders>
            <w:shd w:val="clear" w:color="auto" w:fill="auto"/>
            <w:vAlign w:val="center"/>
            <w:hideMark/>
          </w:tcPr>
          <w:p w14:paraId="196E3D13" w14:textId="2005E1F8" w:rsidR="00434D5D" w:rsidRPr="0007074F" w:rsidRDefault="00F51AA9" w:rsidP="00B349CD">
            <w:pPr>
              <w:spacing w:after="120" w:line="276" w:lineRule="auto"/>
              <w:jc w:val="righ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31.</w:t>
            </w:r>
            <w:r w:rsidR="00434D5D" w:rsidRPr="0007074F">
              <w:rPr>
                <w:rFonts w:eastAsia="MS PGothic" w:cstheme="minorHAnsi"/>
                <w:b/>
                <w:color w:val="002060"/>
                <w:sz w:val="18"/>
                <w:szCs w:val="18"/>
                <w:lang w:val="sr-Cyrl-CS" w:eastAsia="ja-JP"/>
              </w:rPr>
              <w:t>3.2023.</w:t>
            </w:r>
          </w:p>
        </w:tc>
      </w:tr>
      <w:tr w:rsidR="00434D5D" w:rsidRPr="0007074F" w14:paraId="185AF7D3" w14:textId="77777777" w:rsidTr="00B349CD">
        <w:trPr>
          <w:trHeight w:hRule="exact" w:val="255"/>
          <w:jc w:val="center"/>
        </w:trPr>
        <w:tc>
          <w:tcPr>
            <w:tcW w:w="6786" w:type="dxa"/>
            <w:tcBorders>
              <w:top w:val="nil"/>
              <w:left w:val="nil"/>
              <w:bottom w:val="nil"/>
              <w:right w:val="nil"/>
            </w:tcBorders>
            <w:shd w:val="clear" w:color="auto" w:fill="auto"/>
            <w:noWrap/>
            <w:hideMark/>
          </w:tcPr>
          <w:p w14:paraId="1CA455F7"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JП „Србијагас”</w:t>
            </w:r>
          </w:p>
        </w:tc>
        <w:tc>
          <w:tcPr>
            <w:tcW w:w="1110" w:type="dxa"/>
            <w:tcBorders>
              <w:top w:val="nil"/>
              <w:left w:val="nil"/>
              <w:bottom w:val="nil"/>
              <w:right w:val="nil"/>
            </w:tcBorders>
            <w:shd w:val="clear" w:color="auto" w:fill="auto"/>
            <w:noWrap/>
          </w:tcPr>
          <w:p w14:paraId="67829A01"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560,4</w:t>
            </w:r>
          </w:p>
        </w:tc>
      </w:tr>
      <w:tr w:rsidR="00434D5D" w:rsidRPr="0007074F" w14:paraId="656415D2" w14:textId="77777777" w:rsidTr="00B349CD">
        <w:trPr>
          <w:trHeight w:hRule="exact" w:val="255"/>
          <w:jc w:val="center"/>
        </w:trPr>
        <w:tc>
          <w:tcPr>
            <w:tcW w:w="6786" w:type="dxa"/>
            <w:tcBorders>
              <w:top w:val="nil"/>
              <w:left w:val="nil"/>
              <w:bottom w:val="nil"/>
              <w:right w:val="nil"/>
            </w:tcBorders>
            <w:shd w:val="clear" w:color="auto" w:fill="auto"/>
            <w:noWrap/>
            <w:hideMark/>
          </w:tcPr>
          <w:p w14:paraId="74E21CDC"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Електропривреда Србије АД</w:t>
            </w:r>
          </w:p>
        </w:tc>
        <w:tc>
          <w:tcPr>
            <w:tcW w:w="1110" w:type="dxa"/>
            <w:tcBorders>
              <w:top w:val="nil"/>
              <w:left w:val="nil"/>
              <w:bottom w:val="nil"/>
              <w:right w:val="nil"/>
            </w:tcBorders>
            <w:shd w:val="clear" w:color="auto" w:fill="auto"/>
            <w:noWrap/>
          </w:tcPr>
          <w:p w14:paraId="217A2181"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376,8</w:t>
            </w:r>
          </w:p>
        </w:tc>
      </w:tr>
      <w:tr w:rsidR="00434D5D" w:rsidRPr="0007074F" w14:paraId="45973AE8" w14:textId="77777777" w:rsidTr="00B349CD">
        <w:trPr>
          <w:trHeight w:hRule="exact" w:val="255"/>
          <w:jc w:val="center"/>
        </w:trPr>
        <w:tc>
          <w:tcPr>
            <w:tcW w:w="6786" w:type="dxa"/>
            <w:tcBorders>
              <w:top w:val="nil"/>
              <w:left w:val="nil"/>
              <w:bottom w:val="nil"/>
              <w:right w:val="nil"/>
            </w:tcBorders>
            <w:shd w:val="clear" w:color="auto" w:fill="auto"/>
            <w:noWrap/>
            <w:hideMark/>
          </w:tcPr>
          <w:p w14:paraId="4BA60FD3"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ЈП Путеви Србије</w:t>
            </w:r>
          </w:p>
        </w:tc>
        <w:tc>
          <w:tcPr>
            <w:tcW w:w="1110" w:type="dxa"/>
            <w:tcBorders>
              <w:top w:val="nil"/>
              <w:left w:val="nil"/>
              <w:bottom w:val="nil"/>
              <w:right w:val="nil"/>
            </w:tcBorders>
            <w:shd w:val="clear" w:color="auto" w:fill="auto"/>
            <w:noWrap/>
          </w:tcPr>
          <w:p w14:paraId="3CB9F921"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211,1</w:t>
            </w:r>
          </w:p>
        </w:tc>
      </w:tr>
      <w:tr w:rsidR="00434D5D" w:rsidRPr="0007074F" w14:paraId="36F65FB9" w14:textId="77777777" w:rsidTr="00B349CD">
        <w:trPr>
          <w:trHeight w:hRule="exact" w:val="255"/>
          <w:jc w:val="center"/>
        </w:trPr>
        <w:tc>
          <w:tcPr>
            <w:tcW w:w="6786" w:type="dxa"/>
            <w:tcBorders>
              <w:top w:val="nil"/>
              <w:left w:val="nil"/>
              <w:bottom w:val="nil"/>
              <w:right w:val="nil"/>
            </w:tcBorders>
            <w:shd w:val="clear" w:color="auto" w:fill="auto"/>
            <w:noWrap/>
            <w:hideMark/>
          </w:tcPr>
          <w:p w14:paraId="55BBC0E7"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Јединице локалне власти (градови и општине)</w:t>
            </w:r>
          </w:p>
        </w:tc>
        <w:tc>
          <w:tcPr>
            <w:tcW w:w="1110" w:type="dxa"/>
            <w:tcBorders>
              <w:top w:val="nil"/>
              <w:left w:val="nil"/>
              <w:bottom w:val="nil"/>
              <w:right w:val="nil"/>
            </w:tcBorders>
            <w:shd w:val="clear" w:color="auto" w:fill="auto"/>
            <w:noWrap/>
          </w:tcPr>
          <w:p w14:paraId="1EE449F8"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161,0</w:t>
            </w:r>
          </w:p>
        </w:tc>
      </w:tr>
      <w:tr w:rsidR="00434D5D" w:rsidRPr="0007074F" w14:paraId="7F0150BE" w14:textId="77777777" w:rsidTr="00B349CD">
        <w:trPr>
          <w:trHeight w:hRule="exact" w:val="255"/>
          <w:jc w:val="center"/>
        </w:trPr>
        <w:tc>
          <w:tcPr>
            <w:tcW w:w="6786" w:type="dxa"/>
            <w:tcBorders>
              <w:top w:val="nil"/>
              <w:left w:val="nil"/>
              <w:bottom w:val="nil"/>
              <w:right w:val="nil"/>
            </w:tcBorders>
            <w:shd w:val="clear" w:color="auto" w:fill="auto"/>
            <w:noWrap/>
            <w:hideMark/>
          </w:tcPr>
          <w:p w14:paraId="24C311A1"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Србија Воз АД</w:t>
            </w:r>
          </w:p>
        </w:tc>
        <w:tc>
          <w:tcPr>
            <w:tcW w:w="1110" w:type="dxa"/>
            <w:tcBorders>
              <w:top w:val="nil"/>
              <w:left w:val="nil"/>
              <w:bottom w:val="nil"/>
              <w:right w:val="nil"/>
            </w:tcBorders>
            <w:shd w:val="clear" w:color="auto" w:fill="auto"/>
            <w:noWrap/>
          </w:tcPr>
          <w:p w14:paraId="6A8803A9"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100,8</w:t>
            </w:r>
          </w:p>
        </w:tc>
      </w:tr>
      <w:tr w:rsidR="00434D5D" w:rsidRPr="0007074F" w14:paraId="02C1A295" w14:textId="77777777" w:rsidTr="00B349CD">
        <w:trPr>
          <w:trHeight w:hRule="exact" w:val="255"/>
          <w:jc w:val="center"/>
        </w:trPr>
        <w:tc>
          <w:tcPr>
            <w:tcW w:w="6786" w:type="dxa"/>
            <w:tcBorders>
              <w:top w:val="nil"/>
              <w:left w:val="nil"/>
              <w:bottom w:val="nil"/>
              <w:right w:val="nil"/>
            </w:tcBorders>
            <w:shd w:val="clear" w:color="auto" w:fill="auto"/>
            <w:noWrap/>
            <w:hideMark/>
          </w:tcPr>
          <w:p w14:paraId="70838DDE"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Железнице Србије АД</w:t>
            </w:r>
          </w:p>
        </w:tc>
        <w:tc>
          <w:tcPr>
            <w:tcW w:w="1110" w:type="dxa"/>
            <w:tcBorders>
              <w:top w:val="nil"/>
              <w:left w:val="nil"/>
              <w:bottom w:val="nil"/>
              <w:right w:val="nil"/>
            </w:tcBorders>
            <w:shd w:val="clear" w:color="auto" w:fill="auto"/>
            <w:noWrap/>
          </w:tcPr>
          <w:p w14:paraId="01E67FCE"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76,7</w:t>
            </w:r>
          </w:p>
        </w:tc>
      </w:tr>
      <w:tr w:rsidR="00434D5D" w:rsidRPr="0007074F" w14:paraId="35783DC3" w14:textId="77777777" w:rsidTr="00B349CD">
        <w:trPr>
          <w:trHeight w:hRule="exact" w:val="255"/>
          <w:jc w:val="center"/>
        </w:trPr>
        <w:tc>
          <w:tcPr>
            <w:tcW w:w="6786" w:type="dxa"/>
            <w:tcBorders>
              <w:top w:val="nil"/>
              <w:left w:val="nil"/>
              <w:bottom w:val="nil"/>
              <w:right w:val="nil"/>
            </w:tcBorders>
            <w:shd w:val="clear" w:color="auto" w:fill="auto"/>
            <w:noWrap/>
            <w:hideMark/>
          </w:tcPr>
          <w:p w14:paraId="5986F011"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Инфраструктура Железнице Србије АД</w:t>
            </w:r>
          </w:p>
        </w:tc>
        <w:tc>
          <w:tcPr>
            <w:tcW w:w="1110" w:type="dxa"/>
            <w:tcBorders>
              <w:top w:val="nil"/>
              <w:left w:val="nil"/>
              <w:bottom w:val="nil"/>
              <w:right w:val="nil"/>
            </w:tcBorders>
            <w:shd w:val="clear" w:color="auto" w:fill="auto"/>
            <w:noWrap/>
          </w:tcPr>
          <w:p w14:paraId="28B4A705"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51,0</w:t>
            </w:r>
          </w:p>
        </w:tc>
      </w:tr>
      <w:tr w:rsidR="00434D5D" w:rsidRPr="0007074F" w14:paraId="1E35003B" w14:textId="77777777" w:rsidTr="00B349CD">
        <w:trPr>
          <w:trHeight w:hRule="exact" w:val="255"/>
          <w:jc w:val="center"/>
        </w:trPr>
        <w:tc>
          <w:tcPr>
            <w:tcW w:w="6786" w:type="dxa"/>
            <w:tcBorders>
              <w:top w:val="nil"/>
              <w:left w:val="nil"/>
              <w:bottom w:val="nil"/>
              <w:right w:val="nil"/>
            </w:tcBorders>
            <w:shd w:val="clear" w:color="auto" w:fill="auto"/>
            <w:noWrap/>
            <w:hideMark/>
          </w:tcPr>
          <w:p w14:paraId="60E63E99"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ЈП Eлектромрежа Србије</w:t>
            </w:r>
          </w:p>
        </w:tc>
        <w:tc>
          <w:tcPr>
            <w:tcW w:w="1110" w:type="dxa"/>
            <w:tcBorders>
              <w:top w:val="nil"/>
              <w:left w:val="nil"/>
              <w:bottom w:val="nil"/>
              <w:right w:val="nil"/>
            </w:tcBorders>
            <w:shd w:val="clear" w:color="auto" w:fill="auto"/>
            <w:noWrap/>
          </w:tcPr>
          <w:p w14:paraId="7BFC6ED6"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34,9</w:t>
            </w:r>
          </w:p>
        </w:tc>
      </w:tr>
      <w:tr w:rsidR="00434D5D" w:rsidRPr="0007074F" w14:paraId="6C2D2E97" w14:textId="77777777" w:rsidTr="00B349CD">
        <w:trPr>
          <w:trHeight w:hRule="exact" w:val="255"/>
          <w:jc w:val="center"/>
        </w:trPr>
        <w:tc>
          <w:tcPr>
            <w:tcW w:w="6786" w:type="dxa"/>
            <w:tcBorders>
              <w:top w:val="nil"/>
              <w:left w:val="nil"/>
              <w:bottom w:val="nil"/>
              <w:right w:val="nil"/>
            </w:tcBorders>
            <w:shd w:val="clear" w:color="auto" w:fill="auto"/>
            <w:noWrap/>
            <w:hideMark/>
          </w:tcPr>
          <w:p w14:paraId="72568DE7"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Србија Карго АД</w:t>
            </w:r>
          </w:p>
        </w:tc>
        <w:tc>
          <w:tcPr>
            <w:tcW w:w="1110" w:type="dxa"/>
            <w:tcBorders>
              <w:top w:val="nil"/>
              <w:left w:val="nil"/>
              <w:bottom w:val="nil"/>
              <w:right w:val="nil"/>
            </w:tcBorders>
            <w:shd w:val="clear" w:color="auto" w:fill="auto"/>
            <w:noWrap/>
          </w:tcPr>
          <w:p w14:paraId="7D8ED924"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26,6</w:t>
            </w:r>
          </w:p>
        </w:tc>
      </w:tr>
      <w:tr w:rsidR="00434D5D" w:rsidRPr="0007074F" w14:paraId="1DB80923" w14:textId="77777777" w:rsidTr="00B349CD">
        <w:trPr>
          <w:trHeight w:hRule="exact" w:val="255"/>
          <w:jc w:val="center"/>
        </w:trPr>
        <w:tc>
          <w:tcPr>
            <w:tcW w:w="6786" w:type="dxa"/>
            <w:tcBorders>
              <w:top w:val="nil"/>
              <w:left w:val="nil"/>
              <w:bottom w:val="nil"/>
              <w:right w:val="nil"/>
            </w:tcBorders>
            <w:shd w:val="clear" w:color="auto" w:fill="auto"/>
            <w:noWrap/>
            <w:hideMark/>
          </w:tcPr>
          <w:p w14:paraId="1C614215"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ЈП Скијалишта Србије</w:t>
            </w:r>
          </w:p>
        </w:tc>
        <w:tc>
          <w:tcPr>
            <w:tcW w:w="1110" w:type="dxa"/>
            <w:tcBorders>
              <w:top w:val="nil"/>
              <w:left w:val="nil"/>
              <w:bottom w:val="nil"/>
              <w:right w:val="nil"/>
            </w:tcBorders>
            <w:shd w:val="clear" w:color="auto" w:fill="auto"/>
            <w:noWrap/>
          </w:tcPr>
          <w:p w14:paraId="5A30D068"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21,8</w:t>
            </w:r>
          </w:p>
        </w:tc>
      </w:tr>
      <w:tr w:rsidR="00434D5D" w:rsidRPr="0007074F" w14:paraId="71623B74" w14:textId="77777777" w:rsidTr="00B349CD">
        <w:trPr>
          <w:trHeight w:hRule="exact" w:val="255"/>
          <w:jc w:val="center"/>
        </w:trPr>
        <w:tc>
          <w:tcPr>
            <w:tcW w:w="6786" w:type="dxa"/>
            <w:tcBorders>
              <w:top w:val="nil"/>
              <w:left w:val="nil"/>
              <w:bottom w:val="nil"/>
              <w:right w:val="nil"/>
            </w:tcBorders>
            <w:shd w:val="clear" w:color="auto" w:fill="auto"/>
            <w:noWrap/>
            <w:hideMark/>
          </w:tcPr>
          <w:p w14:paraId="38435803"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 xml:space="preserve">ЈП Југоимпорт - СДПР </w:t>
            </w:r>
          </w:p>
        </w:tc>
        <w:tc>
          <w:tcPr>
            <w:tcW w:w="1110" w:type="dxa"/>
            <w:tcBorders>
              <w:top w:val="nil"/>
              <w:left w:val="nil"/>
              <w:bottom w:val="nil"/>
              <w:right w:val="nil"/>
            </w:tcBorders>
            <w:shd w:val="clear" w:color="auto" w:fill="auto"/>
            <w:noWrap/>
          </w:tcPr>
          <w:p w14:paraId="0A942BD5"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9,3</w:t>
            </w:r>
          </w:p>
        </w:tc>
      </w:tr>
      <w:tr w:rsidR="00434D5D" w:rsidRPr="0007074F" w14:paraId="23684222" w14:textId="77777777" w:rsidTr="00B349CD">
        <w:trPr>
          <w:trHeight w:hRule="exact" w:val="255"/>
          <w:jc w:val="center"/>
        </w:trPr>
        <w:tc>
          <w:tcPr>
            <w:tcW w:w="6786" w:type="dxa"/>
            <w:tcBorders>
              <w:top w:val="nil"/>
              <w:left w:val="nil"/>
              <w:bottom w:val="nil"/>
              <w:right w:val="nil"/>
            </w:tcBorders>
            <w:shd w:val="clear" w:color="auto" w:fill="auto"/>
            <w:noWrap/>
            <w:hideMark/>
          </w:tcPr>
          <w:p w14:paraId="608FD05E"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ЈП Емисиона техника и везе</w:t>
            </w:r>
          </w:p>
        </w:tc>
        <w:tc>
          <w:tcPr>
            <w:tcW w:w="1110" w:type="dxa"/>
            <w:tcBorders>
              <w:top w:val="nil"/>
              <w:left w:val="nil"/>
              <w:bottom w:val="nil"/>
              <w:right w:val="nil"/>
            </w:tcBorders>
            <w:shd w:val="clear" w:color="auto" w:fill="auto"/>
            <w:noWrap/>
          </w:tcPr>
          <w:p w14:paraId="0839907A"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3,3</w:t>
            </w:r>
          </w:p>
        </w:tc>
      </w:tr>
      <w:tr w:rsidR="00434D5D" w:rsidRPr="0007074F" w14:paraId="621DAC6D" w14:textId="77777777" w:rsidTr="00B349CD">
        <w:trPr>
          <w:trHeight w:hRule="exact" w:val="255"/>
          <w:jc w:val="center"/>
        </w:trPr>
        <w:tc>
          <w:tcPr>
            <w:tcW w:w="6786" w:type="dxa"/>
            <w:tcBorders>
              <w:top w:val="nil"/>
              <w:left w:val="nil"/>
              <w:bottom w:val="nil"/>
              <w:right w:val="nil"/>
            </w:tcBorders>
            <w:shd w:val="clear" w:color="auto" w:fill="auto"/>
            <w:noWrap/>
            <w:hideMark/>
          </w:tcPr>
          <w:p w14:paraId="71BDD376"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Електродистрибуција Србије д.о.о.</w:t>
            </w:r>
          </w:p>
        </w:tc>
        <w:tc>
          <w:tcPr>
            <w:tcW w:w="1110" w:type="dxa"/>
            <w:tcBorders>
              <w:top w:val="nil"/>
              <w:left w:val="nil"/>
              <w:bottom w:val="nil"/>
              <w:right w:val="nil"/>
            </w:tcBorders>
            <w:shd w:val="clear" w:color="auto" w:fill="auto"/>
            <w:noWrap/>
          </w:tcPr>
          <w:p w14:paraId="1A665027"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0,7</w:t>
            </w:r>
          </w:p>
        </w:tc>
      </w:tr>
      <w:tr w:rsidR="00434D5D" w:rsidRPr="0007074F" w14:paraId="4A1F5B3E" w14:textId="77777777" w:rsidTr="00B349CD">
        <w:trPr>
          <w:trHeight w:hRule="exact" w:val="255"/>
          <w:jc w:val="center"/>
        </w:trPr>
        <w:tc>
          <w:tcPr>
            <w:tcW w:w="6786" w:type="dxa"/>
            <w:tcBorders>
              <w:top w:val="nil"/>
              <w:left w:val="nil"/>
              <w:right w:val="nil"/>
            </w:tcBorders>
            <w:shd w:val="clear" w:color="auto" w:fill="auto"/>
            <w:noWrap/>
          </w:tcPr>
          <w:p w14:paraId="276CBDA5"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Јат Техника д.о.о.</w:t>
            </w:r>
          </w:p>
        </w:tc>
        <w:tc>
          <w:tcPr>
            <w:tcW w:w="1110" w:type="dxa"/>
            <w:tcBorders>
              <w:top w:val="nil"/>
              <w:left w:val="nil"/>
              <w:right w:val="nil"/>
            </w:tcBorders>
            <w:shd w:val="clear" w:color="auto" w:fill="auto"/>
            <w:noWrap/>
          </w:tcPr>
          <w:p w14:paraId="11B439F0"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0,2</w:t>
            </w:r>
          </w:p>
        </w:tc>
      </w:tr>
      <w:tr w:rsidR="00434D5D" w:rsidRPr="0007074F" w14:paraId="5A0E6DF5" w14:textId="77777777" w:rsidTr="00B349CD">
        <w:trPr>
          <w:trHeight w:hRule="exact" w:val="255"/>
          <w:jc w:val="center"/>
        </w:trPr>
        <w:tc>
          <w:tcPr>
            <w:tcW w:w="6786" w:type="dxa"/>
            <w:tcBorders>
              <w:top w:val="nil"/>
              <w:left w:val="nil"/>
              <w:bottom w:val="single" w:sz="8" w:space="0" w:color="002060"/>
              <w:right w:val="nil"/>
            </w:tcBorders>
            <w:shd w:val="clear" w:color="auto" w:fill="auto"/>
            <w:noWrap/>
          </w:tcPr>
          <w:p w14:paraId="2FFC3610" w14:textId="77777777" w:rsidR="00434D5D" w:rsidRPr="0007074F" w:rsidRDefault="00434D5D" w:rsidP="00B349CD">
            <w:pPr>
              <w:spacing w:after="40" w:line="240" w:lineRule="auto"/>
              <w:jc w:val="lef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Агенција за контролу летења Србије и Црне Горе</w:t>
            </w:r>
          </w:p>
        </w:tc>
        <w:tc>
          <w:tcPr>
            <w:tcW w:w="1110" w:type="dxa"/>
            <w:tcBorders>
              <w:top w:val="nil"/>
              <w:left w:val="nil"/>
              <w:bottom w:val="single" w:sz="8" w:space="0" w:color="002060"/>
              <w:right w:val="nil"/>
            </w:tcBorders>
            <w:shd w:val="clear" w:color="auto" w:fill="auto"/>
            <w:noWrap/>
          </w:tcPr>
          <w:p w14:paraId="79B2C3CC"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0,0</w:t>
            </w:r>
          </w:p>
        </w:tc>
      </w:tr>
      <w:tr w:rsidR="00434D5D" w:rsidRPr="0007074F" w14:paraId="226DA0A0" w14:textId="77777777" w:rsidTr="00B349CD">
        <w:trPr>
          <w:trHeight w:hRule="exact" w:val="255"/>
          <w:jc w:val="center"/>
        </w:trPr>
        <w:tc>
          <w:tcPr>
            <w:tcW w:w="6786" w:type="dxa"/>
            <w:tcBorders>
              <w:top w:val="single" w:sz="8" w:space="0" w:color="002060"/>
              <w:left w:val="nil"/>
              <w:bottom w:val="single" w:sz="8" w:space="0" w:color="002060"/>
              <w:right w:val="nil"/>
            </w:tcBorders>
            <w:shd w:val="clear" w:color="auto" w:fill="auto"/>
            <w:noWrap/>
            <w:vAlign w:val="center"/>
            <w:hideMark/>
          </w:tcPr>
          <w:p w14:paraId="769D2BCA" w14:textId="77777777" w:rsidR="00434D5D" w:rsidRPr="0007074F" w:rsidRDefault="00434D5D" w:rsidP="00B349CD">
            <w:pPr>
              <w:spacing w:after="120" w:line="276" w:lineRule="auto"/>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УКУПНО</w:t>
            </w:r>
          </w:p>
        </w:tc>
        <w:tc>
          <w:tcPr>
            <w:tcW w:w="1110" w:type="dxa"/>
            <w:tcBorders>
              <w:top w:val="single" w:sz="8" w:space="0" w:color="002060"/>
              <w:left w:val="nil"/>
              <w:bottom w:val="single" w:sz="8" w:space="0" w:color="002060"/>
              <w:right w:val="nil"/>
            </w:tcBorders>
            <w:shd w:val="clear" w:color="auto" w:fill="auto"/>
            <w:noWrap/>
            <w:vAlign w:val="center"/>
            <w:hideMark/>
          </w:tcPr>
          <w:p w14:paraId="06A5D1C8" w14:textId="77777777" w:rsidR="00434D5D" w:rsidRPr="0007074F" w:rsidRDefault="00434D5D" w:rsidP="00B349CD">
            <w:pPr>
              <w:spacing w:after="120" w:line="276" w:lineRule="auto"/>
              <w:jc w:val="righ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1.634,7</w:t>
            </w:r>
          </w:p>
        </w:tc>
      </w:tr>
    </w:tbl>
    <w:p w14:paraId="62B7F217" w14:textId="77777777" w:rsidR="00434D5D" w:rsidRPr="0007074F" w:rsidRDefault="00434D5D" w:rsidP="00B349CD">
      <w:pPr>
        <w:spacing w:after="120" w:line="276" w:lineRule="auto"/>
        <w:rPr>
          <w:rFonts w:eastAsia="MS PGothic" w:cstheme="minorHAnsi"/>
          <w:sz w:val="16"/>
          <w:szCs w:val="16"/>
          <w:lang w:val="sr-Cyrl-CS" w:eastAsia="ja-JP"/>
        </w:rPr>
      </w:pPr>
      <w:r w:rsidRPr="0007074F">
        <w:rPr>
          <w:rFonts w:eastAsia="MS PGothic" w:cstheme="minorHAnsi"/>
          <w:sz w:val="16"/>
          <w:szCs w:val="16"/>
          <w:lang w:val="sr-Cyrl-CS" w:eastAsia="ja-JP"/>
        </w:rPr>
        <w:t xml:space="preserve">                    Извор: Министарство финансија, Управа за јавни дуг</w:t>
      </w:r>
    </w:p>
    <w:p w14:paraId="45CF3FA3" w14:textId="77777777" w:rsidR="00434D5D" w:rsidRPr="0007074F" w:rsidRDefault="00434D5D" w:rsidP="00B349CD">
      <w:pPr>
        <w:rPr>
          <w:rFonts w:eastAsia="MS PGothic" w:cstheme="minorHAnsi"/>
          <w:sz w:val="16"/>
          <w:szCs w:val="16"/>
          <w:lang w:val="sr-Cyrl-CS" w:eastAsia="ja-JP"/>
        </w:rPr>
        <w:sectPr w:rsidR="00434D5D" w:rsidRPr="0007074F" w:rsidSect="00B349CD">
          <w:type w:val="continuous"/>
          <w:pgSz w:w="12240" w:h="15840"/>
          <w:pgMar w:top="1440" w:right="1440" w:bottom="1440" w:left="1440" w:header="720" w:footer="720" w:gutter="0"/>
          <w:cols w:space="720"/>
          <w:docGrid w:linePitch="360"/>
        </w:sectPr>
      </w:pPr>
    </w:p>
    <w:p w14:paraId="3AC91D8B" w14:textId="77777777" w:rsidR="00434D5D" w:rsidRPr="0007074F" w:rsidRDefault="00434D5D">
      <w:pPr>
        <w:jc w:val="left"/>
        <w:rPr>
          <w:rFonts w:eastAsia="MS PGothic" w:cstheme="minorHAnsi"/>
          <w:szCs w:val="20"/>
          <w:lang w:val="sr-Cyrl-CS" w:eastAsia="ja-JP"/>
        </w:rPr>
      </w:pPr>
      <w:r w:rsidRPr="0007074F">
        <w:rPr>
          <w:rFonts w:eastAsia="MS PGothic" w:cstheme="minorHAnsi"/>
          <w:szCs w:val="20"/>
          <w:lang w:val="sr-Cyrl-CS" w:eastAsia="ja-JP"/>
        </w:rPr>
        <w:br w:type="page"/>
      </w:r>
    </w:p>
    <w:p w14:paraId="507F225B"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lastRenderedPageBreak/>
        <w:t>Укупна отплата главнице по основу гарантованих кредита у 2022. години износила је 21,3 млрд динара, од чега 17,7 млрд динара утиче на дефицит. Рачуноводствена методологија, до 2014. године, није у расходе укључивала отплате по основу гаранција</w:t>
      </w:r>
      <w:r w:rsidRPr="0007074F">
        <w:rPr>
          <w:rFonts w:eastAsia="MS PGothic" w:cstheme="minorHAnsi"/>
          <w:szCs w:val="20"/>
          <w:vertAlign w:val="superscript"/>
          <w:lang w:val="sr-Cyrl-CS" w:eastAsia="ja-JP"/>
        </w:rPr>
        <w:footnoteReference w:id="8"/>
      </w:r>
      <w:r w:rsidRPr="0007074F">
        <w:rPr>
          <w:rFonts w:eastAsia="MS PGothic" w:cstheme="minorHAnsi"/>
          <w:szCs w:val="20"/>
          <w:lang w:val="sr-Cyrl-CS" w:eastAsia="ja-JP"/>
        </w:rPr>
        <w:t>. Од 2014. године део ових расхода је укључен у расходе буџета</w:t>
      </w:r>
      <w:r w:rsidRPr="0007074F">
        <w:rPr>
          <w:rFonts w:eastAsia="MS PGothic" w:cstheme="minorHAnsi"/>
          <w:szCs w:val="20"/>
          <w:vertAlign w:val="superscript"/>
          <w:lang w:val="sr-Cyrl-CS" w:eastAsia="ja-JP"/>
        </w:rPr>
        <w:footnoteReference w:id="9"/>
      </w:r>
      <w:r w:rsidRPr="0007074F">
        <w:rPr>
          <w:rFonts w:eastAsia="MS PGothic" w:cstheme="minorHAnsi"/>
          <w:szCs w:val="20"/>
          <w:lang w:val="sr-Cyrl-CS" w:eastAsia="ja-JP"/>
        </w:rPr>
        <w:t>.</w:t>
      </w:r>
    </w:p>
    <w:p w14:paraId="3855D420" w14:textId="77777777" w:rsidR="00434D5D" w:rsidRPr="0007074F" w:rsidRDefault="00434D5D" w:rsidP="00B349CD">
      <w:pPr>
        <w:rPr>
          <w:lang w:val="sr-Cyrl-CS" w:eastAsia="ja-JP"/>
        </w:rPr>
      </w:pPr>
    </w:p>
    <w:p w14:paraId="4FB7AC03" w14:textId="77777777" w:rsidR="00434D5D" w:rsidRPr="0007074F" w:rsidRDefault="00434D5D" w:rsidP="00B349CD">
      <w:pPr>
        <w:spacing w:after="0" w:line="276" w:lineRule="auto"/>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br w:type="column"/>
      </w:r>
      <w:r w:rsidRPr="0007074F">
        <w:rPr>
          <w:rFonts w:eastAsia="MS PGothic" w:cstheme="minorHAnsi"/>
          <w:b/>
          <w:color w:val="002060"/>
          <w:szCs w:val="20"/>
          <w:lang w:val="sr-Cyrl-CS" w:eastAsia="ja-JP"/>
        </w:rPr>
        <w:t>Отплата дуга по основу активираних гаранција, млрд динара</w:t>
      </w:r>
    </w:p>
    <w:p w14:paraId="544EC781" w14:textId="77777777" w:rsidR="00434D5D" w:rsidRPr="0007074F" w:rsidRDefault="00434D5D" w:rsidP="00B349CD">
      <w:pPr>
        <w:spacing w:after="0" w:line="276" w:lineRule="auto"/>
        <w:jc w:val="center"/>
        <w:rPr>
          <w:lang w:val="sr-Cyrl-CS"/>
        </w:rPr>
      </w:pPr>
      <w:r w:rsidRPr="0007074F">
        <w:rPr>
          <w:rFonts w:eastAsia="MS PGothic" w:cstheme="minorHAnsi"/>
          <w:b/>
          <w:noProof/>
          <w:color w:val="002060"/>
          <w:szCs w:val="20"/>
        </w:rPr>
        <w:drawing>
          <wp:inline distT="0" distB="0" distL="0" distR="0" wp14:anchorId="13516340" wp14:editId="34594DF1">
            <wp:extent cx="3220720" cy="2690923"/>
            <wp:effectExtent l="0" t="0" r="0" b="0"/>
            <wp:docPr id="82" name="Picture 82" descr="A picture containing text, screenshot, diagram,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descr="A picture containing text, screenshot, diagram, font&#10;&#10;Description automatically generated"/>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3228821" cy="2697691"/>
                    </a:xfrm>
                    <a:prstGeom prst="rect">
                      <a:avLst/>
                    </a:prstGeom>
                    <a:noFill/>
                  </pic:spPr>
                </pic:pic>
              </a:graphicData>
            </a:graphic>
          </wp:inline>
        </w:drawing>
      </w:r>
    </w:p>
    <w:p w14:paraId="6D488696" w14:textId="77777777" w:rsidR="00434D5D" w:rsidRPr="0007074F" w:rsidRDefault="00434D5D" w:rsidP="00B349CD">
      <w:pPr>
        <w:spacing w:after="0"/>
        <w:rPr>
          <w:lang w:val="sr-Cyrl-CS" w:eastAsia="ja-JP"/>
        </w:rPr>
      </w:pPr>
    </w:p>
    <w:p w14:paraId="126029D2" w14:textId="77777777" w:rsidR="00434D5D" w:rsidRPr="0007074F" w:rsidRDefault="00434D5D" w:rsidP="00B349CD">
      <w:pPr>
        <w:spacing w:after="0"/>
        <w:jc w:val="center"/>
        <w:rPr>
          <w:rFonts w:eastAsia="MS PGothic" w:cstheme="minorHAnsi"/>
          <w:b/>
          <w:bCs/>
          <w:color w:val="002060"/>
          <w:szCs w:val="20"/>
          <w:lang w:val="sr-Cyrl-CS" w:eastAsia="ja-JP"/>
        </w:rPr>
        <w:sectPr w:rsidR="00434D5D" w:rsidRPr="0007074F" w:rsidSect="00B349CD">
          <w:type w:val="continuous"/>
          <w:pgSz w:w="12240" w:h="15840"/>
          <w:pgMar w:top="1440" w:right="1440" w:bottom="1440" w:left="1440" w:header="720" w:footer="720" w:gutter="0"/>
          <w:cols w:num="2" w:space="720"/>
          <w:docGrid w:linePitch="360"/>
          <w15:footnoteColumns w:val="1"/>
        </w:sectPr>
      </w:pPr>
    </w:p>
    <w:p w14:paraId="0E31248D" w14:textId="77777777" w:rsidR="00434D5D" w:rsidRPr="0007074F" w:rsidRDefault="00434D5D" w:rsidP="00B349CD">
      <w:pPr>
        <w:jc w:val="center"/>
        <w:rPr>
          <w:rFonts w:eastAsia="MS PGothic" w:cstheme="minorHAnsi"/>
          <w:b/>
          <w:bCs/>
          <w:color w:val="002060"/>
          <w:szCs w:val="20"/>
          <w:lang w:val="sr-Cyrl-CS" w:eastAsia="ja-JP"/>
        </w:rPr>
      </w:pPr>
      <w:r w:rsidRPr="0007074F">
        <w:rPr>
          <w:rFonts w:eastAsia="MS PGothic" w:cstheme="minorHAnsi"/>
          <w:b/>
          <w:bCs/>
          <w:color w:val="002060"/>
          <w:szCs w:val="20"/>
          <w:lang w:val="sr-Cyrl-CS" w:eastAsia="ja-JP"/>
        </w:rPr>
        <w:t>Табела 13. Укупно плаћене обавезе по основу гаранција по корисницима, млрд динара</w:t>
      </w:r>
    </w:p>
    <w:tbl>
      <w:tblPr>
        <w:tblW w:w="9259" w:type="dxa"/>
        <w:tblLook w:val="04A0" w:firstRow="1" w:lastRow="0" w:firstColumn="1" w:lastColumn="0" w:noHBand="0" w:noVBand="1"/>
      </w:tblPr>
      <w:tblGrid>
        <w:gridCol w:w="4260"/>
        <w:gridCol w:w="987"/>
        <w:gridCol w:w="783"/>
        <w:gridCol w:w="780"/>
        <w:gridCol w:w="987"/>
        <w:gridCol w:w="783"/>
        <w:gridCol w:w="780"/>
      </w:tblGrid>
      <w:tr w:rsidR="00434D5D" w:rsidRPr="0007074F" w14:paraId="247FF421" w14:textId="77777777" w:rsidTr="00B349CD">
        <w:trPr>
          <w:trHeight w:val="60"/>
        </w:trPr>
        <w:tc>
          <w:tcPr>
            <w:tcW w:w="4263" w:type="dxa"/>
            <w:vMerge w:val="restart"/>
            <w:tcBorders>
              <w:top w:val="single" w:sz="8" w:space="0" w:color="002060"/>
              <w:left w:val="nil"/>
              <w:bottom w:val="single" w:sz="8" w:space="0" w:color="002060"/>
              <w:right w:val="nil"/>
            </w:tcBorders>
            <w:shd w:val="clear" w:color="000000" w:fill="FFFFFF"/>
            <w:noWrap/>
            <w:vAlign w:val="center"/>
            <w:hideMark/>
          </w:tcPr>
          <w:p w14:paraId="0E53DEBC"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Корисник</w:t>
            </w:r>
          </w:p>
        </w:tc>
        <w:tc>
          <w:tcPr>
            <w:tcW w:w="2498" w:type="dxa"/>
            <w:gridSpan w:val="3"/>
            <w:tcBorders>
              <w:top w:val="single" w:sz="8" w:space="0" w:color="002060"/>
              <w:left w:val="nil"/>
              <w:bottom w:val="single" w:sz="8" w:space="0" w:color="002060"/>
              <w:right w:val="nil"/>
            </w:tcBorders>
            <w:shd w:val="clear" w:color="000000" w:fill="FFFFFF"/>
            <w:noWrap/>
            <w:vAlign w:val="center"/>
            <w:hideMark/>
          </w:tcPr>
          <w:p w14:paraId="42949DE6"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2022</w:t>
            </w:r>
          </w:p>
        </w:tc>
        <w:tc>
          <w:tcPr>
            <w:tcW w:w="2498" w:type="dxa"/>
            <w:gridSpan w:val="3"/>
            <w:tcBorders>
              <w:top w:val="single" w:sz="8" w:space="0" w:color="002060"/>
              <w:left w:val="nil"/>
              <w:bottom w:val="single" w:sz="8" w:space="0" w:color="002060"/>
              <w:right w:val="nil"/>
            </w:tcBorders>
            <w:shd w:val="clear" w:color="000000" w:fill="FFFFFF"/>
            <w:noWrap/>
            <w:vAlign w:val="center"/>
            <w:hideMark/>
          </w:tcPr>
          <w:p w14:paraId="5A7A64F5" w14:textId="08E3F22A" w:rsidR="00434D5D" w:rsidRPr="0007074F" w:rsidRDefault="00F51AA9"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2023 (до 31.</w:t>
            </w:r>
            <w:r w:rsidR="00434D5D" w:rsidRPr="0007074F">
              <w:rPr>
                <w:rFonts w:ascii="Calibri" w:eastAsia="Times New Roman" w:hAnsi="Calibri" w:cs="Calibri"/>
                <w:b/>
                <w:bCs/>
                <w:color w:val="002060"/>
                <w:sz w:val="18"/>
                <w:szCs w:val="18"/>
                <w:lang w:val="sr-Cyrl-CS"/>
              </w:rPr>
              <w:t>3.)</w:t>
            </w:r>
          </w:p>
        </w:tc>
      </w:tr>
      <w:tr w:rsidR="00434D5D" w:rsidRPr="0007074F" w14:paraId="493BE2CE" w14:textId="77777777" w:rsidTr="00B349CD">
        <w:trPr>
          <w:trHeight w:val="60"/>
        </w:trPr>
        <w:tc>
          <w:tcPr>
            <w:tcW w:w="4263" w:type="dxa"/>
            <w:vMerge/>
            <w:tcBorders>
              <w:top w:val="single" w:sz="8" w:space="0" w:color="002060"/>
              <w:left w:val="nil"/>
              <w:bottom w:val="single" w:sz="8" w:space="0" w:color="002060"/>
              <w:right w:val="nil"/>
            </w:tcBorders>
            <w:vAlign w:val="center"/>
            <w:hideMark/>
          </w:tcPr>
          <w:p w14:paraId="5BC569C2" w14:textId="77777777" w:rsidR="00434D5D" w:rsidRPr="0007074F" w:rsidRDefault="00434D5D" w:rsidP="00B349CD">
            <w:pPr>
              <w:spacing w:after="0" w:line="240" w:lineRule="auto"/>
              <w:jc w:val="left"/>
              <w:rPr>
                <w:rFonts w:ascii="Calibri" w:eastAsia="Times New Roman" w:hAnsi="Calibri" w:cs="Calibri"/>
                <w:b/>
                <w:bCs/>
                <w:color w:val="002060"/>
                <w:sz w:val="18"/>
                <w:szCs w:val="18"/>
                <w:lang w:val="sr-Cyrl-CS"/>
              </w:rPr>
            </w:pPr>
          </w:p>
        </w:tc>
        <w:tc>
          <w:tcPr>
            <w:tcW w:w="987" w:type="dxa"/>
            <w:tcBorders>
              <w:top w:val="nil"/>
              <w:left w:val="nil"/>
              <w:bottom w:val="single" w:sz="8" w:space="0" w:color="002060"/>
              <w:right w:val="nil"/>
            </w:tcBorders>
            <w:shd w:val="clear" w:color="000000" w:fill="FFFFFF"/>
            <w:noWrap/>
            <w:vAlign w:val="center"/>
            <w:hideMark/>
          </w:tcPr>
          <w:p w14:paraId="3F77142A"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 xml:space="preserve">Главница </w:t>
            </w:r>
          </w:p>
        </w:tc>
        <w:tc>
          <w:tcPr>
            <w:tcW w:w="757" w:type="dxa"/>
            <w:tcBorders>
              <w:top w:val="nil"/>
              <w:left w:val="nil"/>
              <w:bottom w:val="single" w:sz="8" w:space="0" w:color="002060"/>
              <w:right w:val="nil"/>
            </w:tcBorders>
            <w:shd w:val="clear" w:color="000000" w:fill="FFFFFF"/>
            <w:noWrap/>
            <w:vAlign w:val="center"/>
            <w:hideMark/>
          </w:tcPr>
          <w:p w14:paraId="564D5D2F"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Камата</w:t>
            </w:r>
          </w:p>
        </w:tc>
        <w:tc>
          <w:tcPr>
            <w:tcW w:w="753" w:type="dxa"/>
            <w:tcBorders>
              <w:top w:val="nil"/>
              <w:left w:val="nil"/>
              <w:bottom w:val="single" w:sz="8" w:space="0" w:color="002060"/>
              <w:right w:val="nil"/>
            </w:tcBorders>
            <w:shd w:val="clear" w:color="000000" w:fill="FFFFFF"/>
            <w:noWrap/>
            <w:vAlign w:val="center"/>
            <w:hideMark/>
          </w:tcPr>
          <w:p w14:paraId="70FCAA50"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 xml:space="preserve">Укупно </w:t>
            </w:r>
          </w:p>
        </w:tc>
        <w:tc>
          <w:tcPr>
            <w:tcW w:w="987" w:type="dxa"/>
            <w:tcBorders>
              <w:top w:val="nil"/>
              <w:left w:val="nil"/>
              <w:bottom w:val="single" w:sz="8" w:space="0" w:color="002060"/>
              <w:right w:val="nil"/>
            </w:tcBorders>
            <w:shd w:val="clear" w:color="000000" w:fill="FFFFFF"/>
            <w:noWrap/>
            <w:vAlign w:val="center"/>
            <w:hideMark/>
          </w:tcPr>
          <w:p w14:paraId="281EC1E4"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 xml:space="preserve">Главница </w:t>
            </w:r>
          </w:p>
        </w:tc>
        <w:tc>
          <w:tcPr>
            <w:tcW w:w="757" w:type="dxa"/>
            <w:tcBorders>
              <w:top w:val="nil"/>
              <w:left w:val="nil"/>
              <w:bottom w:val="single" w:sz="8" w:space="0" w:color="002060"/>
              <w:right w:val="nil"/>
            </w:tcBorders>
            <w:shd w:val="clear" w:color="000000" w:fill="FFFFFF"/>
            <w:noWrap/>
            <w:vAlign w:val="center"/>
            <w:hideMark/>
          </w:tcPr>
          <w:p w14:paraId="3F010100"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Камата</w:t>
            </w:r>
          </w:p>
        </w:tc>
        <w:tc>
          <w:tcPr>
            <w:tcW w:w="753" w:type="dxa"/>
            <w:tcBorders>
              <w:top w:val="nil"/>
              <w:left w:val="nil"/>
              <w:bottom w:val="single" w:sz="8" w:space="0" w:color="002060"/>
              <w:right w:val="nil"/>
            </w:tcBorders>
            <w:shd w:val="clear" w:color="000000" w:fill="FFFFFF"/>
            <w:noWrap/>
            <w:vAlign w:val="center"/>
            <w:hideMark/>
          </w:tcPr>
          <w:p w14:paraId="2490272E"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 xml:space="preserve">Укупно </w:t>
            </w:r>
          </w:p>
        </w:tc>
      </w:tr>
      <w:tr w:rsidR="00434D5D" w:rsidRPr="0007074F" w14:paraId="3E23D472" w14:textId="77777777" w:rsidTr="00B349CD">
        <w:trPr>
          <w:trHeight w:val="291"/>
        </w:trPr>
        <w:tc>
          <w:tcPr>
            <w:tcW w:w="4263" w:type="dxa"/>
            <w:tcBorders>
              <w:top w:val="nil"/>
              <w:left w:val="nil"/>
              <w:bottom w:val="nil"/>
              <w:right w:val="nil"/>
            </w:tcBorders>
            <w:shd w:val="clear" w:color="000000" w:fill="FFFFFF"/>
            <w:noWrap/>
            <w:vAlign w:val="center"/>
            <w:hideMark/>
          </w:tcPr>
          <w:p w14:paraId="1978E389" w14:textId="77777777" w:rsidR="00434D5D" w:rsidRPr="0007074F" w:rsidRDefault="00434D5D" w:rsidP="00B349CD">
            <w:pPr>
              <w:spacing w:after="0" w:line="240" w:lineRule="auto"/>
              <w:jc w:val="lef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ЈП „Србијагас”</w:t>
            </w:r>
          </w:p>
        </w:tc>
        <w:tc>
          <w:tcPr>
            <w:tcW w:w="987" w:type="dxa"/>
            <w:tcBorders>
              <w:top w:val="nil"/>
              <w:left w:val="nil"/>
              <w:bottom w:val="nil"/>
              <w:right w:val="nil"/>
            </w:tcBorders>
            <w:shd w:val="clear" w:color="000000" w:fill="FFFFFF"/>
            <w:noWrap/>
            <w:vAlign w:val="center"/>
            <w:hideMark/>
          </w:tcPr>
          <w:p w14:paraId="4DBDCB6C"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7,5</w:t>
            </w:r>
          </w:p>
        </w:tc>
        <w:tc>
          <w:tcPr>
            <w:tcW w:w="757" w:type="dxa"/>
            <w:tcBorders>
              <w:top w:val="nil"/>
              <w:left w:val="nil"/>
              <w:bottom w:val="nil"/>
              <w:right w:val="nil"/>
            </w:tcBorders>
            <w:shd w:val="clear" w:color="000000" w:fill="FFFFFF"/>
            <w:noWrap/>
            <w:vAlign w:val="center"/>
            <w:hideMark/>
          </w:tcPr>
          <w:p w14:paraId="0531C11C"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0,5</w:t>
            </w:r>
          </w:p>
        </w:tc>
        <w:tc>
          <w:tcPr>
            <w:tcW w:w="753" w:type="dxa"/>
            <w:tcBorders>
              <w:top w:val="nil"/>
              <w:left w:val="nil"/>
              <w:bottom w:val="nil"/>
              <w:right w:val="nil"/>
            </w:tcBorders>
            <w:shd w:val="clear" w:color="000000" w:fill="FFFFFF"/>
            <w:noWrap/>
            <w:vAlign w:val="center"/>
            <w:hideMark/>
          </w:tcPr>
          <w:p w14:paraId="60C9FE9A"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7,9</w:t>
            </w:r>
          </w:p>
        </w:tc>
        <w:tc>
          <w:tcPr>
            <w:tcW w:w="987" w:type="dxa"/>
            <w:tcBorders>
              <w:top w:val="nil"/>
              <w:left w:val="nil"/>
              <w:bottom w:val="nil"/>
              <w:right w:val="nil"/>
            </w:tcBorders>
            <w:shd w:val="clear" w:color="000000" w:fill="FFFFFF"/>
            <w:noWrap/>
            <w:vAlign w:val="center"/>
            <w:hideMark/>
          </w:tcPr>
          <w:p w14:paraId="403932F6"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4,0</w:t>
            </w:r>
          </w:p>
        </w:tc>
        <w:tc>
          <w:tcPr>
            <w:tcW w:w="757" w:type="dxa"/>
            <w:tcBorders>
              <w:top w:val="nil"/>
              <w:left w:val="nil"/>
              <w:bottom w:val="nil"/>
              <w:right w:val="nil"/>
            </w:tcBorders>
            <w:shd w:val="clear" w:color="000000" w:fill="FFFFFF"/>
            <w:noWrap/>
            <w:vAlign w:val="center"/>
            <w:hideMark/>
          </w:tcPr>
          <w:p w14:paraId="6D64D91D"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0,5</w:t>
            </w:r>
          </w:p>
        </w:tc>
        <w:tc>
          <w:tcPr>
            <w:tcW w:w="753" w:type="dxa"/>
            <w:tcBorders>
              <w:top w:val="nil"/>
              <w:left w:val="nil"/>
              <w:bottom w:val="nil"/>
              <w:right w:val="nil"/>
            </w:tcBorders>
            <w:shd w:val="clear" w:color="000000" w:fill="FFFFFF"/>
            <w:noWrap/>
            <w:vAlign w:val="center"/>
            <w:hideMark/>
          </w:tcPr>
          <w:p w14:paraId="50EA0DE4"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4,5</w:t>
            </w:r>
          </w:p>
        </w:tc>
      </w:tr>
      <w:tr w:rsidR="00434D5D" w:rsidRPr="0007074F" w14:paraId="06B77A6B" w14:textId="77777777" w:rsidTr="00B349CD">
        <w:trPr>
          <w:trHeight w:val="291"/>
        </w:trPr>
        <w:tc>
          <w:tcPr>
            <w:tcW w:w="4263" w:type="dxa"/>
            <w:tcBorders>
              <w:top w:val="nil"/>
              <w:left w:val="nil"/>
              <w:bottom w:val="nil"/>
              <w:right w:val="nil"/>
            </w:tcBorders>
            <w:shd w:val="clear" w:color="000000" w:fill="FFFFFF"/>
            <w:noWrap/>
            <w:vAlign w:val="center"/>
            <w:hideMark/>
          </w:tcPr>
          <w:p w14:paraId="7F99F379" w14:textId="77777777" w:rsidR="00434D5D" w:rsidRPr="0007074F" w:rsidRDefault="00434D5D" w:rsidP="00B349CD">
            <w:pPr>
              <w:spacing w:after="0" w:line="240" w:lineRule="auto"/>
              <w:jc w:val="lef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ЈП Путеви Србије</w:t>
            </w:r>
          </w:p>
        </w:tc>
        <w:tc>
          <w:tcPr>
            <w:tcW w:w="987" w:type="dxa"/>
            <w:tcBorders>
              <w:top w:val="nil"/>
              <w:left w:val="nil"/>
              <w:bottom w:val="nil"/>
              <w:right w:val="nil"/>
            </w:tcBorders>
            <w:shd w:val="clear" w:color="000000" w:fill="FFFFFF"/>
            <w:noWrap/>
            <w:vAlign w:val="center"/>
            <w:hideMark/>
          </w:tcPr>
          <w:p w14:paraId="501E75E6"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3,5</w:t>
            </w:r>
          </w:p>
        </w:tc>
        <w:tc>
          <w:tcPr>
            <w:tcW w:w="757" w:type="dxa"/>
            <w:tcBorders>
              <w:top w:val="nil"/>
              <w:left w:val="nil"/>
              <w:bottom w:val="nil"/>
              <w:right w:val="nil"/>
            </w:tcBorders>
            <w:shd w:val="clear" w:color="000000" w:fill="FFFFFF"/>
            <w:noWrap/>
            <w:vAlign w:val="center"/>
            <w:hideMark/>
          </w:tcPr>
          <w:p w14:paraId="3B9DC5A8"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1,00</w:t>
            </w:r>
          </w:p>
        </w:tc>
        <w:tc>
          <w:tcPr>
            <w:tcW w:w="753" w:type="dxa"/>
            <w:tcBorders>
              <w:top w:val="nil"/>
              <w:left w:val="nil"/>
              <w:bottom w:val="nil"/>
              <w:right w:val="nil"/>
            </w:tcBorders>
            <w:shd w:val="clear" w:color="000000" w:fill="FFFFFF"/>
            <w:noWrap/>
            <w:vAlign w:val="center"/>
            <w:hideMark/>
          </w:tcPr>
          <w:p w14:paraId="2EB4945A"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4,5</w:t>
            </w:r>
          </w:p>
        </w:tc>
        <w:tc>
          <w:tcPr>
            <w:tcW w:w="987" w:type="dxa"/>
            <w:tcBorders>
              <w:top w:val="nil"/>
              <w:left w:val="nil"/>
              <w:bottom w:val="nil"/>
              <w:right w:val="nil"/>
            </w:tcBorders>
            <w:shd w:val="clear" w:color="000000" w:fill="FFFFFF"/>
            <w:noWrap/>
            <w:vAlign w:val="center"/>
            <w:hideMark/>
          </w:tcPr>
          <w:p w14:paraId="60ABFDC3"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1,7</w:t>
            </w:r>
          </w:p>
        </w:tc>
        <w:tc>
          <w:tcPr>
            <w:tcW w:w="757" w:type="dxa"/>
            <w:tcBorders>
              <w:top w:val="nil"/>
              <w:left w:val="nil"/>
              <w:bottom w:val="nil"/>
              <w:right w:val="nil"/>
            </w:tcBorders>
            <w:shd w:val="clear" w:color="000000" w:fill="FFFFFF"/>
            <w:noWrap/>
            <w:vAlign w:val="center"/>
            <w:hideMark/>
          </w:tcPr>
          <w:p w14:paraId="4132FD1A"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0,5</w:t>
            </w:r>
          </w:p>
        </w:tc>
        <w:tc>
          <w:tcPr>
            <w:tcW w:w="753" w:type="dxa"/>
            <w:tcBorders>
              <w:top w:val="nil"/>
              <w:left w:val="nil"/>
              <w:bottom w:val="nil"/>
              <w:right w:val="nil"/>
            </w:tcBorders>
            <w:shd w:val="clear" w:color="000000" w:fill="FFFFFF"/>
            <w:noWrap/>
            <w:vAlign w:val="center"/>
            <w:hideMark/>
          </w:tcPr>
          <w:p w14:paraId="5C24B16D"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2,2</w:t>
            </w:r>
          </w:p>
        </w:tc>
      </w:tr>
      <w:tr w:rsidR="00434D5D" w:rsidRPr="0007074F" w14:paraId="43A599FD" w14:textId="77777777" w:rsidTr="00B349CD">
        <w:trPr>
          <w:trHeight w:val="291"/>
        </w:trPr>
        <w:tc>
          <w:tcPr>
            <w:tcW w:w="4263" w:type="dxa"/>
            <w:tcBorders>
              <w:top w:val="nil"/>
              <w:left w:val="nil"/>
              <w:bottom w:val="nil"/>
              <w:right w:val="nil"/>
            </w:tcBorders>
            <w:shd w:val="clear" w:color="000000" w:fill="FFFFFF"/>
            <w:vAlign w:val="center"/>
            <w:hideMark/>
          </w:tcPr>
          <w:p w14:paraId="47E009DA" w14:textId="77777777" w:rsidR="00434D5D" w:rsidRPr="0007074F" w:rsidRDefault="00434D5D" w:rsidP="00B349CD">
            <w:pPr>
              <w:spacing w:after="0" w:line="240" w:lineRule="auto"/>
              <w:jc w:val="lef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АД „Железнице Србије”, Београд</w:t>
            </w:r>
          </w:p>
        </w:tc>
        <w:tc>
          <w:tcPr>
            <w:tcW w:w="987" w:type="dxa"/>
            <w:tcBorders>
              <w:top w:val="nil"/>
              <w:left w:val="nil"/>
              <w:bottom w:val="nil"/>
              <w:right w:val="nil"/>
            </w:tcBorders>
            <w:shd w:val="clear" w:color="000000" w:fill="FFFFFF"/>
            <w:noWrap/>
            <w:vAlign w:val="center"/>
            <w:hideMark/>
          </w:tcPr>
          <w:p w14:paraId="78E6C5C3"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6,3</w:t>
            </w:r>
          </w:p>
        </w:tc>
        <w:tc>
          <w:tcPr>
            <w:tcW w:w="757" w:type="dxa"/>
            <w:tcBorders>
              <w:top w:val="nil"/>
              <w:left w:val="nil"/>
              <w:bottom w:val="nil"/>
              <w:right w:val="nil"/>
            </w:tcBorders>
            <w:shd w:val="clear" w:color="000000" w:fill="FFFFFF"/>
            <w:noWrap/>
            <w:vAlign w:val="center"/>
            <w:hideMark/>
          </w:tcPr>
          <w:p w14:paraId="483DB450"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0,3</w:t>
            </w:r>
          </w:p>
        </w:tc>
        <w:tc>
          <w:tcPr>
            <w:tcW w:w="753" w:type="dxa"/>
            <w:tcBorders>
              <w:top w:val="nil"/>
              <w:left w:val="nil"/>
              <w:bottom w:val="nil"/>
              <w:right w:val="nil"/>
            </w:tcBorders>
            <w:shd w:val="clear" w:color="000000" w:fill="FFFFFF"/>
            <w:noWrap/>
            <w:vAlign w:val="center"/>
            <w:hideMark/>
          </w:tcPr>
          <w:p w14:paraId="023B3F40"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6,7</w:t>
            </w:r>
          </w:p>
        </w:tc>
        <w:tc>
          <w:tcPr>
            <w:tcW w:w="987" w:type="dxa"/>
            <w:tcBorders>
              <w:top w:val="nil"/>
              <w:left w:val="nil"/>
              <w:bottom w:val="nil"/>
              <w:right w:val="nil"/>
            </w:tcBorders>
            <w:shd w:val="clear" w:color="000000" w:fill="FFFFFF"/>
            <w:noWrap/>
            <w:vAlign w:val="center"/>
            <w:hideMark/>
          </w:tcPr>
          <w:p w14:paraId="35F63A17"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0,9</w:t>
            </w:r>
          </w:p>
        </w:tc>
        <w:tc>
          <w:tcPr>
            <w:tcW w:w="757" w:type="dxa"/>
            <w:tcBorders>
              <w:top w:val="nil"/>
              <w:left w:val="nil"/>
              <w:bottom w:val="nil"/>
              <w:right w:val="nil"/>
            </w:tcBorders>
            <w:shd w:val="clear" w:color="000000" w:fill="FFFFFF"/>
            <w:noWrap/>
            <w:vAlign w:val="center"/>
            <w:hideMark/>
          </w:tcPr>
          <w:p w14:paraId="421F54E8"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0,1</w:t>
            </w:r>
          </w:p>
        </w:tc>
        <w:tc>
          <w:tcPr>
            <w:tcW w:w="753" w:type="dxa"/>
            <w:tcBorders>
              <w:top w:val="nil"/>
              <w:left w:val="nil"/>
              <w:bottom w:val="nil"/>
              <w:right w:val="nil"/>
            </w:tcBorders>
            <w:shd w:val="clear" w:color="000000" w:fill="FFFFFF"/>
            <w:noWrap/>
            <w:vAlign w:val="center"/>
            <w:hideMark/>
          </w:tcPr>
          <w:p w14:paraId="47091CE0"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1,0</w:t>
            </w:r>
          </w:p>
        </w:tc>
      </w:tr>
      <w:tr w:rsidR="00434D5D" w:rsidRPr="0007074F" w14:paraId="71517C9B" w14:textId="77777777" w:rsidTr="00B349CD">
        <w:trPr>
          <w:trHeight w:val="700"/>
        </w:trPr>
        <w:tc>
          <w:tcPr>
            <w:tcW w:w="4263" w:type="dxa"/>
            <w:tcBorders>
              <w:top w:val="nil"/>
              <w:left w:val="nil"/>
              <w:bottom w:val="nil"/>
              <w:right w:val="nil"/>
            </w:tcBorders>
            <w:shd w:val="clear" w:color="000000" w:fill="FFFFFF"/>
            <w:vAlign w:val="center"/>
            <w:hideMark/>
          </w:tcPr>
          <w:p w14:paraId="431145DE" w14:textId="77777777" w:rsidR="00434D5D" w:rsidRPr="0007074F" w:rsidRDefault="00434D5D" w:rsidP="00B349CD">
            <w:pPr>
              <w:spacing w:after="0" w:line="240" w:lineRule="auto"/>
              <w:jc w:val="lef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АД за управљање јавном железничком инфраструктуром „Инфраструктура железнице Србије”, Београд</w:t>
            </w:r>
          </w:p>
        </w:tc>
        <w:tc>
          <w:tcPr>
            <w:tcW w:w="987" w:type="dxa"/>
            <w:tcBorders>
              <w:top w:val="nil"/>
              <w:left w:val="nil"/>
              <w:bottom w:val="nil"/>
              <w:right w:val="nil"/>
            </w:tcBorders>
            <w:shd w:val="clear" w:color="000000" w:fill="FFFFFF"/>
            <w:noWrap/>
            <w:vAlign w:val="center"/>
            <w:hideMark/>
          </w:tcPr>
          <w:p w14:paraId="08B23004"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1,7</w:t>
            </w:r>
          </w:p>
        </w:tc>
        <w:tc>
          <w:tcPr>
            <w:tcW w:w="757" w:type="dxa"/>
            <w:tcBorders>
              <w:top w:val="nil"/>
              <w:left w:val="nil"/>
              <w:bottom w:val="nil"/>
              <w:right w:val="nil"/>
            </w:tcBorders>
            <w:shd w:val="clear" w:color="000000" w:fill="FFFFFF"/>
            <w:noWrap/>
            <w:vAlign w:val="center"/>
            <w:hideMark/>
          </w:tcPr>
          <w:p w14:paraId="36E8BF2D"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3" w:type="dxa"/>
            <w:tcBorders>
              <w:top w:val="nil"/>
              <w:left w:val="nil"/>
              <w:bottom w:val="nil"/>
              <w:right w:val="nil"/>
            </w:tcBorders>
            <w:shd w:val="clear" w:color="000000" w:fill="FFFFFF"/>
            <w:noWrap/>
            <w:vAlign w:val="center"/>
            <w:hideMark/>
          </w:tcPr>
          <w:p w14:paraId="19FB0441"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1,7</w:t>
            </w:r>
          </w:p>
        </w:tc>
        <w:tc>
          <w:tcPr>
            <w:tcW w:w="987" w:type="dxa"/>
            <w:tcBorders>
              <w:top w:val="nil"/>
              <w:left w:val="nil"/>
              <w:bottom w:val="nil"/>
              <w:right w:val="nil"/>
            </w:tcBorders>
            <w:shd w:val="clear" w:color="000000" w:fill="FFFFFF"/>
            <w:noWrap/>
            <w:vAlign w:val="center"/>
            <w:hideMark/>
          </w:tcPr>
          <w:p w14:paraId="4DDF0276"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0,7</w:t>
            </w:r>
          </w:p>
        </w:tc>
        <w:tc>
          <w:tcPr>
            <w:tcW w:w="757" w:type="dxa"/>
            <w:tcBorders>
              <w:top w:val="nil"/>
              <w:left w:val="nil"/>
              <w:bottom w:val="nil"/>
              <w:right w:val="nil"/>
            </w:tcBorders>
            <w:shd w:val="clear" w:color="000000" w:fill="FFFFFF"/>
            <w:noWrap/>
            <w:vAlign w:val="center"/>
            <w:hideMark/>
          </w:tcPr>
          <w:p w14:paraId="7F6E4254"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0,1</w:t>
            </w:r>
          </w:p>
        </w:tc>
        <w:tc>
          <w:tcPr>
            <w:tcW w:w="753" w:type="dxa"/>
            <w:tcBorders>
              <w:top w:val="nil"/>
              <w:left w:val="nil"/>
              <w:bottom w:val="nil"/>
              <w:right w:val="nil"/>
            </w:tcBorders>
            <w:shd w:val="clear" w:color="000000" w:fill="FFFFFF"/>
            <w:noWrap/>
            <w:vAlign w:val="center"/>
            <w:hideMark/>
          </w:tcPr>
          <w:p w14:paraId="43F38C13"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0,7</w:t>
            </w:r>
          </w:p>
        </w:tc>
      </w:tr>
      <w:tr w:rsidR="00434D5D" w:rsidRPr="0007074F" w14:paraId="2A472D74" w14:textId="77777777" w:rsidTr="00B349CD">
        <w:trPr>
          <w:trHeight w:val="291"/>
        </w:trPr>
        <w:tc>
          <w:tcPr>
            <w:tcW w:w="4263" w:type="dxa"/>
            <w:tcBorders>
              <w:top w:val="nil"/>
              <w:left w:val="nil"/>
              <w:bottom w:val="nil"/>
              <w:right w:val="nil"/>
            </w:tcBorders>
            <w:shd w:val="clear" w:color="000000" w:fill="FFFFFF"/>
            <w:vAlign w:val="center"/>
            <w:hideMark/>
          </w:tcPr>
          <w:p w14:paraId="5E263FFE" w14:textId="77777777" w:rsidR="00434D5D" w:rsidRPr="0007074F" w:rsidRDefault="00434D5D" w:rsidP="00B349CD">
            <w:pPr>
              <w:spacing w:after="0" w:line="240" w:lineRule="auto"/>
              <w:jc w:val="lef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ЈП Скијалишта Србије Београд</w:t>
            </w:r>
          </w:p>
        </w:tc>
        <w:tc>
          <w:tcPr>
            <w:tcW w:w="987" w:type="dxa"/>
            <w:tcBorders>
              <w:top w:val="nil"/>
              <w:left w:val="nil"/>
              <w:bottom w:val="nil"/>
              <w:right w:val="nil"/>
            </w:tcBorders>
            <w:shd w:val="clear" w:color="000000" w:fill="FFFFFF"/>
            <w:noWrap/>
            <w:vAlign w:val="center"/>
            <w:hideMark/>
          </w:tcPr>
          <w:p w14:paraId="7C71CC82"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0,3</w:t>
            </w:r>
          </w:p>
        </w:tc>
        <w:tc>
          <w:tcPr>
            <w:tcW w:w="757" w:type="dxa"/>
            <w:tcBorders>
              <w:top w:val="nil"/>
              <w:left w:val="nil"/>
              <w:bottom w:val="nil"/>
              <w:right w:val="nil"/>
            </w:tcBorders>
            <w:shd w:val="clear" w:color="000000" w:fill="FFFFFF"/>
            <w:noWrap/>
            <w:vAlign w:val="center"/>
            <w:hideMark/>
          </w:tcPr>
          <w:p w14:paraId="34BFA43E"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0,1</w:t>
            </w:r>
          </w:p>
        </w:tc>
        <w:tc>
          <w:tcPr>
            <w:tcW w:w="753" w:type="dxa"/>
            <w:tcBorders>
              <w:top w:val="nil"/>
              <w:left w:val="nil"/>
              <w:bottom w:val="nil"/>
              <w:right w:val="nil"/>
            </w:tcBorders>
            <w:shd w:val="clear" w:color="000000" w:fill="FFFFFF"/>
            <w:noWrap/>
            <w:vAlign w:val="center"/>
            <w:hideMark/>
          </w:tcPr>
          <w:p w14:paraId="370CB2AB"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0,4</w:t>
            </w:r>
          </w:p>
        </w:tc>
        <w:tc>
          <w:tcPr>
            <w:tcW w:w="987" w:type="dxa"/>
            <w:tcBorders>
              <w:top w:val="nil"/>
              <w:left w:val="nil"/>
              <w:bottom w:val="nil"/>
              <w:right w:val="nil"/>
            </w:tcBorders>
            <w:shd w:val="clear" w:color="000000" w:fill="FFFFFF"/>
            <w:noWrap/>
            <w:vAlign w:val="center"/>
            <w:hideMark/>
          </w:tcPr>
          <w:p w14:paraId="7D2F2348"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0,3</w:t>
            </w:r>
          </w:p>
        </w:tc>
        <w:tc>
          <w:tcPr>
            <w:tcW w:w="757" w:type="dxa"/>
            <w:tcBorders>
              <w:top w:val="nil"/>
              <w:left w:val="nil"/>
              <w:bottom w:val="nil"/>
              <w:right w:val="nil"/>
            </w:tcBorders>
            <w:shd w:val="clear" w:color="000000" w:fill="FFFFFF"/>
            <w:noWrap/>
            <w:vAlign w:val="center"/>
            <w:hideMark/>
          </w:tcPr>
          <w:p w14:paraId="14698735"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0,1</w:t>
            </w:r>
          </w:p>
        </w:tc>
        <w:tc>
          <w:tcPr>
            <w:tcW w:w="753" w:type="dxa"/>
            <w:tcBorders>
              <w:top w:val="nil"/>
              <w:left w:val="nil"/>
              <w:bottom w:val="nil"/>
              <w:right w:val="nil"/>
            </w:tcBorders>
            <w:shd w:val="clear" w:color="000000" w:fill="FFFFFF"/>
            <w:noWrap/>
            <w:vAlign w:val="center"/>
            <w:hideMark/>
          </w:tcPr>
          <w:p w14:paraId="2F74AE15"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0,4</w:t>
            </w:r>
          </w:p>
        </w:tc>
      </w:tr>
      <w:tr w:rsidR="00434D5D" w:rsidRPr="0007074F" w14:paraId="09D49887" w14:textId="77777777" w:rsidTr="00B349CD">
        <w:trPr>
          <w:trHeight w:val="291"/>
        </w:trPr>
        <w:tc>
          <w:tcPr>
            <w:tcW w:w="4263" w:type="dxa"/>
            <w:tcBorders>
              <w:top w:val="nil"/>
              <w:left w:val="nil"/>
              <w:bottom w:val="nil"/>
              <w:right w:val="nil"/>
            </w:tcBorders>
            <w:shd w:val="clear" w:color="000000" w:fill="FFFFFF"/>
            <w:vAlign w:val="center"/>
            <w:hideMark/>
          </w:tcPr>
          <w:p w14:paraId="07A77C1B" w14:textId="77777777" w:rsidR="00434D5D" w:rsidRPr="0007074F" w:rsidRDefault="00434D5D" w:rsidP="00B349CD">
            <w:pPr>
              <w:spacing w:after="0" w:line="240" w:lineRule="auto"/>
              <w:jc w:val="lef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АД за железнички превоз путника „Србија Воз” Београд</w:t>
            </w:r>
          </w:p>
        </w:tc>
        <w:tc>
          <w:tcPr>
            <w:tcW w:w="987" w:type="dxa"/>
            <w:tcBorders>
              <w:top w:val="nil"/>
              <w:left w:val="nil"/>
              <w:bottom w:val="nil"/>
              <w:right w:val="nil"/>
            </w:tcBorders>
            <w:shd w:val="clear" w:color="000000" w:fill="FFFFFF"/>
            <w:noWrap/>
            <w:vAlign w:val="center"/>
            <w:hideMark/>
          </w:tcPr>
          <w:p w14:paraId="3F50DDCB"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0,4</w:t>
            </w:r>
          </w:p>
        </w:tc>
        <w:tc>
          <w:tcPr>
            <w:tcW w:w="757" w:type="dxa"/>
            <w:tcBorders>
              <w:top w:val="nil"/>
              <w:left w:val="nil"/>
              <w:bottom w:val="nil"/>
              <w:right w:val="nil"/>
            </w:tcBorders>
            <w:shd w:val="clear" w:color="000000" w:fill="FFFFFF"/>
            <w:noWrap/>
            <w:vAlign w:val="center"/>
            <w:hideMark/>
          </w:tcPr>
          <w:p w14:paraId="1C598140"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0,1</w:t>
            </w:r>
          </w:p>
        </w:tc>
        <w:tc>
          <w:tcPr>
            <w:tcW w:w="753" w:type="dxa"/>
            <w:tcBorders>
              <w:top w:val="nil"/>
              <w:left w:val="nil"/>
              <w:bottom w:val="nil"/>
              <w:right w:val="nil"/>
            </w:tcBorders>
            <w:shd w:val="clear" w:color="000000" w:fill="FFFFFF"/>
            <w:noWrap/>
            <w:vAlign w:val="center"/>
            <w:hideMark/>
          </w:tcPr>
          <w:p w14:paraId="30C0392F"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0,5</w:t>
            </w:r>
          </w:p>
        </w:tc>
        <w:tc>
          <w:tcPr>
            <w:tcW w:w="987" w:type="dxa"/>
            <w:tcBorders>
              <w:top w:val="nil"/>
              <w:left w:val="nil"/>
              <w:bottom w:val="nil"/>
              <w:right w:val="nil"/>
            </w:tcBorders>
            <w:shd w:val="clear" w:color="000000" w:fill="FFFFFF"/>
            <w:noWrap/>
            <w:vAlign w:val="center"/>
            <w:hideMark/>
          </w:tcPr>
          <w:p w14:paraId="595E9E1C"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7" w:type="dxa"/>
            <w:tcBorders>
              <w:top w:val="nil"/>
              <w:left w:val="nil"/>
              <w:bottom w:val="nil"/>
              <w:right w:val="nil"/>
            </w:tcBorders>
            <w:shd w:val="clear" w:color="000000" w:fill="FFFFFF"/>
            <w:noWrap/>
            <w:vAlign w:val="center"/>
            <w:hideMark/>
          </w:tcPr>
          <w:p w14:paraId="1DE47071"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3" w:type="dxa"/>
            <w:tcBorders>
              <w:top w:val="nil"/>
              <w:left w:val="nil"/>
              <w:bottom w:val="nil"/>
              <w:right w:val="nil"/>
            </w:tcBorders>
            <w:shd w:val="clear" w:color="000000" w:fill="FFFFFF"/>
            <w:noWrap/>
            <w:vAlign w:val="center"/>
            <w:hideMark/>
          </w:tcPr>
          <w:p w14:paraId="5FBA517A"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0,0</w:t>
            </w:r>
          </w:p>
        </w:tc>
      </w:tr>
      <w:tr w:rsidR="00434D5D" w:rsidRPr="0007074F" w14:paraId="1DC1714F" w14:textId="77777777" w:rsidTr="00B349CD">
        <w:trPr>
          <w:trHeight w:val="466"/>
        </w:trPr>
        <w:tc>
          <w:tcPr>
            <w:tcW w:w="4263" w:type="dxa"/>
            <w:tcBorders>
              <w:top w:val="nil"/>
              <w:left w:val="nil"/>
              <w:bottom w:val="nil"/>
              <w:right w:val="nil"/>
            </w:tcBorders>
            <w:shd w:val="clear" w:color="000000" w:fill="FFFFFF"/>
            <w:vAlign w:val="center"/>
            <w:hideMark/>
          </w:tcPr>
          <w:p w14:paraId="3BEC3967" w14:textId="77777777" w:rsidR="00434D5D" w:rsidRPr="0007074F" w:rsidRDefault="00434D5D" w:rsidP="00B349CD">
            <w:pPr>
              <w:spacing w:after="0" w:line="240" w:lineRule="auto"/>
              <w:jc w:val="lef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АД за железнички превоз робе „Србија Карго”, Београд</w:t>
            </w:r>
          </w:p>
        </w:tc>
        <w:tc>
          <w:tcPr>
            <w:tcW w:w="987" w:type="dxa"/>
            <w:tcBorders>
              <w:top w:val="nil"/>
              <w:left w:val="nil"/>
              <w:bottom w:val="nil"/>
              <w:right w:val="nil"/>
            </w:tcBorders>
            <w:shd w:val="clear" w:color="000000" w:fill="FFFFFF"/>
            <w:noWrap/>
            <w:vAlign w:val="center"/>
            <w:hideMark/>
          </w:tcPr>
          <w:p w14:paraId="7062ED65"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1,2</w:t>
            </w:r>
          </w:p>
        </w:tc>
        <w:tc>
          <w:tcPr>
            <w:tcW w:w="757" w:type="dxa"/>
            <w:tcBorders>
              <w:top w:val="nil"/>
              <w:left w:val="nil"/>
              <w:bottom w:val="nil"/>
              <w:right w:val="nil"/>
            </w:tcBorders>
            <w:shd w:val="clear" w:color="000000" w:fill="FFFFFF"/>
            <w:noWrap/>
            <w:vAlign w:val="center"/>
            <w:hideMark/>
          </w:tcPr>
          <w:p w14:paraId="1E3A38C0"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3" w:type="dxa"/>
            <w:tcBorders>
              <w:top w:val="nil"/>
              <w:left w:val="nil"/>
              <w:bottom w:val="nil"/>
              <w:right w:val="nil"/>
            </w:tcBorders>
            <w:shd w:val="clear" w:color="000000" w:fill="FFFFFF"/>
            <w:noWrap/>
            <w:vAlign w:val="center"/>
            <w:hideMark/>
          </w:tcPr>
          <w:p w14:paraId="3A9FD75F"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1,3</w:t>
            </w:r>
          </w:p>
        </w:tc>
        <w:tc>
          <w:tcPr>
            <w:tcW w:w="987" w:type="dxa"/>
            <w:tcBorders>
              <w:top w:val="nil"/>
              <w:left w:val="nil"/>
              <w:bottom w:val="nil"/>
              <w:right w:val="nil"/>
            </w:tcBorders>
            <w:shd w:val="clear" w:color="000000" w:fill="FFFFFF"/>
            <w:noWrap/>
            <w:vAlign w:val="center"/>
            <w:hideMark/>
          </w:tcPr>
          <w:p w14:paraId="21162524"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7" w:type="dxa"/>
            <w:tcBorders>
              <w:top w:val="nil"/>
              <w:left w:val="nil"/>
              <w:bottom w:val="nil"/>
              <w:right w:val="nil"/>
            </w:tcBorders>
            <w:shd w:val="clear" w:color="000000" w:fill="FFFFFF"/>
            <w:noWrap/>
            <w:vAlign w:val="center"/>
            <w:hideMark/>
          </w:tcPr>
          <w:p w14:paraId="699B9072"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3" w:type="dxa"/>
            <w:tcBorders>
              <w:top w:val="nil"/>
              <w:left w:val="nil"/>
              <w:bottom w:val="nil"/>
              <w:right w:val="nil"/>
            </w:tcBorders>
            <w:shd w:val="clear" w:color="000000" w:fill="FFFFFF"/>
            <w:noWrap/>
            <w:vAlign w:val="center"/>
            <w:hideMark/>
          </w:tcPr>
          <w:p w14:paraId="1001525D"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0,0</w:t>
            </w:r>
          </w:p>
        </w:tc>
      </w:tr>
      <w:tr w:rsidR="00434D5D" w:rsidRPr="0007074F" w14:paraId="1910E3DA" w14:textId="77777777" w:rsidTr="00B349CD">
        <w:trPr>
          <w:trHeight w:val="306"/>
        </w:trPr>
        <w:tc>
          <w:tcPr>
            <w:tcW w:w="4263" w:type="dxa"/>
            <w:tcBorders>
              <w:top w:val="nil"/>
              <w:left w:val="nil"/>
              <w:bottom w:val="nil"/>
              <w:right w:val="nil"/>
            </w:tcBorders>
            <w:shd w:val="clear" w:color="000000" w:fill="FFFFFF"/>
            <w:noWrap/>
            <w:vAlign w:val="center"/>
            <w:hideMark/>
          </w:tcPr>
          <w:p w14:paraId="2124AE08" w14:textId="77777777" w:rsidR="00434D5D" w:rsidRPr="0007074F" w:rsidRDefault="00434D5D" w:rsidP="00B349CD">
            <w:pPr>
              <w:spacing w:after="0" w:line="240" w:lineRule="auto"/>
              <w:jc w:val="lef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ЈП Емисиона техника и везе</w:t>
            </w:r>
          </w:p>
        </w:tc>
        <w:tc>
          <w:tcPr>
            <w:tcW w:w="987" w:type="dxa"/>
            <w:tcBorders>
              <w:top w:val="nil"/>
              <w:left w:val="nil"/>
              <w:bottom w:val="nil"/>
              <w:right w:val="nil"/>
            </w:tcBorders>
            <w:shd w:val="clear" w:color="000000" w:fill="FFFFFF"/>
            <w:noWrap/>
            <w:vAlign w:val="center"/>
            <w:hideMark/>
          </w:tcPr>
          <w:p w14:paraId="17352394"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0,3</w:t>
            </w:r>
          </w:p>
        </w:tc>
        <w:tc>
          <w:tcPr>
            <w:tcW w:w="757" w:type="dxa"/>
            <w:tcBorders>
              <w:top w:val="nil"/>
              <w:left w:val="nil"/>
              <w:bottom w:val="nil"/>
              <w:right w:val="nil"/>
            </w:tcBorders>
            <w:shd w:val="clear" w:color="000000" w:fill="FFFFFF"/>
            <w:noWrap/>
            <w:vAlign w:val="center"/>
            <w:hideMark/>
          </w:tcPr>
          <w:p w14:paraId="6CA2A0DB"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3" w:type="dxa"/>
            <w:tcBorders>
              <w:top w:val="nil"/>
              <w:left w:val="nil"/>
              <w:bottom w:val="nil"/>
              <w:right w:val="nil"/>
            </w:tcBorders>
            <w:shd w:val="clear" w:color="000000" w:fill="FFFFFF"/>
            <w:noWrap/>
            <w:vAlign w:val="center"/>
            <w:hideMark/>
          </w:tcPr>
          <w:p w14:paraId="3601E553"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0,3</w:t>
            </w:r>
          </w:p>
        </w:tc>
        <w:tc>
          <w:tcPr>
            <w:tcW w:w="987" w:type="dxa"/>
            <w:tcBorders>
              <w:top w:val="nil"/>
              <w:left w:val="nil"/>
              <w:bottom w:val="nil"/>
              <w:right w:val="nil"/>
            </w:tcBorders>
            <w:shd w:val="clear" w:color="000000" w:fill="FFFFFF"/>
            <w:noWrap/>
            <w:vAlign w:val="center"/>
            <w:hideMark/>
          </w:tcPr>
          <w:p w14:paraId="01C76D0F"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7" w:type="dxa"/>
            <w:tcBorders>
              <w:top w:val="nil"/>
              <w:left w:val="nil"/>
              <w:bottom w:val="nil"/>
              <w:right w:val="nil"/>
            </w:tcBorders>
            <w:shd w:val="clear" w:color="000000" w:fill="FFFFFF"/>
            <w:noWrap/>
            <w:vAlign w:val="center"/>
            <w:hideMark/>
          </w:tcPr>
          <w:p w14:paraId="5AAF8C00" w14:textId="77777777" w:rsidR="00434D5D" w:rsidRPr="0007074F" w:rsidRDefault="00434D5D" w:rsidP="00B349CD">
            <w:pPr>
              <w:spacing w:after="0" w:line="240" w:lineRule="auto"/>
              <w:jc w:val="right"/>
              <w:rPr>
                <w:rFonts w:ascii="Calibri" w:eastAsia="Times New Roman" w:hAnsi="Calibri" w:cs="Calibri"/>
                <w:color w:val="002060"/>
                <w:sz w:val="18"/>
                <w:szCs w:val="18"/>
                <w:lang w:val="sr-Cyrl-CS"/>
              </w:rPr>
            </w:pPr>
            <w:r w:rsidRPr="0007074F">
              <w:rPr>
                <w:rFonts w:ascii="Calibri" w:eastAsia="Times New Roman" w:hAnsi="Calibri" w:cs="Calibri"/>
                <w:color w:val="002060"/>
                <w:sz w:val="18"/>
                <w:szCs w:val="18"/>
                <w:lang w:val="sr-Cyrl-CS"/>
              </w:rPr>
              <w:t>0,0</w:t>
            </w:r>
          </w:p>
        </w:tc>
        <w:tc>
          <w:tcPr>
            <w:tcW w:w="753" w:type="dxa"/>
            <w:tcBorders>
              <w:top w:val="nil"/>
              <w:left w:val="nil"/>
              <w:bottom w:val="nil"/>
              <w:right w:val="nil"/>
            </w:tcBorders>
            <w:shd w:val="clear" w:color="000000" w:fill="FFFFFF"/>
            <w:noWrap/>
            <w:vAlign w:val="center"/>
            <w:hideMark/>
          </w:tcPr>
          <w:p w14:paraId="1B9AB4A5"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0,0</w:t>
            </w:r>
          </w:p>
        </w:tc>
      </w:tr>
      <w:tr w:rsidR="00434D5D" w:rsidRPr="0007074F" w14:paraId="0ECB72DB" w14:textId="77777777" w:rsidTr="00B349CD">
        <w:trPr>
          <w:trHeight w:val="178"/>
        </w:trPr>
        <w:tc>
          <w:tcPr>
            <w:tcW w:w="4263" w:type="dxa"/>
            <w:tcBorders>
              <w:top w:val="single" w:sz="8" w:space="0" w:color="002060"/>
              <w:left w:val="nil"/>
              <w:bottom w:val="single" w:sz="8" w:space="0" w:color="002060"/>
              <w:right w:val="nil"/>
            </w:tcBorders>
            <w:shd w:val="clear" w:color="000000" w:fill="FFFFFF"/>
            <w:noWrap/>
            <w:vAlign w:val="center"/>
            <w:hideMark/>
          </w:tcPr>
          <w:p w14:paraId="3801E7BB" w14:textId="77777777" w:rsidR="00434D5D" w:rsidRPr="0007074F" w:rsidRDefault="00434D5D" w:rsidP="00B349CD">
            <w:pPr>
              <w:spacing w:after="0" w:line="240" w:lineRule="auto"/>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УКУПНО</w:t>
            </w:r>
          </w:p>
        </w:tc>
        <w:tc>
          <w:tcPr>
            <w:tcW w:w="987" w:type="dxa"/>
            <w:tcBorders>
              <w:top w:val="single" w:sz="8" w:space="0" w:color="002060"/>
              <w:left w:val="nil"/>
              <w:bottom w:val="single" w:sz="8" w:space="0" w:color="002060"/>
              <w:right w:val="nil"/>
            </w:tcBorders>
            <w:shd w:val="clear" w:color="000000" w:fill="FFFFFF"/>
            <w:noWrap/>
            <w:vAlign w:val="center"/>
            <w:hideMark/>
          </w:tcPr>
          <w:p w14:paraId="3C23B9FD"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21,3</w:t>
            </w:r>
          </w:p>
        </w:tc>
        <w:tc>
          <w:tcPr>
            <w:tcW w:w="757" w:type="dxa"/>
            <w:tcBorders>
              <w:top w:val="single" w:sz="8" w:space="0" w:color="002060"/>
              <w:left w:val="nil"/>
              <w:bottom w:val="single" w:sz="8" w:space="0" w:color="002060"/>
              <w:right w:val="nil"/>
            </w:tcBorders>
            <w:shd w:val="clear" w:color="000000" w:fill="FFFFFF"/>
            <w:noWrap/>
            <w:vAlign w:val="center"/>
            <w:hideMark/>
          </w:tcPr>
          <w:p w14:paraId="41A2FC92"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2,0</w:t>
            </w:r>
          </w:p>
        </w:tc>
        <w:tc>
          <w:tcPr>
            <w:tcW w:w="753" w:type="dxa"/>
            <w:tcBorders>
              <w:top w:val="single" w:sz="8" w:space="0" w:color="002060"/>
              <w:left w:val="nil"/>
              <w:bottom w:val="single" w:sz="8" w:space="0" w:color="002060"/>
              <w:right w:val="nil"/>
            </w:tcBorders>
            <w:shd w:val="clear" w:color="000000" w:fill="FFFFFF"/>
            <w:noWrap/>
            <w:vAlign w:val="center"/>
            <w:hideMark/>
          </w:tcPr>
          <w:p w14:paraId="24C048D4"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23,3</w:t>
            </w:r>
          </w:p>
        </w:tc>
        <w:tc>
          <w:tcPr>
            <w:tcW w:w="987" w:type="dxa"/>
            <w:tcBorders>
              <w:top w:val="single" w:sz="8" w:space="0" w:color="002060"/>
              <w:left w:val="nil"/>
              <w:bottom w:val="single" w:sz="8" w:space="0" w:color="002060"/>
              <w:right w:val="nil"/>
            </w:tcBorders>
            <w:shd w:val="clear" w:color="000000" w:fill="FFFFFF"/>
            <w:noWrap/>
            <w:vAlign w:val="center"/>
            <w:hideMark/>
          </w:tcPr>
          <w:p w14:paraId="7FB6B40B"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7,7</w:t>
            </w:r>
          </w:p>
        </w:tc>
        <w:tc>
          <w:tcPr>
            <w:tcW w:w="757" w:type="dxa"/>
            <w:tcBorders>
              <w:top w:val="single" w:sz="8" w:space="0" w:color="002060"/>
              <w:left w:val="nil"/>
              <w:bottom w:val="single" w:sz="8" w:space="0" w:color="002060"/>
              <w:right w:val="nil"/>
            </w:tcBorders>
            <w:shd w:val="clear" w:color="000000" w:fill="FFFFFF"/>
            <w:noWrap/>
            <w:vAlign w:val="center"/>
            <w:hideMark/>
          </w:tcPr>
          <w:p w14:paraId="1F2611B2"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1,2</w:t>
            </w:r>
          </w:p>
        </w:tc>
        <w:tc>
          <w:tcPr>
            <w:tcW w:w="753" w:type="dxa"/>
            <w:tcBorders>
              <w:top w:val="single" w:sz="8" w:space="0" w:color="002060"/>
              <w:left w:val="nil"/>
              <w:bottom w:val="single" w:sz="8" w:space="0" w:color="002060"/>
              <w:right w:val="nil"/>
            </w:tcBorders>
            <w:shd w:val="clear" w:color="000000" w:fill="FFFFFF"/>
            <w:noWrap/>
            <w:vAlign w:val="center"/>
            <w:hideMark/>
          </w:tcPr>
          <w:p w14:paraId="12818B58" w14:textId="77777777" w:rsidR="00434D5D" w:rsidRPr="0007074F" w:rsidRDefault="00434D5D" w:rsidP="00B349CD">
            <w:pPr>
              <w:spacing w:after="0" w:line="240" w:lineRule="auto"/>
              <w:jc w:val="right"/>
              <w:rPr>
                <w:rFonts w:ascii="Calibri" w:eastAsia="Times New Roman" w:hAnsi="Calibri" w:cs="Calibri"/>
                <w:b/>
                <w:bCs/>
                <w:color w:val="002060"/>
                <w:sz w:val="18"/>
                <w:szCs w:val="18"/>
                <w:lang w:val="sr-Cyrl-CS"/>
              </w:rPr>
            </w:pPr>
            <w:r w:rsidRPr="0007074F">
              <w:rPr>
                <w:rFonts w:ascii="Calibri" w:eastAsia="Times New Roman" w:hAnsi="Calibri" w:cs="Calibri"/>
                <w:b/>
                <w:bCs/>
                <w:color w:val="002060"/>
                <w:sz w:val="18"/>
                <w:szCs w:val="18"/>
                <w:lang w:val="sr-Cyrl-CS"/>
              </w:rPr>
              <w:t>8,9</w:t>
            </w:r>
          </w:p>
        </w:tc>
      </w:tr>
    </w:tbl>
    <w:p w14:paraId="2E0204C4" w14:textId="77777777" w:rsidR="00434D5D" w:rsidRPr="0007074F" w:rsidRDefault="00434D5D" w:rsidP="00B349CD">
      <w:pPr>
        <w:spacing w:after="120" w:line="276" w:lineRule="auto"/>
        <w:rPr>
          <w:rFonts w:eastAsia="MS PGothic" w:cstheme="minorHAnsi"/>
          <w:sz w:val="16"/>
          <w:szCs w:val="16"/>
          <w:lang w:val="sr-Cyrl-CS" w:eastAsia="ja-JP"/>
        </w:rPr>
      </w:pPr>
      <w:r w:rsidRPr="0007074F">
        <w:rPr>
          <w:rFonts w:eastAsia="MS PGothic" w:cstheme="minorHAnsi"/>
          <w:sz w:val="16"/>
          <w:szCs w:val="16"/>
          <w:lang w:val="sr-Cyrl-CS" w:eastAsia="ja-JP"/>
        </w:rPr>
        <w:t>Извор: Министарство финансија, Управа за јавни дуг</w:t>
      </w:r>
    </w:p>
    <w:p w14:paraId="1E7D9870" w14:textId="77777777" w:rsidR="00434D5D" w:rsidRPr="0007074F" w:rsidRDefault="00434D5D" w:rsidP="00B349CD">
      <w:pPr>
        <w:spacing w:after="120" w:line="257" w:lineRule="auto"/>
        <w:rPr>
          <w:rFonts w:eastAsia="MS PGothic" w:cstheme="minorHAnsi"/>
          <w:sz w:val="16"/>
          <w:szCs w:val="16"/>
          <w:lang w:val="sr-Cyrl-CS" w:eastAsia="ja-JP"/>
        </w:rPr>
        <w:sectPr w:rsidR="00434D5D" w:rsidRPr="0007074F" w:rsidSect="00B349CD">
          <w:type w:val="continuous"/>
          <w:pgSz w:w="12240" w:h="15840"/>
          <w:pgMar w:top="1440" w:right="1440" w:bottom="1440" w:left="1440" w:header="720" w:footer="720" w:gutter="0"/>
          <w:cols w:space="720"/>
          <w:docGrid w:linePitch="360"/>
        </w:sectPr>
      </w:pPr>
    </w:p>
    <w:p w14:paraId="534DD43B" w14:textId="77777777" w:rsidR="00434D5D" w:rsidRPr="0007074F" w:rsidRDefault="00434D5D" w:rsidP="00B349CD">
      <w:pPr>
        <w:spacing w:after="120" w:line="257" w:lineRule="auto"/>
        <w:rPr>
          <w:rFonts w:eastAsia="MS PGothic" w:cstheme="minorHAnsi"/>
          <w:szCs w:val="20"/>
          <w:lang w:val="sr-Cyrl-CS" w:eastAsia="ja-JP"/>
        </w:rPr>
      </w:pPr>
      <w:r w:rsidRPr="0007074F">
        <w:rPr>
          <w:rFonts w:eastAsia="MS PGothic" w:cstheme="minorHAnsi"/>
          <w:szCs w:val="20"/>
          <w:lang w:val="sr-Cyrl-CS" w:eastAsia="ja-JP"/>
        </w:rPr>
        <w:t>План отплате по основу гаранција (укупно главница и камата) у Закону о буџету Републике Србије за 2023. годину износи 35,2 млрд динара, од чега се у расходе који утичу на резултат укључује 25,5 млрд динара за отплату главнице по гаранцијама.</w:t>
      </w:r>
    </w:p>
    <w:p w14:paraId="6BD3C993" w14:textId="77777777" w:rsidR="00434D5D" w:rsidRPr="0007074F" w:rsidRDefault="00434D5D" w:rsidP="00B349CD">
      <w:pPr>
        <w:spacing w:after="120" w:line="257" w:lineRule="auto"/>
        <w:rPr>
          <w:rFonts w:eastAsia="MS PGothic" w:cstheme="minorHAnsi"/>
          <w:szCs w:val="20"/>
          <w:lang w:val="sr-Cyrl-CS" w:eastAsia="ja-JP"/>
        </w:rPr>
      </w:pPr>
      <w:r w:rsidRPr="0007074F">
        <w:rPr>
          <w:rFonts w:eastAsia="MS PGothic" w:cstheme="minorHAnsi"/>
          <w:szCs w:val="20"/>
          <w:lang w:val="sr-Cyrl-CS" w:eastAsia="ja-JP"/>
        </w:rPr>
        <w:t xml:space="preserve">Индиректни дуг, те укључивање дела отплата по основу гаранција у буџетске расходе, и повећање дефицита по том основу, повећали су свест о растућим фискалним ризицима који произилазе по основу издатих гаранција. Стога су предузете активности које ограничавају издавање нових </w:t>
      </w:r>
      <w:r w:rsidRPr="0007074F">
        <w:rPr>
          <w:rFonts w:eastAsia="MS PGothic" w:cstheme="minorHAnsi"/>
          <w:szCs w:val="20"/>
          <w:lang w:val="sr-Cyrl-CS" w:eastAsia="ja-JP"/>
        </w:rPr>
        <w:lastRenderedPageBreak/>
        <w:t>гаранција. Изменама Закона о јавном дугу забрањено је издавање нових гаранција за кредите за потребе ликвидности. Изменама Закона о Фонду за развој Републике Србије онемогућено је даље давање контрагаранција за гаранције издате од стране Фонда за развој Републике Србије.</w:t>
      </w:r>
    </w:p>
    <w:p w14:paraId="36E90D0E" w14:textId="77777777" w:rsidR="00434D5D" w:rsidRPr="0007074F" w:rsidRDefault="00434D5D" w:rsidP="00B349CD">
      <w:pPr>
        <w:spacing w:after="120" w:line="257" w:lineRule="auto"/>
        <w:rPr>
          <w:rFonts w:eastAsia="MS PGothic" w:cstheme="minorHAnsi"/>
          <w:szCs w:val="20"/>
          <w:lang w:val="sr-Cyrl-CS" w:eastAsia="ja-JP"/>
        </w:rPr>
      </w:pPr>
      <w:r w:rsidRPr="0007074F">
        <w:rPr>
          <w:rFonts w:eastAsia="MS PGothic" w:cstheme="minorHAnsi"/>
          <w:szCs w:val="20"/>
          <w:lang w:val="sr-Cyrl-CS" w:eastAsia="ja-JP"/>
        </w:rPr>
        <w:t xml:space="preserve">Поред ограничења у издавању државних гаранција кључни корак у смањењу и отклањању фискалних ризика по овом основу је у реформи државних и јавних предузећа, корисника </w:t>
      </w:r>
      <w:r w:rsidRPr="0007074F">
        <w:rPr>
          <w:rFonts w:eastAsia="MS PGothic" w:cstheme="minorHAnsi"/>
          <w:szCs w:val="20"/>
          <w:lang w:val="sr-Cyrl-CS" w:eastAsia="ja-JP"/>
        </w:rPr>
        <w:t>гаранција, како би били способни да отплаћују своје кредите. Већи број предузећа, која су и највећи корисници гаранција, налазе се у процесу реструктурирања, односно спровођења планова реструктурирања урађених у сарадњи са међународним финансијским институцијама.</w:t>
      </w:r>
    </w:p>
    <w:p w14:paraId="25A6A748" w14:textId="77777777" w:rsidR="00434D5D" w:rsidRPr="0007074F" w:rsidRDefault="00434D5D" w:rsidP="00B349CD">
      <w:pPr>
        <w:spacing w:after="360" w:line="257" w:lineRule="auto"/>
        <w:rPr>
          <w:rFonts w:eastAsia="MS PGothic" w:cstheme="minorHAnsi"/>
          <w:szCs w:val="20"/>
          <w:lang w:val="sr-Cyrl-CS" w:eastAsia="ja-JP"/>
        </w:rPr>
      </w:pPr>
      <w:r w:rsidRPr="0007074F">
        <w:rPr>
          <w:rFonts w:eastAsia="MS PGothic" w:cstheme="minorHAnsi"/>
          <w:szCs w:val="20"/>
          <w:lang w:val="sr-Cyrl-CS" w:eastAsia="ja-JP"/>
        </w:rPr>
        <w:t>Законом о буџету Републике Србије за 2023. годину планирано је издавање гаранција за капиталне инвестиције највише до 272 млрд динара и то за кредите намењене реализацији енергетских пројеката.</w:t>
      </w:r>
    </w:p>
    <w:p w14:paraId="056C3CCB" w14:textId="77777777" w:rsidR="00434D5D" w:rsidRPr="0007074F" w:rsidRDefault="00434D5D" w:rsidP="00B349CD">
      <w:pPr>
        <w:rPr>
          <w:lang w:val="sr-Cyrl-CS" w:eastAsia="ja-JP"/>
        </w:rPr>
        <w:sectPr w:rsidR="00434D5D" w:rsidRPr="0007074F" w:rsidSect="00B349CD">
          <w:type w:val="continuous"/>
          <w:pgSz w:w="12240" w:h="15840"/>
          <w:pgMar w:top="1440" w:right="1440" w:bottom="1440" w:left="1440" w:header="720" w:footer="720" w:gutter="0"/>
          <w:cols w:num="2" w:space="720"/>
          <w:docGrid w:linePitch="360"/>
        </w:sectPr>
      </w:pPr>
    </w:p>
    <w:p w14:paraId="2464DDBD" w14:textId="77777777" w:rsidR="00434D5D" w:rsidRPr="0007074F" w:rsidRDefault="00434D5D" w:rsidP="00B349CD">
      <w:pPr>
        <w:spacing w:after="60" w:line="276" w:lineRule="auto"/>
        <w:jc w:val="center"/>
        <w:rPr>
          <w:rFonts w:eastAsia="MS PGothic" w:cstheme="minorHAnsi"/>
          <w:b/>
          <w:color w:val="002060"/>
          <w:szCs w:val="20"/>
          <w:lang w:val="sr-Cyrl-CS" w:eastAsia="ja-JP"/>
        </w:rPr>
      </w:pPr>
      <w:r w:rsidRPr="0007074F">
        <w:rPr>
          <w:rFonts w:eastAsia="MS PGothic" w:cstheme="minorHAnsi"/>
          <w:b/>
          <w:color w:val="002060"/>
          <w:szCs w:val="20"/>
          <w:lang w:val="sr-Cyrl-CS" w:eastAsia="ja-JP"/>
        </w:rPr>
        <w:t>Табела 14. План издавања гаранција у 2023. години</w:t>
      </w:r>
      <w:r w:rsidRPr="0007074F">
        <w:rPr>
          <w:lang w:val="sr-Cyrl-CS" w:eastAsia="ja-JP"/>
        </w:rPr>
        <w:fldChar w:fldCharType="begin"/>
      </w:r>
      <w:r w:rsidRPr="0007074F">
        <w:rPr>
          <w:lang w:val="sr-Cyrl-CS" w:eastAsia="ja-JP"/>
        </w:rPr>
        <w:instrText xml:space="preserve"> LINK Excel.Sheet.12 "C:\\Users\\ana.ocokoljic\\Desktop\\Фискална стратегија 2023\\FS draft.xlsx" "Табела 14.!R4C2:R37C6" \a \f 4 \h  \* MERGEFORMAT </w:instrText>
      </w:r>
      <w:r w:rsidRPr="0007074F">
        <w:rPr>
          <w:lang w:val="sr-Cyrl-CS" w:eastAsia="ja-JP"/>
        </w:rPr>
        <w:fldChar w:fldCharType="separate"/>
      </w:r>
    </w:p>
    <w:tbl>
      <w:tblPr>
        <w:tblW w:w="9640" w:type="dxa"/>
        <w:tblLook w:val="04A0" w:firstRow="1" w:lastRow="0" w:firstColumn="1" w:lastColumn="0" w:noHBand="0" w:noVBand="1"/>
      </w:tblPr>
      <w:tblGrid>
        <w:gridCol w:w="660"/>
        <w:gridCol w:w="4240"/>
        <w:gridCol w:w="1600"/>
        <w:gridCol w:w="1360"/>
        <w:gridCol w:w="1780"/>
      </w:tblGrid>
      <w:tr w:rsidR="00434D5D" w:rsidRPr="0007074F" w14:paraId="4ED23502" w14:textId="77777777" w:rsidTr="00B349CD">
        <w:trPr>
          <w:trHeight w:val="630"/>
        </w:trPr>
        <w:tc>
          <w:tcPr>
            <w:tcW w:w="660" w:type="dxa"/>
            <w:tcBorders>
              <w:top w:val="single" w:sz="8" w:space="0" w:color="203764"/>
              <w:left w:val="nil"/>
              <w:bottom w:val="single" w:sz="8" w:space="0" w:color="203764"/>
              <w:right w:val="nil"/>
            </w:tcBorders>
            <w:shd w:val="clear" w:color="000000" w:fill="FFFFFF"/>
            <w:vAlign w:val="center"/>
            <w:hideMark/>
          </w:tcPr>
          <w:p w14:paraId="4C9B52A8"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Ред. број</w:t>
            </w:r>
          </w:p>
        </w:tc>
        <w:tc>
          <w:tcPr>
            <w:tcW w:w="4240" w:type="dxa"/>
            <w:tcBorders>
              <w:top w:val="single" w:sz="8" w:space="0" w:color="203764"/>
              <w:left w:val="nil"/>
              <w:bottom w:val="single" w:sz="8" w:space="0" w:color="203764"/>
              <w:right w:val="nil"/>
            </w:tcBorders>
            <w:shd w:val="clear" w:color="000000" w:fill="FFFFFF"/>
            <w:vAlign w:val="center"/>
            <w:hideMark/>
          </w:tcPr>
          <w:p w14:paraId="7DBEDD4E"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 </w:t>
            </w:r>
          </w:p>
        </w:tc>
        <w:tc>
          <w:tcPr>
            <w:tcW w:w="1600" w:type="dxa"/>
            <w:tcBorders>
              <w:top w:val="single" w:sz="8" w:space="0" w:color="203764"/>
              <w:left w:val="nil"/>
              <w:bottom w:val="single" w:sz="8" w:space="0" w:color="203764"/>
              <w:right w:val="nil"/>
            </w:tcBorders>
            <w:shd w:val="clear" w:color="000000" w:fill="FFFFFF"/>
            <w:vAlign w:val="center"/>
            <w:hideMark/>
          </w:tcPr>
          <w:p w14:paraId="1E3CF738"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Износ у динарима</w:t>
            </w:r>
          </w:p>
        </w:tc>
        <w:tc>
          <w:tcPr>
            <w:tcW w:w="1360" w:type="dxa"/>
            <w:tcBorders>
              <w:top w:val="single" w:sz="8" w:space="0" w:color="203764"/>
              <w:left w:val="nil"/>
              <w:bottom w:val="single" w:sz="8" w:space="0" w:color="203764"/>
              <w:right w:val="nil"/>
            </w:tcBorders>
            <w:shd w:val="clear" w:color="000000" w:fill="FFFFFF"/>
            <w:vAlign w:val="center"/>
            <w:hideMark/>
          </w:tcPr>
          <w:p w14:paraId="23E4D8D1"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Оригинална валута</w:t>
            </w:r>
          </w:p>
        </w:tc>
        <w:tc>
          <w:tcPr>
            <w:tcW w:w="1780" w:type="dxa"/>
            <w:tcBorders>
              <w:top w:val="single" w:sz="8" w:space="0" w:color="203764"/>
              <w:left w:val="nil"/>
              <w:bottom w:val="single" w:sz="8" w:space="0" w:color="203764"/>
              <w:right w:val="nil"/>
            </w:tcBorders>
            <w:shd w:val="clear" w:color="000000" w:fill="FFFFFF"/>
            <w:vAlign w:val="center"/>
            <w:hideMark/>
          </w:tcPr>
          <w:p w14:paraId="1D5E899E"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Износ у оригиналној валути</w:t>
            </w:r>
          </w:p>
        </w:tc>
      </w:tr>
      <w:tr w:rsidR="00434D5D" w:rsidRPr="0007074F" w14:paraId="6C2AAA99" w14:textId="77777777" w:rsidTr="00B349CD">
        <w:trPr>
          <w:trHeight w:val="405"/>
        </w:trPr>
        <w:tc>
          <w:tcPr>
            <w:tcW w:w="660" w:type="dxa"/>
            <w:tcBorders>
              <w:top w:val="nil"/>
              <w:left w:val="nil"/>
              <w:bottom w:val="nil"/>
              <w:right w:val="nil"/>
            </w:tcBorders>
            <w:shd w:val="clear" w:color="000000" w:fill="E7E6E6"/>
            <w:vAlign w:val="center"/>
            <w:hideMark/>
          </w:tcPr>
          <w:p w14:paraId="714879EC"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I.</w:t>
            </w:r>
          </w:p>
        </w:tc>
        <w:tc>
          <w:tcPr>
            <w:tcW w:w="4240" w:type="dxa"/>
            <w:tcBorders>
              <w:top w:val="nil"/>
              <w:left w:val="nil"/>
              <w:bottom w:val="nil"/>
              <w:right w:val="nil"/>
            </w:tcBorders>
            <w:shd w:val="clear" w:color="000000" w:fill="E7E6E6"/>
            <w:vAlign w:val="center"/>
            <w:hideMark/>
          </w:tcPr>
          <w:p w14:paraId="047A37AB"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Европској банци за обнову и развој</w:t>
            </w:r>
          </w:p>
        </w:tc>
        <w:tc>
          <w:tcPr>
            <w:tcW w:w="1600" w:type="dxa"/>
            <w:tcBorders>
              <w:top w:val="nil"/>
              <w:left w:val="nil"/>
              <w:bottom w:val="nil"/>
              <w:right w:val="nil"/>
            </w:tcBorders>
            <w:shd w:val="clear" w:color="000000" w:fill="E7E6E6"/>
            <w:vAlign w:val="center"/>
            <w:hideMark/>
          </w:tcPr>
          <w:p w14:paraId="5FB64202"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 </w:t>
            </w:r>
          </w:p>
        </w:tc>
        <w:tc>
          <w:tcPr>
            <w:tcW w:w="1360" w:type="dxa"/>
            <w:tcBorders>
              <w:top w:val="nil"/>
              <w:left w:val="nil"/>
              <w:bottom w:val="nil"/>
              <w:right w:val="nil"/>
            </w:tcBorders>
            <w:shd w:val="clear" w:color="000000" w:fill="E7E6E6"/>
            <w:vAlign w:val="center"/>
            <w:hideMark/>
          </w:tcPr>
          <w:p w14:paraId="6E0F2AFA"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 </w:t>
            </w:r>
          </w:p>
        </w:tc>
        <w:tc>
          <w:tcPr>
            <w:tcW w:w="1780" w:type="dxa"/>
            <w:tcBorders>
              <w:top w:val="nil"/>
              <w:left w:val="nil"/>
              <w:bottom w:val="nil"/>
              <w:right w:val="nil"/>
            </w:tcBorders>
            <w:shd w:val="clear" w:color="000000" w:fill="E7E6E6"/>
            <w:vAlign w:val="center"/>
            <w:hideMark/>
          </w:tcPr>
          <w:p w14:paraId="56F0BA5F"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 </w:t>
            </w:r>
          </w:p>
        </w:tc>
      </w:tr>
      <w:tr w:rsidR="00434D5D" w:rsidRPr="0007074F" w14:paraId="7FF71DAA" w14:textId="77777777" w:rsidTr="00B349CD">
        <w:trPr>
          <w:trHeight w:val="1020"/>
        </w:trPr>
        <w:tc>
          <w:tcPr>
            <w:tcW w:w="660" w:type="dxa"/>
            <w:tcBorders>
              <w:top w:val="nil"/>
              <w:left w:val="nil"/>
              <w:bottom w:val="nil"/>
              <w:right w:val="nil"/>
            </w:tcBorders>
            <w:shd w:val="clear" w:color="000000" w:fill="FFFFFF"/>
            <w:vAlign w:val="center"/>
            <w:hideMark/>
          </w:tcPr>
          <w:p w14:paraId="3BDF927D"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1. </w:t>
            </w:r>
          </w:p>
        </w:tc>
        <w:tc>
          <w:tcPr>
            <w:tcW w:w="4240" w:type="dxa"/>
            <w:tcBorders>
              <w:top w:val="nil"/>
              <w:left w:val="nil"/>
              <w:bottom w:val="nil"/>
              <w:right w:val="nil"/>
            </w:tcBorders>
            <w:shd w:val="clear" w:color="000000" w:fill="FFFFFF"/>
            <w:vAlign w:val="center"/>
            <w:hideMark/>
          </w:tcPr>
          <w:p w14:paraId="0B039643"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Акционарско друштво за железнички превоз путника „Србија Воз”, Београд - Реконструкција и модернизација регионалних депоа </w:t>
            </w:r>
          </w:p>
        </w:tc>
        <w:tc>
          <w:tcPr>
            <w:tcW w:w="1600" w:type="dxa"/>
            <w:tcBorders>
              <w:top w:val="nil"/>
              <w:left w:val="nil"/>
              <w:bottom w:val="nil"/>
              <w:right w:val="nil"/>
            </w:tcBorders>
            <w:shd w:val="clear" w:color="000000" w:fill="FFFFFF"/>
            <w:vAlign w:val="center"/>
            <w:hideMark/>
          </w:tcPr>
          <w:p w14:paraId="23A83B71"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2.952.500.000</w:t>
            </w:r>
          </w:p>
        </w:tc>
        <w:tc>
          <w:tcPr>
            <w:tcW w:w="1360" w:type="dxa"/>
            <w:tcBorders>
              <w:top w:val="nil"/>
              <w:left w:val="nil"/>
              <w:bottom w:val="nil"/>
              <w:right w:val="nil"/>
            </w:tcBorders>
            <w:shd w:val="clear" w:color="000000" w:fill="FFFFFF"/>
            <w:vAlign w:val="center"/>
            <w:hideMark/>
          </w:tcPr>
          <w:p w14:paraId="07FD333F"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17A3BF85"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25.000.000</w:t>
            </w:r>
          </w:p>
        </w:tc>
      </w:tr>
      <w:tr w:rsidR="00434D5D" w:rsidRPr="0007074F" w14:paraId="4C795216" w14:textId="77777777" w:rsidTr="00B349CD">
        <w:trPr>
          <w:trHeight w:val="765"/>
        </w:trPr>
        <w:tc>
          <w:tcPr>
            <w:tcW w:w="660" w:type="dxa"/>
            <w:tcBorders>
              <w:top w:val="nil"/>
              <w:left w:val="nil"/>
              <w:bottom w:val="nil"/>
              <w:right w:val="nil"/>
            </w:tcBorders>
            <w:shd w:val="clear" w:color="000000" w:fill="FFFFFF"/>
            <w:vAlign w:val="center"/>
            <w:hideMark/>
          </w:tcPr>
          <w:p w14:paraId="463A067B"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2. </w:t>
            </w:r>
          </w:p>
        </w:tc>
        <w:tc>
          <w:tcPr>
            <w:tcW w:w="4240" w:type="dxa"/>
            <w:tcBorders>
              <w:top w:val="nil"/>
              <w:left w:val="nil"/>
              <w:bottom w:val="nil"/>
              <w:right w:val="nil"/>
            </w:tcBorders>
            <w:shd w:val="clear" w:color="000000" w:fill="FFFFFF"/>
            <w:vAlign w:val="center"/>
            <w:hideMark/>
          </w:tcPr>
          <w:p w14:paraId="3B17831C"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Акционарско друштво за железнички превоз робе „Србија Карго”, Београд - Набавка и реконструкција возних средстава </w:t>
            </w:r>
          </w:p>
        </w:tc>
        <w:tc>
          <w:tcPr>
            <w:tcW w:w="1600" w:type="dxa"/>
            <w:tcBorders>
              <w:top w:val="nil"/>
              <w:left w:val="nil"/>
              <w:bottom w:val="nil"/>
              <w:right w:val="nil"/>
            </w:tcBorders>
            <w:shd w:val="clear" w:color="000000" w:fill="FFFFFF"/>
            <w:vAlign w:val="center"/>
            <w:hideMark/>
          </w:tcPr>
          <w:p w14:paraId="100DAEA1"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5.078.300.000</w:t>
            </w:r>
          </w:p>
        </w:tc>
        <w:tc>
          <w:tcPr>
            <w:tcW w:w="1360" w:type="dxa"/>
            <w:tcBorders>
              <w:top w:val="nil"/>
              <w:left w:val="nil"/>
              <w:bottom w:val="nil"/>
              <w:right w:val="nil"/>
            </w:tcBorders>
            <w:shd w:val="clear" w:color="000000" w:fill="FFFFFF"/>
            <w:vAlign w:val="center"/>
            <w:hideMark/>
          </w:tcPr>
          <w:p w14:paraId="77F107B7"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74C1DE47"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43.000.000</w:t>
            </w:r>
          </w:p>
        </w:tc>
      </w:tr>
      <w:tr w:rsidR="00434D5D" w:rsidRPr="0007074F" w14:paraId="0A6CC5BD" w14:textId="77777777" w:rsidTr="00B349CD">
        <w:trPr>
          <w:trHeight w:val="300"/>
        </w:trPr>
        <w:tc>
          <w:tcPr>
            <w:tcW w:w="660" w:type="dxa"/>
            <w:tcBorders>
              <w:top w:val="nil"/>
              <w:left w:val="nil"/>
              <w:bottom w:val="nil"/>
              <w:right w:val="nil"/>
            </w:tcBorders>
            <w:shd w:val="clear" w:color="000000" w:fill="FFFFFF"/>
            <w:vAlign w:val="center"/>
            <w:hideMark/>
          </w:tcPr>
          <w:p w14:paraId="654EFF6A"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4240" w:type="dxa"/>
            <w:tcBorders>
              <w:top w:val="nil"/>
              <w:left w:val="nil"/>
              <w:bottom w:val="nil"/>
              <w:right w:val="nil"/>
            </w:tcBorders>
            <w:shd w:val="clear" w:color="000000" w:fill="FFFFFF"/>
            <w:vAlign w:val="center"/>
            <w:hideMark/>
          </w:tcPr>
          <w:p w14:paraId="22A97527"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Укупно:</w:t>
            </w:r>
          </w:p>
        </w:tc>
        <w:tc>
          <w:tcPr>
            <w:tcW w:w="1600" w:type="dxa"/>
            <w:tcBorders>
              <w:top w:val="nil"/>
              <w:left w:val="nil"/>
              <w:bottom w:val="nil"/>
              <w:right w:val="nil"/>
            </w:tcBorders>
            <w:shd w:val="clear" w:color="000000" w:fill="FFFFFF"/>
            <w:vAlign w:val="center"/>
            <w:hideMark/>
          </w:tcPr>
          <w:p w14:paraId="5A00255E"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8.030.800.000</w:t>
            </w:r>
          </w:p>
        </w:tc>
        <w:tc>
          <w:tcPr>
            <w:tcW w:w="1360" w:type="dxa"/>
            <w:tcBorders>
              <w:top w:val="nil"/>
              <w:left w:val="nil"/>
              <w:bottom w:val="nil"/>
              <w:right w:val="nil"/>
            </w:tcBorders>
            <w:shd w:val="clear" w:color="000000" w:fill="FFFFFF"/>
            <w:vAlign w:val="center"/>
            <w:hideMark/>
          </w:tcPr>
          <w:p w14:paraId="52A67CEF"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EUR</w:t>
            </w:r>
          </w:p>
        </w:tc>
        <w:tc>
          <w:tcPr>
            <w:tcW w:w="1780" w:type="dxa"/>
            <w:tcBorders>
              <w:top w:val="nil"/>
              <w:left w:val="nil"/>
              <w:bottom w:val="nil"/>
              <w:right w:val="nil"/>
            </w:tcBorders>
            <w:shd w:val="clear" w:color="000000" w:fill="FFFFFF"/>
            <w:vAlign w:val="center"/>
            <w:hideMark/>
          </w:tcPr>
          <w:p w14:paraId="5813CB58"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68.000.000</w:t>
            </w:r>
          </w:p>
        </w:tc>
      </w:tr>
      <w:tr w:rsidR="00434D5D" w:rsidRPr="0007074F" w14:paraId="24D30E21" w14:textId="77777777" w:rsidTr="00B349CD">
        <w:trPr>
          <w:trHeight w:val="300"/>
        </w:trPr>
        <w:tc>
          <w:tcPr>
            <w:tcW w:w="660" w:type="dxa"/>
            <w:tcBorders>
              <w:top w:val="nil"/>
              <w:left w:val="nil"/>
              <w:bottom w:val="nil"/>
              <w:right w:val="nil"/>
            </w:tcBorders>
            <w:shd w:val="clear" w:color="000000" w:fill="E7E6E6"/>
            <w:vAlign w:val="center"/>
            <w:hideMark/>
          </w:tcPr>
          <w:p w14:paraId="09EAA42D"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II.</w:t>
            </w:r>
          </w:p>
        </w:tc>
        <w:tc>
          <w:tcPr>
            <w:tcW w:w="4240" w:type="dxa"/>
            <w:tcBorders>
              <w:top w:val="nil"/>
              <w:left w:val="nil"/>
              <w:bottom w:val="nil"/>
              <w:right w:val="nil"/>
            </w:tcBorders>
            <w:shd w:val="clear" w:color="000000" w:fill="E7E6E6"/>
            <w:vAlign w:val="center"/>
            <w:hideMark/>
          </w:tcPr>
          <w:p w14:paraId="09A914E3"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Немачкој развојној банци (KfW)</w:t>
            </w:r>
          </w:p>
        </w:tc>
        <w:tc>
          <w:tcPr>
            <w:tcW w:w="1600" w:type="dxa"/>
            <w:tcBorders>
              <w:top w:val="nil"/>
              <w:left w:val="nil"/>
              <w:bottom w:val="nil"/>
              <w:right w:val="nil"/>
            </w:tcBorders>
            <w:shd w:val="clear" w:color="000000" w:fill="E7E6E6"/>
            <w:vAlign w:val="center"/>
            <w:hideMark/>
          </w:tcPr>
          <w:p w14:paraId="36930755"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 </w:t>
            </w:r>
          </w:p>
        </w:tc>
        <w:tc>
          <w:tcPr>
            <w:tcW w:w="1360" w:type="dxa"/>
            <w:tcBorders>
              <w:top w:val="nil"/>
              <w:left w:val="nil"/>
              <w:bottom w:val="nil"/>
              <w:right w:val="nil"/>
            </w:tcBorders>
            <w:shd w:val="clear" w:color="000000" w:fill="E7E6E6"/>
            <w:vAlign w:val="center"/>
            <w:hideMark/>
          </w:tcPr>
          <w:p w14:paraId="418D0A91"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 </w:t>
            </w:r>
          </w:p>
        </w:tc>
        <w:tc>
          <w:tcPr>
            <w:tcW w:w="1780" w:type="dxa"/>
            <w:tcBorders>
              <w:top w:val="nil"/>
              <w:left w:val="nil"/>
              <w:bottom w:val="nil"/>
              <w:right w:val="nil"/>
            </w:tcBorders>
            <w:shd w:val="clear" w:color="000000" w:fill="E7E6E6"/>
            <w:vAlign w:val="center"/>
            <w:hideMark/>
          </w:tcPr>
          <w:p w14:paraId="5ADB297A"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 </w:t>
            </w:r>
          </w:p>
        </w:tc>
      </w:tr>
      <w:tr w:rsidR="00434D5D" w:rsidRPr="0007074F" w14:paraId="5516D99D" w14:textId="77777777" w:rsidTr="00B349CD">
        <w:trPr>
          <w:trHeight w:val="1020"/>
        </w:trPr>
        <w:tc>
          <w:tcPr>
            <w:tcW w:w="660" w:type="dxa"/>
            <w:tcBorders>
              <w:top w:val="nil"/>
              <w:left w:val="nil"/>
              <w:bottom w:val="nil"/>
              <w:right w:val="nil"/>
            </w:tcBorders>
            <w:shd w:val="clear" w:color="000000" w:fill="FFFFFF"/>
            <w:vAlign w:val="center"/>
            <w:hideMark/>
          </w:tcPr>
          <w:p w14:paraId="4FD1D58A"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w:t>
            </w:r>
          </w:p>
        </w:tc>
        <w:tc>
          <w:tcPr>
            <w:tcW w:w="4240" w:type="dxa"/>
            <w:tcBorders>
              <w:top w:val="nil"/>
              <w:left w:val="nil"/>
              <w:bottom w:val="nil"/>
              <w:right w:val="nil"/>
            </w:tcBorders>
            <w:shd w:val="clear" w:color="000000" w:fill="FFFFFF"/>
            <w:vAlign w:val="center"/>
            <w:hideMark/>
          </w:tcPr>
          <w:p w14:paraId="3FF9E8E6"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АД „Електромрежа Србије” - Трансбалкански коридор, секција 4 - 2x400 kV ТС Бајина Башта - државна граница Црне Горе и државна граница БиХ</w:t>
            </w:r>
          </w:p>
        </w:tc>
        <w:tc>
          <w:tcPr>
            <w:tcW w:w="1600" w:type="dxa"/>
            <w:tcBorders>
              <w:top w:val="nil"/>
              <w:left w:val="nil"/>
              <w:bottom w:val="nil"/>
              <w:right w:val="nil"/>
            </w:tcBorders>
            <w:shd w:val="clear" w:color="000000" w:fill="FFFFFF"/>
            <w:vAlign w:val="center"/>
            <w:hideMark/>
          </w:tcPr>
          <w:p w14:paraId="71688A41"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3.543.000.000</w:t>
            </w:r>
          </w:p>
        </w:tc>
        <w:tc>
          <w:tcPr>
            <w:tcW w:w="1360" w:type="dxa"/>
            <w:tcBorders>
              <w:top w:val="nil"/>
              <w:left w:val="nil"/>
              <w:bottom w:val="nil"/>
              <w:right w:val="nil"/>
            </w:tcBorders>
            <w:shd w:val="clear" w:color="000000" w:fill="FFFFFF"/>
            <w:vAlign w:val="center"/>
            <w:hideMark/>
          </w:tcPr>
          <w:p w14:paraId="528CE37C"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02000044"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30.000.000</w:t>
            </w:r>
          </w:p>
        </w:tc>
      </w:tr>
      <w:tr w:rsidR="00434D5D" w:rsidRPr="0007074F" w14:paraId="4D5BF506" w14:textId="77777777" w:rsidTr="00B349CD">
        <w:trPr>
          <w:trHeight w:val="510"/>
        </w:trPr>
        <w:tc>
          <w:tcPr>
            <w:tcW w:w="660" w:type="dxa"/>
            <w:tcBorders>
              <w:top w:val="nil"/>
              <w:left w:val="nil"/>
              <w:bottom w:val="nil"/>
              <w:right w:val="nil"/>
            </w:tcBorders>
            <w:shd w:val="clear" w:color="000000" w:fill="FFFFFF"/>
            <w:vAlign w:val="center"/>
            <w:hideMark/>
          </w:tcPr>
          <w:p w14:paraId="68A73C9E"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2.</w:t>
            </w:r>
          </w:p>
        </w:tc>
        <w:tc>
          <w:tcPr>
            <w:tcW w:w="4240" w:type="dxa"/>
            <w:tcBorders>
              <w:top w:val="nil"/>
              <w:left w:val="nil"/>
              <w:bottom w:val="nil"/>
              <w:right w:val="nil"/>
            </w:tcBorders>
            <w:shd w:val="clear" w:color="000000" w:fill="FFFFFF"/>
            <w:vAlign w:val="center"/>
            <w:hideMark/>
          </w:tcPr>
          <w:p w14:paraId="72CD6F68"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АД „Електромрежа Србије” - Енергетска ефикасност у преносним системима </w:t>
            </w:r>
          </w:p>
        </w:tc>
        <w:tc>
          <w:tcPr>
            <w:tcW w:w="1600" w:type="dxa"/>
            <w:tcBorders>
              <w:top w:val="nil"/>
              <w:left w:val="nil"/>
              <w:bottom w:val="nil"/>
              <w:right w:val="nil"/>
            </w:tcBorders>
            <w:shd w:val="clear" w:color="000000" w:fill="FFFFFF"/>
            <w:vAlign w:val="center"/>
            <w:hideMark/>
          </w:tcPr>
          <w:p w14:paraId="4E37EC34"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4.133.500.000</w:t>
            </w:r>
          </w:p>
        </w:tc>
        <w:tc>
          <w:tcPr>
            <w:tcW w:w="1360" w:type="dxa"/>
            <w:tcBorders>
              <w:top w:val="nil"/>
              <w:left w:val="nil"/>
              <w:bottom w:val="nil"/>
              <w:right w:val="nil"/>
            </w:tcBorders>
            <w:shd w:val="clear" w:color="000000" w:fill="FFFFFF"/>
            <w:vAlign w:val="center"/>
            <w:hideMark/>
          </w:tcPr>
          <w:p w14:paraId="526D77CF"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4C9A0FC6"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35.000.000</w:t>
            </w:r>
          </w:p>
        </w:tc>
      </w:tr>
      <w:tr w:rsidR="00434D5D" w:rsidRPr="0007074F" w14:paraId="2439DBC3" w14:textId="77777777" w:rsidTr="00B349CD">
        <w:trPr>
          <w:trHeight w:val="510"/>
        </w:trPr>
        <w:tc>
          <w:tcPr>
            <w:tcW w:w="660" w:type="dxa"/>
            <w:tcBorders>
              <w:top w:val="nil"/>
              <w:left w:val="nil"/>
              <w:bottom w:val="nil"/>
              <w:right w:val="nil"/>
            </w:tcBorders>
            <w:shd w:val="clear" w:color="000000" w:fill="FFFFFF"/>
            <w:vAlign w:val="center"/>
            <w:hideMark/>
          </w:tcPr>
          <w:p w14:paraId="5BD3B5B4"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3.</w:t>
            </w:r>
          </w:p>
        </w:tc>
        <w:tc>
          <w:tcPr>
            <w:tcW w:w="4240" w:type="dxa"/>
            <w:tcBorders>
              <w:top w:val="nil"/>
              <w:left w:val="nil"/>
              <w:bottom w:val="nil"/>
              <w:right w:val="nil"/>
            </w:tcBorders>
            <w:shd w:val="clear" w:color="000000" w:fill="FFFFFF"/>
            <w:vAlign w:val="center"/>
            <w:hideMark/>
          </w:tcPr>
          <w:p w14:paraId="63EEA204" w14:textId="1903394B"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„Електропривреда Србије”</w:t>
            </w:r>
            <w:r w:rsidR="00267FEF" w:rsidRPr="0007074F">
              <w:rPr>
                <w:rFonts w:ascii="Calibri" w:eastAsia="Times New Roman" w:hAnsi="Calibri" w:cs="Calibri"/>
                <w:color w:val="203764"/>
                <w:szCs w:val="20"/>
                <w:lang w:val="sr-Cyrl-CS"/>
              </w:rPr>
              <w:t>АД</w:t>
            </w:r>
            <w:r w:rsidRPr="0007074F">
              <w:rPr>
                <w:rFonts w:ascii="Calibri" w:eastAsia="Times New Roman" w:hAnsi="Calibri" w:cs="Calibri"/>
                <w:color w:val="203764"/>
                <w:szCs w:val="20"/>
                <w:lang w:val="sr-Cyrl-CS"/>
              </w:rPr>
              <w:t xml:space="preserve"> - Ветропарк Костолац 1</w:t>
            </w:r>
          </w:p>
        </w:tc>
        <w:tc>
          <w:tcPr>
            <w:tcW w:w="1600" w:type="dxa"/>
            <w:tcBorders>
              <w:top w:val="nil"/>
              <w:left w:val="nil"/>
              <w:bottom w:val="nil"/>
              <w:right w:val="nil"/>
            </w:tcBorders>
            <w:shd w:val="clear" w:color="000000" w:fill="FFFFFF"/>
            <w:vAlign w:val="center"/>
            <w:hideMark/>
          </w:tcPr>
          <w:p w14:paraId="54CA554F"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3.543.000.000</w:t>
            </w:r>
          </w:p>
        </w:tc>
        <w:tc>
          <w:tcPr>
            <w:tcW w:w="1360" w:type="dxa"/>
            <w:tcBorders>
              <w:top w:val="nil"/>
              <w:left w:val="nil"/>
              <w:bottom w:val="nil"/>
              <w:right w:val="nil"/>
            </w:tcBorders>
            <w:shd w:val="clear" w:color="000000" w:fill="FFFFFF"/>
            <w:vAlign w:val="center"/>
            <w:hideMark/>
          </w:tcPr>
          <w:p w14:paraId="71379A14"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7D1EDE0F"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30.000.000</w:t>
            </w:r>
          </w:p>
        </w:tc>
      </w:tr>
      <w:tr w:rsidR="00434D5D" w:rsidRPr="0007074F" w14:paraId="75885412" w14:textId="77777777" w:rsidTr="00B349CD">
        <w:trPr>
          <w:trHeight w:val="300"/>
        </w:trPr>
        <w:tc>
          <w:tcPr>
            <w:tcW w:w="660" w:type="dxa"/>
            <w:tcBorders>
              <w:top w:val="nil"/>
              <w:left w:val="nil"/>
              <w:bottom w:val="nil"/>
              <w:right w:val="nil"/>
            </w:tcBorders>
            <w:shd w:val="clear" w:color="000000" w:fill="FFFFFF"/>
            <w:vAlign w:val="center"/>
            <w:hideMark/>
          </w:tcPr>
          <w:p w14:paraId="5AB09A7C"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4240" w:type="dxa"/>
            <w:tcBorders>
              <w:top w:val="nil"/>
              <w:left w:val="nil"/>
              <w:bottom w:val="nil"/>
              <w:right w:val="nil"/>
            </w:tcBorders>
            <w:shd w:val="clear" w:color="000000" w:fill="FFFFFF"/>
            <w:vAlign w:val="center"/>
            <w:hideMark/>
          </w:tcPr>
          <w:p w14:paraId="44236E4C"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Укупно:</w:t>
            </w:r>
          </w:p>
        </w:tc>
        <w:tc>
          <w:tcPr>
            <w:tcW w:w="1600" w:type="dxa"/>
            <w:tcBorders>
              <w:top w:val="nil"/>
              <w:left w:val="nil"/>
              <w:bottom w:val="nil"/>
              <w:right w:val="nil"/>
            </w:tcBorders>
            <w:shd w:val="clear" w:color="000000" w:fill="FFFFFF"/>
            <w:vAlign w:val="center"/>
            <w:hideMark/>
          </w:tcPr>
          <w:p w14:paraId="1E4B3EFD"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11.219.500.000</w:t>
            </w:r>
          </w:p>
        </w:tc>
        <w:tc>
          <w:tcPr>
            <w:tcW w:w="1360" w:type="dxa"/>
            <w:tcBorders>
              <w:top w:val="nil"/>
              <w:left w:val="nil"/>
              <w:bottom w:val="nil"/>
              <w:right w:val="nil"/>
            </w:tcBorders>
            <w:shd w:val="clear" w:color="000000" w:fill="FFFFFF"/>
            <w:vAlign w:val="center"/>
            <w:hideMark/>
          </w:tcPr>
          <w:p w14:paraId="47BC4088"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EUR</w:t>
            </w:r>
          </w:p>
        </w:tc>
        <w:tc>
          <w:tcPr>
            <w:tcW w:w="1780" w:type="dxa"/>
            <w:tcBorders>
              <w:top w:val="nil"/>
              <w:left w:val="nil"/>
              <w:bottom w:val="nil"/>
              <w:right w:val="nil"/>
            </w:tcBorders>
            <w:shd w:val="clear" w:color="000000" w:fill="FFFFFF"/>
            <w:vAlign w:val="center"/>
            <w:hideMark/>
          </w:tcPr>
          <w:p w14:paraId="1C048C55"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95.000.000</w:t>
            </w:r>
          </w:p>
        </w:tc>
      </w:tr>
      <w:tr w:rsidR="00434D5D" w:rsidRPr="0007074F" w14:paraId="1F6D946A" w14:textId="77777777" w:rsidTr="00B349CD">
        <w:trPr>
          <w:trHeight w:val="300"/>
        </w:trPr>
        <w:tc>
          <w:tcPr>
            <w:tcW w:w="660" w:type="dxa"/>
            <w:tcBorders>
              <w:top w:val="nil"/>
              <w:left w:val="nil"/>
              <w:bottom w:val="nil"/>
              <w:right w:val="nil"/>
            </w:tcBorders>
            <w:shd w:val="clear" w:color="000000" w:fill="E7E6E6"/>
            <w:vAlign w:val="center"/>
            <w:hideMark/>
          </w:tcPr>
          <w:p w14:paraId="0A0E236A"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III.</w:t>
            </w:r>
          </w:p>
        </w:tc>
        <w:tc>
          <w:tcPr>
            <w:tcW w:w="4240" w:type="dxa"/>
            <w:tcBorders>
              <w:top w:val="nil"/>
              <w:left w:val="nil"/>
              <w:bottom w:val="nil"/>
              <w:right w:val="nil"/>
            </w:tcBorders>
            <w:shd w:val="clear" w:color="000000" w:fill="E7E6E6"/>
            <w:vAlign w:val="center"/>
            <w:hideMark/>
          </w:tcPr>
          <w:p w14:paraId="5B714A23"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Домаћим и страним пословним банкама</w:t>
            </w:r>
          </w:p>
        </w:tc>
        <w:tc>
          <w:tcPr>
            <w:tcW w:w="1600" w:type="dxa"/>
            <w:tcBorders>
              <w:top w:val="nil"/>
              <w:left w:val="nil"/>
              <w:bottom w:val="nil"/>
              <w:right w:val="nil"/>
            </w:tcBorders>
            <w:shd w:val="clear" w:color="000000" w:fill="E7E6E6"/>
            <w:vAlign w:val="center"/>
            <w:hideMark/>
          </w:tcPr>
          <w:p w14:paraId="2435F623"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1360" w:type="dxa"/>
            <w:tcBorders>
              <w:top w:val="nil"/>
              <w:left w:val="nil"/>
              <w:bottom w:val="nil"/>
              <w:right w:val="nil"/>
            </w:tcBorders>
            <w:shd w:val="clear" w:color="000000" w:fill="E7E6E6"/>
            <w:vAlign w:val="center"/>
            <w:hideMark/>
          </w:tcPr>
          <w:p w14:paraId="453052E3"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1780" w:type="dxa"/>
            <w:tcBorders>
              <w:top w:val="nil"/>
              <w:left w:val="nil"/>
              <w:bottom w:val="nil"/>
              <w:right w:val="nil"/>
            </w:tcBorders>
            <w:shd w:val="clear" w:color="000000" w:fill="E7E6E6"/>
            <w:vAlign w:val="center"/>
            <w:hideMark/>
          </w:tcPr>
          <w:p w14:paraId="69E8B4D1"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r>
      <w:tr w:rsidR="00434D5D" w:rsidRPr="0007074F" w14:paraId="722FDBF6" w14:textId="77777777" w:rsidTr="00B349CD">
        <w:trPr>
          <w:trHeight w:val="510"/>
        </w:trPr>
        <w:tc>
          <w:tcPr>
            <w:tcW w:w="660" w:type="dxa"/>
            <w:tcBorders>
              <w:top w:val="nil"/>
              <w:left w:val="nil"/>
              <w:bottom w:val="nil"/>
              <w:right w:val="nil"/>
            </w:tcBorders>
            <w:shd w:val="clear" w:color="000000" w:fill="FFFFFF"/>
            <w:vAlign w:val="center"/>
            <w:hideMark/>
          </w:tcPr>
          <w:p w14:paraId="49E35BDB"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1. </w:t>
            </w:r>
          </w:p>
        </w:tc>
        <w:tc>
          <w:tcPr>
            <w:tcW w:w="4240" w:type="dxa"/>
            <w:tcBorders>
              <w:top w:val="nil"/>
              <w:left w:val="nil"/>
              <w:bottom w:val="nil"/>
              <w:right w:val="nil"/>
            </w:tcBorders>
            <w:shd w:val="clear" w:color="000000" w:fill="FFFFFF"/>
            <w:vAlign w:val="center"/>
            <w:hideMark/>
          </w:tcPr>
          <w:p w14:paraId="3247C6FD"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ЈП „Србијагас” - Jaчање транспортних капацитета гасовода у Републици Србији</w:t>
            </w:r>
          </w:p>
        </w:tc>
        <w:tc>
          <w:tcPr>
            <w:tcW w:w="1600" w:type="dxa"/>
            <w:tcBorders>
              <w:top w:val="nil"/>
              <w:left w:val="nil"/>
              <w:bottom w:val="nil"/>
              <w:right w:val="nil"/>
            </w:tcBorders>
            <w:shd w:val="clear" w:color="000000" w:fill="FFFFFF"/>
            <w:vAlign w:val="center"/>
            <w:hideMark/>
          </w:tcPr>
          <w:p w14:paraId="06A99701"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16.534.000.000</w:t>
            </w:r>
          </w:p>
        </w:tc>
        <w:tc>
          <w:tcPr>
            <w:tcW w:w="1360" w:type="dxa"/>
            <w:tcBorders>
              <w:top w:val="nil"/>
              <w:left w:val="nil"/>
              <w:bottom w:val="nil"/>
              <w:right w:val="nil"/>
            </w:tcBorders>
            <w:shd w:val="clear" w:color="000000" w:fill="FFFFFF"/>
            <w:vAlign w:val="center"/>
            <w:hideMark/>
          </w:tcPr>
          <w:p w14:paraId="3312B298"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6F5A31A8"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140.000.000</w:t>
            </w:r>
          </w:p>
        </w:tc>
      </w:tr>
      <w:tr w:rsidR="00434D5D" w:rsidRPr="0007074F" w14:paraId="314713FB" w14:textId="77777777" w:rsidTr="00B349CD">
        <w:trPr>
          <w:trHeight w:val="510"/>
        </w:trPr>
        <w:tc>
          <w:tcPr>
            <w:tcW w:w="660" w:type="dxa"/>
            <w:tcBorders>
              <w:top w:val="nil"/>
              <w:left w:val="nil"/>
              <w:bottom w:val="nil"/>
              <w:right w:val="nil"/>
            </w:tcBorders>
            <w:shd w:val="clear" w:color="000000" w:fill="FFFFFF"/>
            <w:vAlign w:val="center"/>
            <w:hideMark/>
          </w:tcPr>
          <w:p w14:paraId="311655CB"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2. </w:t>
            </w:r>
          </w:p>
        </w:tc>
        <w:tc>
          <w:tcPr>
            <w:tcW w:w="4240" w:type="dxa"/>
            <w:tcBorders>
              <w:top w:val="nil"/>
              <w:left w:val="nil"/>
              <w:bottom w:val="nil"/>
              <w:right w:val="nil"/>
            </w:tcBorders>
            <w:shd w:val="clear" w:color="000000" w:fill="FFFFFF"/>
            <w:vAlign w:val="center"/>
            <w:hideMark/>
          </w:tcPr>
          <w:p w14:paraId="40E6161A" w14:textId="1CB6ECDB"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 „Електропривреда Србије”</w:t>
            </w:r>
            <w:r w:rsidR="00267FEF" w:rsidRPr="0007074F">
              <w:rPr>
                <w:rFonts w:ascii="Calibri" w:eastAsia="Times New Roman" w:hAnsi="Calibri" w:cs="Calibri"/>
                <w:color w:val="203764"/>
                <w:szCs w:val="20"/>
                <w:lang w:val="sr-Cyrl-CS"/>
              </w:rPr>
              <w:t>АД</w:t>
            </w:r>
            <w:r w:rsidRPr="0007074F">
              <w:rPr>
                <w:rFonts w:ascii="Calibri" w:eastAsia="Times New Roman" w:hAnsi="Calibri" w:cs="Calibri"/>
                <w:color w:val="203764"/>
                <w:szCs w:val="20"/>
                <w:lang w:val="sr-Cyrl-CS"/>
              </w:rPr>
              <w:t xml:space="preserve"> - Пројекат изградње хидроелектране Бук Бијела </w:t>
            </w:r>
          </w:p>
        </w:tc>
        <w:tc>
          <w:tcPr>
            <w:tcW w:w="1600" w:type="dxa"/>
            <w:tcBorders>
              <w:top w:val="nil"/>
              <w:left w:val="nil"/>
              <w:bottom w:val="nil"/>
              <w:right w:val="nil"/>
            </w:tcBorders>
            <w:shd w:val="clear" w:color="000000" w:fill="FFFFFF"/>
            <w:vAlign w:val="center"/>
            <w:hideMark/>
          </w:tcPr>
          <w:p w14:paraId="55EAB69D"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29.525.000.000</w:t>
            </w:r>
          </w:p>
        </w:tc>
        <w:tc>
          <w:tcPr>
            <w:tcW w:w="1360" w:type="dxa"/>
            <w:tcBorders>
              <w:top w:val="nil"/>
              <w:left w:val="nil"/>
              <w:bottom w:val="nil"/>
              <w:right w:val="nil"/>
            </w:tcBorders>
            <w:shd w:val="clear" w:color="000000" w:fill="FFFFFF"/>
            <w:vAlign w:val="center"/>
            <w:hideMark/>
          </w:tcPr>
          <w:p w14:paraId="286C96B4"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68DE3FEB"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250.000.000</w:t>
            </w:r>
          </w:p>
        </w:tc>
      </w:tr>
      <w:tr w:rsidR="00434D5D" w:rsidRPr="0007074F" w14:paraId="64991A03" w14:textId="77777777" w:rsidTr="00B349CD">
        <w:trPr>
          <w:trHeight w:val="765"/>
        </w:trPr>
        <w:tc>
          <w:tcPr>
            <w:tcW w:w="660" w:type="dxa"/>
            <w:tcBorders>
              <w:top w:val="nil"/>
              <w:left w:val="nil"/>
              <w:bottom w:val="nil"/>
              <w:right w:val="nil"/>
            </w:tcBorders>
            <w:shd w:val="clear" w:color="000000" w:fill="FFFFFF"/>
            <w:vAlign w:val="center"/>
            <w:hideMark/>
          </w:tcPr>
          <w:p w14:paraId="0ED65675"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3. </w:t>
            </w:r>
          </w:p>
        </w:tc>
        <w:tc>
          <w:tcPr>
            <w:tcW w:w="4240" w:type="dxa"/>
            <w:tcBorders>
              <w:top w:val="nil"/>
              <w:left w:val="nil"/>
              <w:bottom w:val="nil"/>
              <w:right w:val="nil"/>
            </w:tcBorders>
            <w:shd w:val="clear" w:color="000000" w:fill="FFFFFF"/>
            <w:vAlign w:val="center"/>
            <w:hideMark/>
          </w:tcPr>
          <w:p w14:paraId="4FBF8AEA"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„Електродистрибуција Србијеˮ д.о.о. Београд - Пројекат аутоматизације средњенапонске дистрибутивне мреже</w:t>
            </w:r>
          </w:p>
        </w:tc>
        <w:tc>
          <w:tcPr>
            <w:tcW w:w="1600" w:type="dxa"/>
            <w:tcBorders>
              <w:top w:val="nil"/>
              <w:left w:val="nil"/>
              <w:bottom w:val="nil"/>
              <w:right w:val="nil"/>
            </w:tcBorders>
            <w:shd w:val="clear" w:color="000000" w:fill="FFFFFF"/>
            <w:vAlign w:val="center"/>
            <w:hideMark/>
          </w:tcPr>
          <w:p w14:paraId="024106A2"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11.473.619.077</w:t>
            </w:r>
          </w:p>
        </w:tc>
        <w:tc>
          <w:tcPr>
            <w:tcW w:w="1360" w:type="dxa"/>
            <w:tcBorders>
              <w:top w:val="nil"/>
              <w:left w:val="nil"/>
              <w:bottom w:val="nil"/>
              <w:right w:val="nil"/>
            </w:tcBorders>
            <w:shd w:val="clear" w:color="000000" w:fill="FFFFFF"/>
            <w:vAlign w:val="center"/>
            <w:hideMark/>
          </w:tcPr>
          <w:p w14:paraId="13A81D3E"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33768355"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97.151.728</w:t>
            </w:r>
          </w:p>
        </w:tc>
      </w:tr>
      <w:tr w:rsidR="00434D5D" w:rsidRPr="0007074F" w14:paraId="62349697" w14:textId="77777777" w:rsidTr="00B349CD">
        <w:trPr>
          <w:trHeight w:val="765"/>
        </w:trPr>
        <w:tc>
          <w:tcPr>
            <w:tcW w:w="660" w:type="dxa"/>
            <w:tcBorders>
              <w:top w:val="nil"/>
              <w:left w:val="nil"/>
              <w:bottom w:val="nil"/>
              <w:right w:val="nil"/>
            </w:tcBorders>
            <w:shd w:val="clear" w:color="000000" w:fill="FFFFFF"/>
            <w:vAlign w:val="center"/>
            <w:hideMark/>
          </w:tcPr>
          <w:p w14:paraId="6087BF87"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4. </w:t>
            </w:r>
          </w:p>
        </w:tc>
        <w:tc>
          <w:tcPr>
            <w:tcW w:w="4240" w:type="dxa"/>
            <w:tcBorders>
              <w:top w:val="nil"/>
              <w:left w:val="nil"/>
              <w:bottom w:val="nil"/>
              <w:right w:val="nil"/>
            </w:tcBorders>
            <w:shd w:val="clear" w:color="000000" w:fill="FFFFFF"/>
            <w:vAlign w:val="center"/>
            <w:hideMark/>
          </w:tcPr>
          <w:p w14:paraId="52CB8119"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Акционарско друштво за железнички превоз робе „Србија Карго”, Београд - Програм обнове возних средстава</w:t>
            </w:r>
          </w:p>
        </w:tc>
        <w:tc>
          <w:tcPr>
            <w:tcW w:w="1600" w:type="dxa"/>
            <w:tcBorders>
              <w:top w:val="nil"/>
              <w:left w:val="nil"/>
              <w:bottom w:val="nil"/>
              <w:right w:val="nil"/>
            </w:tcBorders>
            <w:shd w:val="clear" w:color="000000" w:fill="FFFFFF"/>
            <w:vAlign w:val="center"/>
            <w:hideMark/>
          </w:tcPr>
          <w:p w14:paraId="64247ADD"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1.771.500.000</w:t>
            </w:r>
          </w:p>
        </w:tc>
        <w:tc>
          <w:tcPr>
            <w:tcW w:w="1360" w:type="dxa"/>
            <w:tcBorders>
              <w:top w:val="nil"/>
              <w:left w:val="nil"/>
              <w:bottom w:val="nil"/>
              <w:right w:val="nil"/>
            </w:tcBorders>
            <w:shd w:val="clear" w:color="000000" w:fill="FFFFFF"/>
            <w:vAlign w:val="center"/>
            <w:hideMark/>
          </w:tcPr>
          <w:p w14:paraId="668A67DE"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66BFABF4"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15.000.000</w:t>
            </w:r>
          </w:p>
        </w:tc>
      </w:tr>
      <w:tr w:rsidR="00434D5D" w:rsidRPr="0007074F" w14:paraId="06BEC05E" w14:textId="77777777" w:rsidTr="00B349CD">
        <w:trPr>
          <w:trHeight w:val="510"/>
        </w:trPr>
        <w:tc>
          <w:tcPr>
            <w:tcW w:w="660" w:type="dxa"/>
            <w:tcBorders>
              <w:top w:val="nil"/>
              <w:left w:val="nil"/>
              <w:bottom w:val="nil"/>
              <w:right w:val="nil"/>
            </w:tcBorders>
            <w:shd w:val="clear" w:color="000000" w:fill="FFFFFF"/>
            <w:vAlign w:val="center"/>
            <w:hideMark/>
          </w:tcPr>
          <w:p w14:paraId="16820EBA"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5. </w:t>
            </w:r>
          </w:p>
        </w:tc>
        <w:tc>
          <w:tcPr>
            <w:tcW w:w="4240" w:type="dxa"/>
            <w:tcBorders>
              <w:top w:val="nil"/>
              <w:left w:val="nil"/>
              <w:bottom w:val="nil"/>
              <w:right w:val="nil"/>
            </w:tcBorders>
            <w:shd w:val="clear" w:color="000000" w:fill="FFFFFF"/>
            <w:vAlign w:val="center"/>
            <w:hideMark/>
          </w:tcPr>
          <w:p w14:paraId="167BB051" w14:textId="603AFD83"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 „Електропривреда Србије”</w:t>
            </w:r>
            <w:r w:rsidR="00267FEF" w:rsidRPr="0007074F">
              <w:rPr>
                <w:rFonts w:ascii="Calibri" w:eastAsia="Times New Roman" w:hAnsi="Calibri" w:cs="Calibri"/>
                <w:color w:val="203764"/>
                <w:szCs w:val="20"/>
                <w:lang w:val="sr-Cyrl-CS"/>
              </w:rPr>
              <w:t>АД</w:t>
            </w:r>
            <w:r w:rsidRPr="0007074F">
              <w:rPr>
                <w:rFonts w:ascii="Calibri" w:eastAsia="Times New Roman" w:hAnsi="Calibri" w:cs="Calibri"/>
                <w:color w:val="203764"/>
                <w:szCs w:val="20"/>
                <w:lang w:val="sr-Cyrl-CS"/>
              </w:rPr>
              <w:t xml:space="preserve"> - Ревитализација хидроелектране „Ђердап 2ˮ</w:t>
            </w:r>
          </w:p>
        </w:tc>
        <w:tc>
          <w:tcPr>
            <w:tcW w:w="1600" w:type="dxa"/>
            <w:tcBorders>
              <w:top w:val="nil"/>
              <w:left w:val="nil"/>
              <w:bottom w:val="nil"/>
              <w:right w:val="nil"/>
            </w:tcBorders>
            <w:shd w:val="clear" w:color="000000" w:fill="FFFFFF"/>
            <w:vAlign w:val="center"/>
            <w:hideMark/>
          </w:tcPr>
          <w:p w14:paraId="2227D67D"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25.155.300.000</w:t>
            </w:r>
          </w:p>
        </w:tc>
        <w:tc>
          <w:tcPr>
            <w:tcW w:w="1360" w:type="dxa"/>
            <w:tcBorders>
              <w:top w:val="nil"/>
              <w:left w:val="nil"/>
              <w:bottom w:val="nil"/>
              <w:right w:val="nil"/>
            </w:tcBorders>
            <w:shd w:val="clear" w:color="000000" w:fill="FFFFFF"/>
            <w:vAlign w:val="center"/>
            <w:hideMark/>
          </w:tcPr>
          <w:p w14:paraId="6D5C42B0"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07774C82"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213.000.000</w:t>
            </w:r>
          </w:p>
        </w:tc>
      </w:tr>
      <w:tr w:rsidR="00434D5D" w:rsidRPr="0007074F" w14:paraId="3F7B7E82" w14:textId="77777777" w:rsidTr="00B349CD">
        <w:trPr>
          <w:trHeight w:val="765"/>
        </w:trPr>
        <w:tc>
          <w:tcPr>
            <w:tcW w:w="660" w:type="dxa"/>
            <w:tcBorders>
              <w:top w:val="nil"/>
              <w:left w:val="nil"/>
              <w:bottom w:val="nil"/>
              <w:right w:val="nil"/>
            </w:tcBorders>
            <w:shd w:val="clear" w:color="000000" w:fill="FFFFFF"/>
            <w:vAlign w:val="center"/>
            <w:hideMark/>
          </w:tcPr>
          <w:p w14:paraId="5EE67EE8"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lastRenderedPageBreak/>
              <w:t xml:space="preserve">6. </w:t>
            </w:r>
          </w:p>
        </w:tc>
        <w:tc>
          <w:tcPr>
            <w:tcW w:w="4240" w:type="dxa"/>
            <w:tcBorders>
              <w:top w:val="nil"/>
              <w:left w:val="nil"/>
              <w:bottom w:val="nil"/>
              <w:right w:val="nil"/>
            </w:tcBorders>
            <w:shd w:val="clear" w:color="000000" w:fill="FFFFFF"/>
            <w:vAlign w:val="center"/>
            <w:hideMark/>
          </w:tcPr>
          <w:p w14:paraId="4B9F834A" w14:textId="0663E020"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„Електропривреда Србије” </w:t>
            </w:r>
            <w:r w:rsidR="00267FEF" w:rsidRPr="0007074F">
              <w:rPr>
                <w:rFonts w:ascii="Calibri" w:eastAsia="Times New Roman" w:hAnsi="Calibri" w:cs="Calibri"/>
                <w:color w:val="203764"/>
                <w:szCs w:val="20"/>
                <w:lang w:val="sr-Cyrl-CS"/>
              </w:rPr>
              <w:t>АД</w:t>
            </w:r>
            <w:r w:rsidRPr="0007074F">
              <w:rPr>
                <w:rFonts w:ascii="Calibri" w:eastAsia="Times New Roman" w:hAnsi="Calibri" w:cs="Calibri"/>
                <w:color w:val="203764"/>
                <w:szCs w:val="20"/>
                <w:lang w:val="sr-Cyrl-CS"/>
              </w:rPr>
              <w:t>- Постројење за комбиновано ко-сагоревање биомасе/ОИЕ ТЕ Колубара Б</w:t>
            </w:r>
          </w:p>
        </w:tc>
        <w:tc>
          <w:tcPr>
            <w:tcW w:w="1600" w:type="dxa"/>
            <w:tcBorders>
              <w:top w:val="nil"/>
              <w:left w:val="nil"/>
              <w:bottom w:val="nil"/>
              <w:right w:val="nil"/>
            </w:tcBorders>
            <w:shd w:val="clear" w:color="000000" w:fill="FFFFFF"/>
            <w:vAlign w:val="center"/>
            <w:hideMark/>
          </w:tcPr>
          <w:p w14:paraId="417C9522"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46.709.140.500</w:t>
            </w:r>
          </w:p>
        </w:tc>
        <w:tc>
          <w:tcPr>
            <w:tcW w:w="1360" w:type="dxa"/>
            <w:tcBorders>
              <w:top w:val="nil"/>
              <w:left w:val="nil"/>
              <w:bottom w:val="nil"/>
              <w:right w:val="nil"/>
            </w:tcBorders>
            <w:shd w:val="clear" w:color="000000" w:fill="FFFFFF"/>
            <w:vAlign w:val="center"/>
            <w:hideMark/>
          </w:tcPr>
          <w:p w14:paraId="63721EBA"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2C11BC8F"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395.505.000</w:t>
            </w:r>
          </w:p>
        </w:tc>
      </w:tr>
      <w:tr w:rsidR="00434D5D" w:rsidRPr="0007074F" w14:paraId="7F31BB4E" w14:textId="77777777" w:rsidTr="00B349CD">
        <w:trPr>
          <w:trHeight w:val="510"/>
        </w:trPr>
        <w:tc>
          <w:tcPr>
            <w:tcW w:w="660" w:type="dxa"/>
            <w:tcBorders>
              <w:top w:val="nil"/>
              <w:left w:val="nil"/>
              <w:bottom w:val="nil"/>
              <w:right w:val="nil"/>
            </w:tcBorders>
            <w:shd w:val="clear" w:color="000000" w:fill="FFFFFF"/>
            <w:vAlign w:val="center"/>
            <w:hideMark/>
          </w:tcPr>
          <w:p w14:paraId="7FB122C8"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7. </w:t>
            </w:r>
          </w:p>
        </w:tc>
        <w:tc>
          <w:tcPr>
            <w:tcW w:w="4240" w:type="dxa"/>
            <w:tcBorders>
              <w:top w:val="nil"/>
              <w:left w:val="nil"/>
              <w:bottom w:val="nil"/>
              <w:right w:val="nil"/>
            </w:tcBorders>
            <w:shd w:val="clear" w:color="000000" w:fill="FFFFFF"/>
            <w:vAlign w:val="center"/>
            <w:hideMark/>
          </w:tcPr>
          <w:p w14:paraId="49903F87" w14:textId="51B97FAE"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„Електропривреда Србије”</w:t>
            </w:r>
            <w:r w:rsidR="00267FEF" w:rsidRPr="0007074F">
              <w:rPr>
                <w:rFonts w:ascii="Calibri" w:eastAsia="Times New Roman" w:hAnsi="Calibri" w:cs="Calibri"/>
                <w:color w:val="203764"/>
                <w:szCs w:val="20"/>
                <w:lang w:val="sr-Cyrl-CS"/>
              </w:rPr>
              <w:t>АД</w:t>
            </w:r>
            <w:r w:rsidRPr="0007074F">
              <w:rPr>
                <w:rFonts w:ascii="Calibri" w:eastAsia="Times New Roman" w:hAnsi="Calibri" w:cs="Calibri"/>
                <w:color w:val="203764"/>
                <w:szCs w:val="20"/>
                <w:lang w:val="sr-Cyrl-CS"/>
              </w:rPr>
              <w:t xml:space="preserve"> - Замена система за транспорт пепела и шљаке ТЕНТ А</w:t>
            </w:r>
          </w:p>
        </w:tc>
        <w:tc>
          <w:tcPr>
            <w:tcW w:w="1600" w:type="dxa"/>
            <w:tcBorders>
              <w:top w:val="nil"/>
              <w:left w:val="nil"/>
              <w:bottom w:val="nil"/>
              <w:right w:val="nil"/>
            </w:tcBorders>
            <w:shd w:val="clear" w:color="000000" w:fill="FFFFFF"/>
            <w:vAlign w:val="center"/>
            <w:hideMark/>
          </w:tcPr>
          <w:p w14:paraId="3DE1F509"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14.762.500.000</w:t>
            </w:r>
          </w:p>
        </w:tc>
        <w:tc>
          <w:tcPr>
            <w:tcW w:w="1360" w:type="dxa"/>
            <w:tcBorders>
              <w:top w:val="nil"/>
              <w:left w:val="nil"/>
              <w:bottom w:val="nil"/>
              <w:right w:val="nil"/>
            </w:tcBorders>
            <w:shd w:val="clear" w:color="000000" w:fill="FFFFFF"/>
            <w:vAlign w:val="center"/>
            <w:hideMark/>
          </w:tcPr>
          <w:p w14:paraId="20822FB1"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3D6C4F79"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125.000.000</w:t>
            </w:r>
          </w:p>
        </w:tc>
      </w:tr>
      <w:tr w:rsidR="00434D5D" w:rsidRPr="0007074F" w14:paraId="26DBEB34" w14:textId="77777777" w:rsidTr="00B349CD">
        <w:trPr>
          <w:trHeight w:val="510"/>
        </w:trPr>
        <w:tc>
          <w:tcPr>
            <w:tcW w:w="660" w:type="dxa"/>
            <w:tcBorders>
              <w:top w:val="nil"/>
              <w:left w:val="nil"/>
              <w:bottom w:val="nil"/>
              <w:right w:val="nil"/>
            </w:tcBorders>
            <w:shd w:val="clear" w:color="000000" w:fill="FFFFFF"/>
            <w:vAlign w:val="center"/>
            <w:hideMark/>
          </w:tcPr>
          <w:p w14:paraId="31EBA42F"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8. </w:t>
            </w:r>
          </w:p>
        </w:tc>
        <w:tc>
          <w:tcPr>
            <w:tcW w:w="4240" w:type="dxa"/>
            <w:tcBorders>
              <w:top w:val="nil"/>
              <w:left w:val="nil"/>
              <w:bottom w:val="nil"/>
              <w:right w:val="nil"/>
            </w:tcBorders>
            <w:shd w:val="clear" w:color="000000" w:fill="FFFFFF"/>
            <w:vAlign w:val="center"/>
            <w:hideMark/>
          </w:tcPr>
          <w:p w14:paraId="38067ADD" w14:textId="3EC2008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„Електропривреда Србије”</w:t>
            </w:r>
            <w:r w:rsidR="00267FEF" w:rsidRPr="0007074F">
              <w:rPr>
                <w:rFonts w:ascii="Calibri" w:eastAsia="Times New Roman" w:hAnsi="Calibri" w:cs="Calibri"/>
                <w:color w:val="203764"/>
                <w:szCs w:val="20"/>
                <w:lang w:val="sr-Cyrl-CS"/>
              </w:rPr>
              <w:t>АД</w:t>
            </w:r>
            <w:r w:rsidRPr="0007074F">
              <w:rPr>
                <w:rFonts w:ascii="Calibri" w:eastAsia="Times New Roman" w:hAnsi="Calibri" w:cs="Calibri"/>
                <w:color w:val="203764"/>
                <w:szCs w:val="20"/>
                <w:lang w:val="sr-Cyrl-CS"/>
              </w:rPr>
              <w:t xml:space="preserve"> - Изградња РХЕ Бистрица</w:t>
            </w:r>
          </w:p>
        </w:tc>
        <w:tc>
          <w:tcPr>
            <w:tcW w:w="1600" w:type="dxa"/>
            <w:tcBorders>
              <w:top w:val="nil"/>
              <w:left w:val="nil"/>
              <w:bottom w:val="nil"/>
              <w:right w:val="nil"/>
            </w:tcBorders>
            <w:shd w:val="clear" w:color="000000" w:fill="FFFFFF"/>
            <w:vAlign w:val="center"/>
            <w:hideMark/>
          </w:tcPr>
          <w:p w14:paraId="6BA43751"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70.860.000.000</w:t>
            </w:r>
          </w:p>
        </w:tc>
        <w:tc>
          <w:tcPr>
            <w:tcW w:w="1360" w:type="dxa"/>
            <w:tcBorders>
              <w:top w:val="nil"/>
              <w:left w:val="nil"/>
              <w:bottom w:val="nil"/>
              <w:right w:val="nil"/>
            </w:tcBorders>
            <w:shd w:val="clear" w:color="000000" w:fill="FFFFFF"/>
            <w:vAlign w:val="center"/>
            <w:hideMark/>
          </w:tcPr>
          <w:p w14:paraId="15EAFFC3"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73628D84"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600.000.000</w:t>
            </w:r>
          </w:p>
        </w:tc>
      </w:tr>
      <w:tr w:rsidR="00434D5D" w:rsidRPr="0007074F" w14:paraId="64143DB5" w14:textId="77777777" w:rsidTr="00B349CD">
        <w:trPr>
          <w:trHeight w:val="510"/>
        </w:trPr>
        <w:tc>
          <w:tcPr>
            <w:tcW w:w="660" w:type="dxa"/>
            <w:tcBorders>
              <w:top w:val="nil"/>
              <w:left w:val="nil"/>
              <w:bottom w:val="nil"/>
              <w:right w:val="nil"/>
            </w:tcBorders>
            <w:shd w:val="clear" w:color="000000" w:fill="FFFFFF"/>
            <w:vAlign w:val="center"/>
            <w:hideMark/>
          </w:tcPr>
          <w:p w14:paraId="5DDAF33E"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9. </w:t>
            </w:r>
          </w:p>
        </w:tc>
        <w:tc>
          <w:tcPr>
            <w:tcW w:w="4240" w:type="dxa"/>
            <w:tcBorders>
              <w:top w:val="nil"/>
              <w:left w:val="nil"/>
              <w:bottom w:val="nil"/>
              <w:right w:val="nil"/>
            </w:tcBorders>
            <w:shd w:val="clear" w:color="000000" w:fill="FFFFFF"/>
            <w:vAlign w:val="center"/>
            <w:hideMark/>
          </w:tcPr>
          <w:p w14:paraId="33B28B0F" w14:textId="5D307772"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„Електропривреда Србије”</w:t>
            </w:r>
            <w:r w:rsidR="00267FEF" w:rsidRPr="0007074F">
              <w:rPr>
                <w:rFonts w:ascii="Calibri" w:eastAsia="Times New Roman" w:hAnsi="Calibri" w:cs="Calibri"/>
                <w:color w:val="203764"/>
                <w:szCs w:val="20"/>
                <w:lang w:val="sr-Cyrl-CS"/>
              </w:rPr>
              <w:t>АД</w:t>
            </w:r>
            <w:r w:rsidRPr="0007074F">
              <w:rPr>
                <w:rFonts w:ascii="Calibri" w:eastAsia="Times New Roman" w:hAnsi="Calibri" w:cs="Calibri"/>
                <w:color w:val="203764"/>
                <w:szCs w:val="20"/>
                <w:lang w:val="sr-Cyrl-CS"/>
              </w:rPr>
              <w:t xml:space="preserve"> - Ревитализација Власинских ХЕ</w:t>
            </w:r>
          </w:p>
        </w:tc>
        <w:tc>
          <w:tcPr>
            <w:tcW w:w="1600" w:type="dxa"/>
            <w:tcBorders>
              <w:top w:val="nil"/>
              <w:left w:val="nil"/>
              <w:bottom w:val="nil"/>
              <w:right w:val="nil"/>
            </w:tcBorders>
            <w:shd w:val="clear" w:color="000000" w:fill="FFFFFF"/>
            <w:vAlign w:val="center"/>
            <w:hideMark/>
          </w:tcPr>
          <w:p w14:paraId="638D89C0"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9.129.130.000</w:t>
            </w:r>
          </w:p>
        </w:tc>
        <w:tc>
          <w:tcPr>
            <w:tcW w:w="1360" w:type="dxa"/>
            <w:tcBorders>
              <w:top w:val="nil"/>
              <w:left w:val="nil"/>
              <w:bottom w:val="nil"/>
              <w:right w:val="nil"/>
            </w:tcBorders>
            <w:shd w:val="clear" w:color="000000" w:fill="FFFFFF"/>
            <w:vAlign w:val="center"/>
            <w:hideMark/>
          </w:tcPr>
          <w:p w14:paraId="47EA79A5"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09498231"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77.300.000</w:t>
            </w:r>
          </w:p>
        </w:tc>
      </w:tr>
      <w:tr w:rsidR="00434D5D" w:rsidRPr="0007074F" w14:paraId="5B111678" w14:textId="77777777" w:rsidTr="00B349CD">
        <w:trPr>
          <w:trHeight w:val="510"/>
        </w:trPr>
        <w:tc>
          <w:tcPr>
            <w:tcW w:w="660" w:type="dxa"/>
            <w:tcBorders>
              <w:top w:val="nil"/>
              <w:left w:val="nil"/>
              <w:bottom w:val="nil"/>
              <w:right w:val="nil"/>
            </w:tcBorders>
            <w:shd w:val="clear" w:color="000000" w:fill="FFFFFF"/>
            <w:vAlign w:val="center"/>
            <w:hideMark/>
          </w:tcPr>
          <w:p w14:paraId="77903386"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10. </w:t>
            </w:r>
          </w:p>
        </w:tc>
        <w:tc>
          <w:tcPr>
            <w:tcW w:w="4240" w:type="dxa"/>
            <w:tcBorders>
              <w:top w:val="nil"/>
              <w:left w:val="nil"/>
              <w:bottom w:val="nil"/>
              <w:right w:val="nil"/>
            </w:tcBorders>
            <w:shd w:val="clear" w:color="000000" w:fill="FFFFFF"/>
            <w:vAlign w:val="center"/>
            <w:hideMark/>
          </w:tcPr>
          <w:p w14:paraId="721595A9" w14:textId="3F291D22"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„Електропривреда Србије”</w:t>
            </w:r>
            <w:r w:rsidR="00267FEF" w:rsidRPr="0007074F">
              <w:rPr>
                <w:rFonts w:ascii="Calibri" w:eastAsia="Times New Roman" w:hAnsi="Calibri" w:cs="Calibri"/>
                <w:color w:val="203764"/>
                <w:szCs w:val="20"/>
                <w:lang w:val="sr-Cyrl-CS"/>
              </w:rPr>
              <w:t>АД</w:t>
            </w:r>
            <w:r w:rsidRPr="0007074F">
              <w:rPr>
                <w:rFonts w:ascii="Calibri" w:eastAsia="Times New Roman" w:hAnsi="Calibri" w:cs="Calibri"/>
                <w:color w:val="203764"/>
                <w:szCs w:val="20"/>
                <w:lang w:val="sr-Cyrl-CS"/>
              </w:rPr>
              <w:t xml:space="preserve"> - Ревитализација ХЕ Бистрица</w:t>
            </w:r>
          </w:p>
        </w:tc>
        <w:tc>
          <w:tcPr>
            <w:tcW w:w="1600" w:type="dxa"/>
            <w:tcBorders>
              <w:top w:val="nil"/>
              <w:left w:val="nil"/>
              <w:bottom w:val="nil"/>
              <w:right w:val="nil"/>
            </w:tcBorders>
            <w:shd w:val="clear" w:color="000000" w:fill="FFFFFF"/>
            <w:vAlign w:val="center"/>
            <w:hideMark/>
          </w:tcPr>
          <w:p w14:paraId="411B6982"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4.133.500.000</w:t>
            </w:r>
          </w:p>
        </w:tc>
        <w:tc>
          <w:tcPr>
            <w:tcW w:w="1360" w:type="dxa"/>
            <w:tcBorders>
              <w:top w:val="nil"/>
              <w:left w:val="nil"/>
              <w:bottom w:val="nil"/>
              <w:right w:val="nil"/>
            </w:tcBorders>
            <w:shd w:val="clear" w:color="000000" w:fill="FFFFFF"/>
            <w:vAlign w:val="center"/>
            <w:hideMark/>
          </w:tcPr>
          <w:p w14:paraId="53AB7678"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73ECB60D"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35.000.000</w:t>
            </w:r>
          </w:p>
        </w:tc>
      </w:tr>
      <w:tr w:rsidR="00434D5D" w:rsidRPr="0007074F" w14:paraId="71C50DB9" w14:textId="77777777" w:rsidTr="00B349CD">
        <w:trPr>
          <w:trHeight w:val="510"/>
        </w:trPr>
        <w:tc>
          <w:tcPr>
            <w:tcW w:w="660" w:type="dxa"/>
            <w:tcBorders>
              <w:top w:val="nil"/>
              <w:left w:val="nil"/>
              <w:bottom w:val="nil"/>
              <w:right w:val="nil"/>
            </w:tcBorders>
            <w:shd w:val="clear" w:color="000000" w:fill="FFFFFF"/>
            <w:vAlign w:val="center"/>
            <w:hideMark/>
          </w:tcPr>
          <w:p w14:paraId="3997DC46"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11. </w:t>
            </w:r>
          </w:p>
        </w:tc>
        <w:tc>
          <w:tcPr>
            <w:tcW w:w="4240" w:type="dxa"/>
            <w:tcBorders>
              <w:top w:val="nil"/>
              <w:left w:val="nil"/>
              <w:bottom w:val="nil"/>
              <w:right w:val="nil"/>
            </w:tcBorders>
            <w:shd w:val="clear" w:color="000000" w:fill="FFFFFF"/>
            <w:vAlign w:val="center"/>
            <w:hideMark/>
          </w:tcPr>
          <w:p w14:paraId="11EA4BBD"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„Електродистрибуција Србијеˮ д.о.о. Београд - Унапређење дистрибутивне мреже</w:t>
            </w:r>
          </w:p>
        </w:tc>
        <w:tc>
          <w:tcPr>
            <w:tcW w:w="1600" w:type="dxa"/>
            <w:tcBorders>
              <w:top w:val="nil"/>
              <w:left w:val="nil"/>
              <w:bottom w:val="nil"/>
              <w:right w:val="nil"/>
            </w:tcBorders>
            <w:shd w:val="clear" w:color="000000" w:fill="FFFFFF"/>
            <w:vAlign w:val="center"/>
            <w:hideMark/>
          </w:tcPr>
          <w:p w14:paraId="6468511F"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5.905.000.000</w:t>
            </w:r>
          </w:p>
        </w:tc>
        <w:tc>
          <w:tcPr>
            <w:tcW w:w="1360" w:type="dxa"/>
            <w:tcBorders>
              <w:top w:val="nil"/>
              <w:left w:val="nil"/>
              <w:bottom w:val="nil"/>
              <w:right w:val="nil"/>
            </w:tcBorders>
            <w:shd w:val="clear" w:color="000000" w:fill="FFFFFF"/>
            <w:vAlign w:val="center"/>
            <w:hideMark/>
          </w:tcPr>
          <w:p w14:paraId="10FD0CB3"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56DCDADC"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50.000.000</w:t>
            </w:r>
          </w:p>
        </w:tc>
      </w:tr>
      <w:tr w:rsidR="00434D5D" w:rsidRPr="0007074F" w14:paraId="2BD96213" w14:textId="77777777" w:rsidTr="00B349CD">
        <w:trPr>
          <w:trHeight w:val="300"/>
        </w:trPr>
        <w:tc>
          <w:tcPr>
            <w:tcW w:w="660" w:type="dxa"/>
            <w:tcBorders>
              <w:top w:val="nil"/>
              <w:left w:val="nil"/>
              <w:bottom w:val="nil"/>
              <w:right w:val="nil"/>
            </w:tcBorders>
            <w:shd w:val="clear" w:color="000000" w:fill="FFFFFF"/>
            <w:vAlign w:val="center"/>
            <w:hideMark/>
          </w:tcPr>
          <w:p w14:paraId="2FAC7050"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4240" w:type="dxa"/>
            <w:tcBorders>
              <w:top w:val="nil"/>
              <w:left w:val="nil"/>
              <w:bottom w:val="nil"/>
              <w:right w:val="nil"/>
            </w:tcBorders>
            <w:shd w:val="clear" w:color="000000" w:fill="FFFFFF"/>
            <w:vAlign w:val="center"/>
            <w:hideMark/>
          </w:tcPr>
          <w:p w14:paraId="055D7B84"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Укупно:</w:t>
            </w:r>
          </w:p>
        </w:tc>
        <w:tc>
          <w:tcPr>
            <w:tcW w:w="1600" w:type="dxa"/>
            <w:tcBorders>
              <w:top w:val="nil"/>
              <w:left w:val="nil"/>
              <w:bottom w:val="nil"/>
              <w:right w:val="nil"/>
            </w:tcBorders>
            <w:shd w:val="clear" w:color="000000" w:fill="FFFFFF"/>
            <w:vAlign w:val="center"/>
            <w:hideMark/>
          </w:tcPr>
          <w:p w14:paraId="6E58313F"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235.958.689.577</w:t>
            </w:r>
          </w:p>
        </w:tc>
        <w:tc>
          <w:tcPr>
            <w:tcW w:w="1360" w:type="dxa"/>
            <w:tcBorders>
              <w:top w:val="nil"/>
              <w:left w:val="nil"/>
              <w:bottom w:val="nil"/>
              <w:right w:val="nil"/>
            </w:tcBorders>
            <w:shd w:val="clear" w:color="000000" w:fill="FFFFFF"/>
            <w:vAlign w:val="center"/>
            <w:hideMark/>
          </w:tcPr>
          <w:p w14:paraId="486623DD"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EUR</w:t>
            </w:r>
          </w:p>
        </w:tc>
        <w:tc>
          <w:tcPr>
            <w:tcW w:w="1780" w:type="dxa"/>
            <w:tcBorders>
              <w:top w:val="nil"/>
              <w:left w:val="nil"/>
              <w:bottom w:val="nil"/>
              <w:right w:val="nil"/>
            </w:tcBorders>
            <w:shd w:val="clear" w:color="000000" w:fill="FFFFFF"/>
            <w:vAlign w:val="center"/>
            <w:hideMark/>
          </w:tcPr>
          <w:p w14:paraId="117AB75F"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1.997.956.728</w:t>
            </w:r>
          </w:p>
        </w:tc>
      </w:tr>
      <w:tr w:rsidR="00434D5D" w:rsidRPr="0007074F" w14:paraId="15C7B893" w14:textId="77777777" w:rsidTr="00B349CD">
        <w:trPr>
          <w:trHeight w:val="300"/>
        </w:trPr>
        <w:tc>
          <w:tcPr>
            <w:tcW w:w="660" w:type="dxa"/>
            <w:tcBorders>
              <w:top w:val="nil"/>
              <w:left w:val="nil"/>
              <w:bottom w:val="nil"/>
              <w:right w:val="nil"/>
            </w:tcBorders>
            <w:shd w:val="clear" w:color="000000" w:fill="E7E6E6"/>
            <w:vAlign w:val="center"/>
            <w:hideMark/>
          </w:tcPr>
          <w:p w14:paraId="4D942CF9"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IV.</w:t>
            </w:r>
          </w:p>
        </w:tc>
        <w:tc>
          <w:tcPr>
            <w:tcW w:w="4240" w:type="dxa"/>
            <w:tcBorders>
              <w:top w:val="nil"/>
              <w:left w:val="nil"/>
              <w:bottom w:val="nil"/>
              <w:right w:val="nil"/>
            </w:tcBorders>
            <w:shd w:val="clear" w:color="000000" w:fill="E7E6E6"/>
            <w:vAlign w:val="center"/>
            <w:hideMark/>
          </w:tcPr>
          <w:p w14:paraId="488E1D87"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Европској инвестиционој банци</w:t>
            </w:r>
          </w:p>
        </w:tc>
        <w:tc>
          <w:tcPr>
            <w:tcW w:w="1600" w:type="dxa"/>
            <w:tcBorders>
              <w:top w:val="nil"/>
              <w:left w:val="nil"/>
              <w:bottom w:val="nil"/>
              <w:right w:val="nil"/>
            </w:tcBorders>
            <w:shd w:val="clear" w:color="000000" w:fill="E7E6E6"/>
            <w:vAlign w:val="center"/>
            <w:hideMark/>
          </w:tcPr>
          <w:p w14:paraId="0F0FB26A"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1360" w:type="dxa"/>
            <w:tcBorders>
              <w:top w:val="nil"/>
              <w:left w:val="nil"/>
              <w:bottom w:val="nil"/>
              <w:right w:val="nil"/>
            </w:tcBorders>
            <w:shd w:val="clear" w:color="000000" w:fill="E7E6E6"/>
            <w:vAlign w:val="center"/>
            <w:hideMark/>
          </w:tcPr>
          <w:p w14:paraId="683C5556"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1780" w:type="dxa"/>
            <w:tcBorders>
              <w:top w:val="nil"/>
              <w:left w:val="nil"/>
              <w:bottom w:val="nil"/>
              <w:right w:val="nil"/>
            </w:tcBorders>
            <w:shd w:val="clear" w:color="000000" w:fill="E7E6E6"/>
            <w:vAlign w:val="center"/>
            <w:hideMark/>
          </w:tcPr>
          <w:p w14:paraId="6DA2B35C"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r>
      <w:tr w:rsidR="00434D5D" w:rsidRPr="0007074F" w14:paraId="330665FF" w14:textId="77777777" w:rsidTr="00B349CD">
        <w:trPr>
          <w:trHeight w:val="510"/>
        </w:trPr>
        <w:tc>
          <w:tcPr>
            <w:tcW w:w="660" w:type="dxa"/>
            <w:tcBorders>
              <w:top w:val="nil"/>
              <w:left w:val="nil"/>
              <w:bottom w:val="nil"/>
              <w:right w:val="nil"/>
            </w:tcBorders>
            <w:shd w:val="clear" w:color="000000" w:fill="FFFFFF"/>
            <w:vAlign w:val="center"/>
            <w:hideMark/>
          </w:tcPr>
          <w:p w14:paraId="2A00A576"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w:t>
            </w:r>
          </w:p>
        </w:tc>
        <w:tc>
          <w:tcPr>
            <w:tcW w:w="4240" w:type="dxa"/>
            <w:tcBorders>
              <w:top w:val="nil"/>
              <w:left w:val="nil"/>
              <w:bottom w:val="nil"/>
              <w:right w:val="nil"/>
            </w:tcBorders>
            <w:shd w:val="clear" w:color="000000" w:fill="FFFFFF"/>
            <w:vAlign w:val="center"/>
            <w:hideMark/>
          </w:tcPr>
          <w:p w14:paraId="75D87356"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„Електродистрибуција Србијеˮ д.о.о. Београд - Пројекат за паметна бројила</w:t>
            </w:r>
          </w:p>
        </w:tc>
        <w:tc>
          <w:tcPr>
            <w:tcW w:w="1600" w:type="dxa"/>
            <w:tcBorders>
              <w:top w:val="nil"/>
              <w:left w:val="nil"/>
              <w:bottom w:val="nil"/>
              <w:right w:val="nil"/>
            </w:tcBorders>
            <w:shd w:val="clear" w:color="000000" w:fill="FFFFFF"/>
            <w:vAlign w:val="center"/>
            <w:hideMark/>
          </w:tcPr>
          <w:p w14:paraId="0BCD916C"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4.724.000.000</w:t>
            </w:r>
          </w:p>
        </w:tc>
        <w:tc>
          <w:tcPr>
            <w:tcW w:w="1360" w:type="dxa"/>
            <w:tcBorders>
              <w:top w:val="nil"/>
              <w:left w:val="nil"/>
              <w:bottom w:val="nil"/>
              <w:right w:val="nil"/>
            </w:tcBorders>
            <w:shd w:val="clear" w:color="000000" w:fill="FFFFFF"/>
            <w:vAlign w:val="center"/>
            <w:hideMark/>
          </w:tcPr>
          <w:p w14:paraId="6850945B"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765842C5"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40.000.000</w:t>
            </w:r>
          </w:p>
        </w:tc>
      </w:tr>
      <w:tr w:rsidR="00434D5D" w:rsidRPr="0007074F" w14:paraId="3122A042" w14:textId="77777777" w:rsidTr="00B349CD">
        <w:trPr>
          <w:trHeight w:val="300"/>
        </w:trPr>
        <w:tc>
          <w:tcPr>
            <w:tcW w:w="660" w:type="dxa"/>
            <w:tcBorders>
              <w:top w:val="nil"/>
              <w:left w:val="nil"/>
              <w:bottom w:val="nil"/>
              <w:right w:val="nil"/>
            </w:tcBorders>
            <w:shd w:val="clear" w:color="000000" w:fill="FFFFFF"/>
            <w:vAlign w:val="center"/>
            <w:hideMark/>
          </w:tcPr>
          <w:p w14:paraId="1783A6CE"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4240" w:type="dxa"/>
            <w:tcBorders>
              <w:top w:val="nil"/>
              <w:left w:val="nil"/>
              <w:bottom w:val="nil"/>
              <w:right w:val="nil"/>
            </w:tcBorders>
            <w:shd w:val="clear" w:color="000000" w:fill="FFFFFF"/>
            <w:vAlign w:val="center"/>
            <w:hideMark/>
          </w:tcPr>
          <w:p w14:paraId="30A2E509"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Укупно:</w:t>
            </w:r>
          </w:p>
        </w:tc>
        <w:tc>
          <w:tcPr>
            <w:tcW w:w="1600" w:type="dxa"/>
            <w:tcBorders>
              <w:top w:val="nil"/>
              <w:left w:val="nil"/>
              <w:bottom w:val="nil"/>
              <w:right w:val="nil"/>
            </w:tcBorders>
            <w:shd w:val="clear" w:color="000000" w:fill="FFFFFF"/>
            <w:vAlign w:val="center"/>
            <w:hideMark/>
          </w:tcPr>
          <w:p w14:paraId="74394695"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4.724.000.000</w:t>
            </w:r>
          </w:p>
        </w:tc>
        <w:tc>
          <w:tcPr>
            <w:tcW w:w="1360" w:type="dxa"/>
            <w:tcBorders>
              <w:top w:val="nil"/>
              <w:left w:val="nil"/>
              <w:bottom w:val="nil"/>
              <w:right w:val="nil"/>
            </w:tcBorders>
            <w:shd w:val="clear" w:color="000000" w:fill="FFFFFF"/>
            <w:vAlign w:val="center"/>
            <w:hideMark/>
          </w:tcPr>
          <w:p w14:paraId="5455CACC"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EUR</w:t>
            </w:r>
          </w:p>
        </w:tc>
        <w:tc>
          <w:tcPr>
            <w:tcW w:w="1780" w:type="dxa"/>
            <w:tcBorders>
              <w:top w:val="nil"/>
              <w:left w:val="nil"/>
              <w:bottom w:val="nil"/>
              <w:right w:val="nil"/>
            </w:tcBorders>
            <w:shd w:val="clear" w:color="000000" w:fill="FFFFFF"/>
            <w:vAlign w:val="center"/>
            <w:hideMark/>
          </w:tcPr>
          <w:p w14:paraId="7A51D9EF"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40.000.000</w:t>
            </w:r>
          </w:p>
        </w:tc>
      </w:tr>
      <w:tr w:rsidR="00434D5D" w:rsidRPr="0007074F" w14:paraId="004CA8DA" w14:textId="77777777" w:rsidTr="00B349CD">
        <w:trPr>
          <w:trHeight w:val="300"/>
        </w:trPr>
        <w:tc>
          <w:tcPr>
            <w:tcW w:w="660" w:type="dxa"/>
            <w:tcBorders>
              <w:top w:val="nil"/>
              <w:left w:val="nil"/>
              <w:bottom w:val="nil"/>
              <w:right w:val="nil"/>
            </w:tcBorders>
            <w:shd w:val="clear" w:color="000000" w:fill="E7E6E6"/>
            <w:vAlign w:val="center"/>
            <w:hideMark/>
          </w:tcPr>
          <w:p w14:paraId="186AD653"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V.</w:t>
            </w:r>
          </w:p>
        </w:tc>
        <w:tc>
          <w:tcPr>
            <w:tcW w:w="4240" w:type="dxa"/>
            <w:tcBorders>
              <w:top w:val="nil"/>
              <w:left w:val="nil"/>
              <w:bottom w:val="nil"/>
              <w:right w:val="nil"/>
            </w:tcBorders>
            <w:shd w:val="clear" w:color="000000" w:fill="E7E6E6"/>
            <w:vAlign w:val="center"/>
            <w:hideMark/>
          </w:tcPr>
          <w:p w14:paraId="55ACF987"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Француској агенцији за развој (АФД)</w:t>
            </w:r>
          </w:p>
        </w:tc>
        <w:tc>
          <w:tcPr>
            <w:tcW w:w="1600" w:type="dxa"/>
            <w:tcBorders>
              <w:top w:val="nil"/>
              <w:left w:val="nil"/>
              <w:bottom w:val="nil"/>
              <w:right w:val="nil"/>
            </w:tcBorders>
            <w:shd w:val="clear" w:color="000000" w:fill="E7E6E6"/>
            <w:vAlign w:val="center"/>
            <w:hideMark/>
          </w:tcPr>
          <w:p w14:paraId="67EDA5E7"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1360" w:type="dxa"/>
            <w:tcBorders>
              <w:top w:val="nil"/>
              <w:left w:val="nil"/>
              <w:bottom w:val="nil"/>
              <w:right w:val="nil"/>
            </w:tcBorders>
            <w:shd w:val="clear" w:color="000000" w:fill="E7E6E6"/>
            <w:vAlign w:val="center"/>
            <w:hideMark/>
          </w:tcPr>
          <w:p w14:paraId="23028468"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1780" w:type="dxa"/>
            <w:tcBorders>
              <w:top w:val="nil"/>
              <w:left w:val="nil"/>
              <w:bottom w:val="nil"/>
              <w:right w:val="nil"/>
            </w:tcBorders>
            <w:shd w:val="clear" w:color="000000" w:fill="E7E6E6"/>
            <w:vAlign w:val="center"/>
            <w:hideMark/>
          </w:tcPr>
          <w:p w14:paraId="329E5C6E"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r>
      <w:tr w:rsidR="00434D5D" w:rsidRPr="0007074F" w14:paraId="76463F55" w14:textId="77777777" w:rsidTr="00B349CD">
        <w:trPr>
          <w:trHeight w:val="765"/>
        </w:trPr>
        <w:tc>
          <w:tcPr>
            <w:tcW w:w="660" w:type="dxa"/>
            <w:tcBorders>
              <w:top w:val="nil"/>
              <w:left w:val="nil"/>
              <w:bottom w:val="nil"/>
              <w:right w:val="nil"/>
            </w:tcBorders>
            <w:shd w:val="clear" w:color="000000" w:fill="FFFFFF"/>
            <w:vAlign w:val="center"/>
            <w:hideMark/>
          </w:tcPr>
          <w:p w14:paraId="17F67236"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w:t>
            </w:r>
          </w:p>
        </w:tc>
        <w:tc>
          <w:tcPr>
            <w:tcW w:w="4240" w:type="dxa"/>
            <w:tcBorders>
              <w:top w:val="nil"/>
              <w:left w:val="nil"/>
              <w:bottom w:val="nil"/>
              <w:right w:val="nil"/>
            </w:tcBorders>
            <w:shd w:val="clear" w:color="000000" w:fill="FFFFFF"/>
            <w:vAlign w:val="center"/>
            <w:hideMark/>
          </w:tcPr>
          <w:p w14:paraId="6488523D"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xml:space="preserve">АД „Електромрежа Србије” - Реконструкција РП 110kV Панчево 1 уз примену савремених дигиталних технологија </w:t>
            </w:r>
          </w:p>
        </w:tc>
        <w:tc>
          <w:tcPr>
            <w:tcW w:w="1600" w:type="dxa"/>
            <w:tcBorders>
              <w:top w:val="nil"/>
              <w:left w:val="nil"/>
              <w:bottom w:val="nil"/>
              <w:right w:val="nil"/>
            </w:tcBorders>
            <w:shd w:val="clear" w:color="000000" w:fill="FFFFFF"/>
            <w:vAlign w:val="center"/>
            <w:hideMark/>
          </w:tcPr>
          <w:p w14:paraId="5CC7E773"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1.417.200.000</w:t>
            </w:r>
          </w:p>
        </w:tc>
        <w:tc>
          <w:tcPr>
            <w:tcW w:w="1360" w:type="dxa"/>
            <w:tcBorders>
              <w:top w:val="nil"/>
              <w:left w:val="nil"/>
              <w:bottom w:val="nil"/>
              <w:right w:val="nil"/>
            </w:tcBorders>
            <w:shd w:val="clear" w:color="000000" w:fill="FFFFFF"/>
            <w:vAlign w:val="center"/>
            <w:hideMark/>
          </w:tcPr>
          <w:p w14:paraId="7C070B67"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354D6C73"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12.000.000</w:t>
            </w:r>
          </w:p>
        </w:tc>
      </w:tr>
      <w:tr w:rsidR="00434D5D" w:rsidRPr="0007074F" w14:paraId="5924A3D1" w14:textId="77777777" w:rsidTr="00B349CD">
        <w:trPr>
          <w:trHeight w:val="300"/>
        </w:trPr>
        <w:tc>
          <w:tcPr>
            <w:tcW w:w="660" w:type="dxa"/>
            <w:tcBorders>
              <w:top w:val="nil"/>
              <w:left w:val="nil"/>
              <w:bottom w:val="nil"/>
              <w:right w:val="nil"/>
            </w:tcBorders>
            <w:shd w:val="clear" w:color="000000" w:fill="FFFFFF"/>
            <w:vAlign w:val="center"/>
            <w:hideMark/>
          </w:tcPr>
          <w:p w14:paraId="7FF88B9F"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4240" w:type="dxa"/>
            <w:tcBorders>
              <w:top w:val="nil"/>
              <w:left w:val="nil"/>
              <w:bottom w:val="nil"/>
              <w:right w:val="nil"/>
            </w:tcBorders>
            <w:shd w:val="clear" w:color="000000" w:fill="FFFFFF"/>
            <w:vAlign w:val="center"/>
            <w:hideMark/>
          </w:tcPr>
          <w:p w14:paraId="7D115AC1"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Укупно:</w:t>
            </w:r>
          </w:p>
        </w:tc>
        <w:tc>
          <w:tcPr>
            <w:tcW w:w="1600" w:type="dxa"/>
            <w:tcBorders>
              <w:top w:val="nil"/>
              <w:left w:val="nil"/>
              <w:bottom w:val="nil"/>
              <w:right w:val="nil"/>
            </w:tcBorders>
            <w:shd w:val="clear" w:color="000000" w:fill="FFFFFF"/>
            <w:vAlign w:val="center"/>
            <w:hideMark/>
          </w:tcPr>
          <w:p w14:paraId="1DD39208"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1.417.200.000</w:t>
            </w:r>
          </w:p>
        </w:tc>
        <w:tc>
          <w:tcPr>
            <w:tcW w:w="1360" w:type="dxa"/>
            <w:tcBorders>
              <w:top w:val="nil"/>
              <w:left w:val="nil"/>
              <w:bottom w:val="nil"/>
              <w:right w:val="nil"/>
            </w:tcBorders>
            <w:shd w:val="clear" w:color="000000" w:fill="FFFFFF"/>
            <w:vAlign w:val="center"/>
            <w:hideMark/>
          </w:tcPr>
          <w:p w14:paraId="5895F061"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EUR</w:t>
            </w:r>
          </w:p>
        </w:tc>
        <w:tc>
          <w:tcPr>
            <w:tcW w:w="1780" w:type="dxa"/>
            <w:tcBorders>
              <w:top w:val="nil"/>
              <w:left w:val="nil"/>
              <w:bottom w:val="nil"/>
              <w:right w:val="nil"/>
            </w:tcBorders>
            <w:shd w:val="clear" w:color="000000" w:fill="FFFFFF"/>
            <w:vAlign w:val="center"/>
            <w:hideMark/>
          </w:tcPr>
          <w:p w14:paraId="0B33B147"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12.000.000</w:t>
            </w:r>
          </w:p>
        </w:tc>
      </w:tr>
      <w:tr w:rsidR="00434D5D" w:rsidRPr="0007074F" w14:paraId="1A87F243" w14:textId="77777777" w:rsidTr="00B349CD">
        <w:trPr>
          <w:trHeight w:val="510"/>
        </w:trPr>
        <w:tc>
          <w:tcPr>
            <w:tcW w:w="660" w:type="dxa"/>
            <w:tcBorders>
              <w:top w:val="nil"/>
              <w:left w:val="nil"/>
              <w:bottom w:val="nil"/>
              <w:right w:val="nil"/>
            </w:tcBorders>
            <w:shd w:val="clear" w:color="000000" w:fill="E7E6E6"/>
            <w:vAlign w:val="center"/>
            <w:hideMark/>
          </w:tcPr>
          <w:p w14:paraId="6DAD7D83"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VI.</w:t>
            </w:r>
          </w:p>
        </w:tc>
        <w:tc>
          <w:tcPr>
            <w:tcW w:w="4240" w:type="dxa"/>
            <w:tcBorders>
              <w:top w:val="nil"/>
              <w:left w:val="nil"/>
              <w:bottom w:val="nil"/>
              <w:right w:val="nil"/>
            </w:tcBorders>
            <w:shd w:val="clear" w:color="000000" w:fill="E7E6E6"/>
            <w:vAlign w:val="center"/>
            <w:hideMark/>
          </w:tcPr>
          <w:p w14:paraId="33B4FCB5"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Европском друштву за финансирање железничких возних средстава (ЕУРОФИМА)</w:t>
            </w:r>
          </w:p>
        </w:tc>
        <w:tc>
          <w:tcPr>
            <w:tcW w:w="1600" w:type="dxa"/>
            <w:tcBorders>
              <w:top w:val="nil"/>
              <w:left w:val="nil"/>
              <w:bottom w:val="nil"/>
              <w:right w:val="nil"/>
            </w:tcBorders>
            <w:shd w:val="clear" w:color="000000" w:fill="E7E6E6"/>
            <w:vAlign w:val="center"/>
            <w:hideMark/>
          </w:tcPr>
          <w:p w14:paraId="414F77CE"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1360" w:type="dxa"/>
            <w:tcBorders>
              <w:top w:val="nil"/>
              <w:left w:val="nil"/>
              <w:bottom w:val="nil"/>
              <w:right w:val="nil"/>
            </w:tcBorders>
            <w:shd w:val="clear" w:color="000000" w:fill="E7E6E6"/>
            <w:vAlign w:val="center"/>
            <w:hideMark/>
          </w:tcPr>
          <w:p w14:paraId="20B401B0"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1780" w:type="dxa"/>
            <w:tcBorders>
              <w:top w:val="nil"/>
              <w:left w:val="nil"/>
              <w:bottom w:val="nil"/>
              <w:right w:val="nil"/>
            </w:tcBorders>
            <w:shd w:val="clear" w:color="000000" w:fill="E7E6E6"/>
            <w:vAlign w:val="center"/>
            <w:hideMark/>
          </w:tcPr>
          <w:p w14:paraId="34B18D56"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r>
      <w:tr w:rsidR="00434D5D" w:rsidRPr="0007074F" w14:paraId="516A78E6" w14:textId="77777777" w:rsidTr="00B349CD">
        <w:trPr>
          <w:trHeight w:val="1785"/>
        </w:trPr>
        <w:tc>
          <w:tcPr>
            <w:tcW w:w="660" w:type="dxa"/>
            <w:tcBorders>
              <w:top w:val="nil"/>
              <w:left w:val="nil"/>
              <w:bottom w:val="nil"/>
              <w:right w:val="nil"/>
            </w:tcBorders>
            <w:shd w:val="clear" w:color="000000" w:fill="FFFFFF"/>
            <w:vAlign w:val="center"/>
            <w:hideMark/>
          </w:tcPr>
          <w:p w14:paraId="6C65BBE5"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w:t>
            </w:r>
          </w:p>
        </w:tc>
        <w:tc>
          <w:tcPr>
            <w:tcW w:w="4240" w:type="dxa"/>
            <w:tcBorders>
              <w:top w:val="nil"/>
              <w:left w:val="nil"/>
              <w:bottom w:val="nil"/>
              <w:right w:val="nil"/>
            </w:tcBorders>
            <w:shd w:val="clear" w:color="000000" w:fill="FFFFFF"/>
            <w:vAlign w:val="center"/>
            <w:hideMark/>
          </w:tcPr>
          <w:p w14:paraId="15E62BF1" w14:textId="77777777" w:rsidR="00434D5D" w:rsidRPr="0007074F" w:rsidRDefault="00434D5D" w:rsidP="00B349CD">
            <w:pPr>
              <w:spacing w:after="0" w:line="240" w:lineRule="auto"/>
              <w:jc w:val="lef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Акционарско друштво за железнички превоз путника „Србија Воз”, Београд - Набавка нових возних средстава и модернизација постојећег возног парка (набавка нових локомотива, модернизација постојећих дизел-моторних возова, набавка возних средстава за међународни путнички саобраћај)</w:t>
            </w:r>
          </w:p>
        </w:tc>
        <w:tc>
          <w:tcPr>
            <w:tcW w:w="1600" w:type="dxa"/>
            <w:tcBorders>
              <w:top w:val="nil"/>
              <w:left w:val="nil"/>
              <w:bottom w:val="nil"/>
              <w:right w:val="nil"/>
            </w:tcBorders>
            <w:shd w:val="clear" w:color="000000" w:fill="FFFFFF"/>
            <w:vAlign w:val="center"/>
            <w:hideMark/>
          </w:tcPr>
          <w:p w14:paraId="3A3077D2"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10.629.000.000</w:t>
            </w:r>
          </w:p>
        </w:tc>
        <w:tc>
          <w:tcPr>
            <w:tcW w:w="1360" w:type="dxa"/>
            <w:tcBorders>
              <w:top w:val="nil"/>
              <w:left w:val="nil"/>
              <w:bottom w:val="nil"/>
              <w:right w:val="nil"/>
            </w:tcBorders>
            <w:shd w:val="clear" w:color="000000" w:fill="FFFFFF"/>
            <w:vAlign w:val="center"/>
            <w:hideMark/>
          </w:tcPr>
          <w:p w14:paraId="707180C3"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EUR</w:t>
            </w:r>
          </w:p>
        </w:tc>
        <w:tc>
          <w:tcPr>
            <w:tcW w:w="1780" w:type="dxa"/>
            <w:tcBorders>
              <w:top w:val="nil"/>
              <w:left w:val="nil"/>
              <w:bottom w:val="nil"/>
              <w:right w:val="nil"/>
            </w:tcBorders>
            <w:shd w:val="clear" w:color="000000" w:fill="FFFFFF"/>
            <w:vAlign w:val="center"/>
            <w:hideMark/>
          </w:tcPr>
          <w:p w14:paraId="4D65B200" w14:textId="77777777" w:rsidR="00434D5D" w:rsidRPr="0007074F" w:rsidRDefault="00434D5D" w:rsidP="00B349CD">
            <w:pPr>
              <w:spacing w:after="0" w:line="240" w:lineRule="auto"/>
              <w:jc w:val="right"/>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90.000.000</w:t>
            </w:r>
          </w:p>
        </w:tc>
      </w:tr>
      <w:tr w:rsidR="00434D5D" w:rsidRPr="0007074F" w14:paraId="4E825D5B" w14:textId="77777777" w:rsidTr="00B349CD">
        <w:trPr>
          <w:trHeight w:val="315"/>
        </w:trPr>
        <w:tc>
          <w:tcPr>
            <w:tcW w:w="660" w:type="dxa"/>
            <w:tcBorders>
              <w:top w:val="nil"/>
              <w:left w:val="nil"/>
              <w:bottom w:val="nil"/>
              <w:right w:val="nil"/>
            </w:tcBorders>
            <w:shd w:val="clear" w:color="000000" w:fill="FFFFFF"/>
            <w:vAlign w:val="center"/>
            <w:hideMark/>
          </w:tcPr>
          <w:p w14:paraId="7CACF3A8" w14:textId="77777777" w:rsidR="00434D5D" w:rsidRPr="0007074F" w:rsidRDefault="00434D5D" w:rsidP="00B349CD">
            <w:pPr>
              <w:spacing w:after="0" w:line="240" w:lineRule="auto"/>
              <w:jc w:val="center"/>
              <w:rPr>
                <w:rFonts w:ascii="Calibri" w:eastAsia="Times New Roman" w:hAnsi="Calibri" w:cs="Calibri"/>
                <w:color w:val="203764"/>
                <w:szCs w:val="20"/>
                <w:lang w:val="sr-Cyrl-CS"/>
              </w:rPr>
            </w:pPr>
            <w:r w:rsidRPr="0007074F">
              <w:rPr>
                <w:rFonts w:ascii="Calibri" w:eastAsia="Times New Roman" w:hAnsi="Calibri" w:cs="Calibri"/>
                <w:color w:val="203764"/>
                <w:szCs w:val="20"/>
                <w:lang w:val="sr-Cyrl-CS"/>
              </w:rPr>
              <w:t> </w:t>
            </w:r>
          </w:p>
        </w:tc>
        <w:tc>
          <w:tcPr>
            <w:tcW w:w="4240" w:type="dxa"/>
            <w:tcBorders>
              <w:top w:val="nil"/>
              <w:left w:val="nil"/>
              <w:bottom w:val="nil"/>
              <w:right w:val="nil"/>
            </w:tcBorders>
            <w:shd w:val="clear" w:color="000000" w:fill="FFFFFF"/>
            <w:vAlign w:val="center"/>
            <w:hideMark/>
          </w:tcPr>
          <w:p w14:paraId="120C67A6"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Укупно:</w:t>
            </w:r>
          </w:p>
        </w:tc>
        <w:tc>
          <w:tcPr>
            <w:tcW w:w="1600" w:type="dxa"/>
            <w:tcBorders>
              <w:top w:val="nil"/>
              <w:left w:val="nil"/>
              <w:bottom w:val="nil"/>
              <w:right w:val="nil"/>
            </w:tcBorders>
            <w:shd w:val="clear" w:color="000000" w:fill="FFFFFF"/>
            <w:vAlign w:val="center"/>
            <w:hideMark/>
          </w:tcPr>
          <w:p w14:paraId="00F10946"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10.629.000.000</w:t>
            </w:r>
          </w:p>
        </w:tc>
        <w:tc>
          <w:tcPr>
            <w:tcW w:w="1360" w:type="dxa"/>
            <w:tcBorders>
              <w:top w:val="nil"/>
              <w:left w:val="nil"/>
              <w:bottom w:val="nil"/>
              <w:right w:val="nil"/>
            </w:tcBorders>
            <w:shd w:val="clear" w:color="000000" w:fill="FFFFFF"/>
            <w:vAlign w:val="center"/>
            <w:hideMark/>
          </w:tcPr>
          <w:p w14:paraId="39FD7E39"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EUR</w:t>
            </w:r>
          </w:p>
        </w:tc>
        <w:tc>
          <w:tcPr>
            <w:tcW w:w="1780" w:type="dxa"/>
            <w:tcBorders>
              <w:top w:val="nil"/>
              <w:left w:val="nil"/>
              <w:bottom w:val="nil"/>
              <w:right w:val="nil"/>
            </w:tcBorders>
            <w:shd w:val="clear" w:color="000000" w:fill="FFFFFF"/>
            <w:vAlign w:val="center"/>
            <w:hideMark/>
          </w:tcPr>
          <w:p w14:paraId="4CE02899"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90.000.000</w:t>
            </w:r>
          </w:p>
        </w:tc>
      </w:tr>
      <w:tr w:rsidR="00434D5D" w:rsidRPr="0007074F" w14:paraId="7A9076B9" w14:textId="77777777" w:rsidTr="00B349CD">
        <w:trPr>
          <w:trHeight w:val="315"/>
        </w:trPr>
        <w:tc>
          <w:tcPr>
            <w:tcW w:w="660" w:type="dxa"/>
            <w:tcBorders>
              <w:top w:val="single" w:sz="8" w:space="0" w:color="203764"/>
              <w:left w:val="nil"/>
              <w:bottom w:val="single" w:sz="8" w:space="0" w:color="203764"/>
              <w:right w:val="nil"/>
            </w:tcBorders>
            <w:shd w:val="clear" w:color="000000" w:fill="FFFFFF"/>
            <w:vAlign w:val="center"/>
            <w:hideMark/>
          </w:tcPr>
          <w:p w14:paraId="7A445BD9"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 </w:t>
            </w:r>
          </w:p>
        </w:tc>
        <w:tc>
          <w:tcPr>
            <w:tcW w:w="4240" w:type="dxa"/>
            <w:tcBorders>
              <w:top w:val="single" w:sz="8" w:space="0" w:color="203764"/>
              <w:left w:val="nil"/>
              <w:bottom w:val="single" w:sz="8" w:space="0" w:color="203764"/>
              <w:right w:val="nil"/>
            </w:tcBorders>
            <w:shd w:val="clear" w:color="000000" w:fill="FFFFFF"/>
            <w:vAlign w:val="center"/>
            <w:hideMark/>
          </w:tcPr>
          <w:p w14:paraId="2B849456" w14:textId="77777777" w:rsidR="00434D5D" w:rsidRPr="0007074F" w:rsidRDefault="00434D5D" w:rsidP="00B349CD">
            <w:pPr>
              <w:spacing w:after="0" w:line="240" w:lineRule="auto"/>
              <w:jc w:val="lef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УКУПНО:</w:t>
            </w:r>
          </w:p>
        </w:tc>
        <w:tc>
          <w:tcPr>
            <w:tcW w:w="1600" w:type="dxa"/>
            <w:tcBorders>
              <w:top w:val="single" w:sz="8" w:space="0" w:color="203764"/>
              <w:left w:val="nil"/>
              <w:bottom w:val="single" w:sz="8" w:space="0" w:color="203764"/>
              <w:right w:val="nil"/>
            </w:tcBorders>
            <w:shd w:val="clear" w:color="000000" w:fill="FFFFFF"/>
            <w:vAlign w:val="center"/>
            <w:hideMark/>
          </w:tcPr>
          <w:p w14:paraId="183B6E80"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271.979.189.577</w:t>
            </w:r>
          </w:p>
        </w:tc>
        <w:tc>
          <w:tcPr>
            <w:tcW w:w="1360" w:type="dxa"/>
            <w:tcBorders>
              <w:top w:val="single" w:sz="8" w:space="0" w:color="203764"/>
              <w:left w:val="nil"/>
              <w:bottom w:val="single" w:sz="8" w:space="0" w:color="203764"/>
              <w:right w:val="nil"/>
            </w:tcBorders>
            <w:shd w:val="clear" w:color="000000" w:fill="FFFFFF"/>
            <w:vAlign w:val="center"/>
            <w:hideMark/>
          </w:tcPr>
          <w:p w14:paraId="3B0AF460" w14:textId="77777777" w:rsidR="00434D5D" w:rsidRPr="0007074F" w:rsidRDefault="00434D5D" w:rsidP="00B349CD">
            <w:pPr>
              <w:spacing w:after="0" w:line="240" w:lineRule="auto"/>
              <w:jc w:val="center"/>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EUR</w:t>
            </w:r>
          </w:p>
        </w:tc>
        <w:tc>
          <w:tcPr>
            <w:tcW w:w="1780" w:type="dxa"/>
            <w:tcBorders>
              <w:top w:val="single" w:sz="8" w:space="0" w:color="203764"/>
              <w:left w:val="nil"/>
              <w:bottom w:val="single" w:sz="8" w:space="0" w:color="203764"/>
              <w:right w:val="nil"/>
            </w:tcBorders>
            <w:shd w:val="clear" w:color="000000" w:fill="FFFFFF"/>
            <w:vAlign w:val="center"/>
            <w:hideMark/>
          </w:tcPr>
          <w:p w14:paraId="2E4DD27B" w14:textId="77777777" w:rsidR="00434D5D" w:rsidRPr="0007074F" w:rsidRDefault="00434D5D" w:rsidP="00B349CD">
            <w:pPr>
              <w:spacing w:after="0" w:line="240" w:lineRule="auto"/>
              <w:jc w:val="right"/>
              <w:rPr>
                <w:rFonts w:ascii="Calibri" w:eastAsia="Times New Roman" w:hAnsi="Calibri" w:cs="Calibri"/>
                <w:b/>
                <w:bCs/>
                <w:color w:val="203764"/>
                <w:szCs w:val="20"/>
                <w:lang w:val="sr-Cyrl-CS"/>
              </w:rPr>
            </w:pPr>
            <w:r w:rsidRPr="0007074F">
              <w:rPr>
                <w:rFonts w:ascii="Calibri" w:eastAsia="Times New Roman" w:hAnsi="Calibri" w:cs="Calibri"/>
                <w:b/>
                <w:bCs/>
                <w:color w:val="203764"/>
                <w:szCs w:val="20"/>
                <w:lang w:val="sr-Cyrl-CS"/>
              </w:rPr>
              <w:t>2.302.956.728</w:t>
            </w:r>
          </w:p>
        </w:tc>
      </w:tr>
      <w:tr w:rsidR="00434D5D" w:rsidRPr="0007074F" w14:paraId="35011CCA" w14:textId="77777777" w:rsidTr="00B349CD">
        <w:trPr>
          <w:trHeight w:val="255"/>
        </w:trPr>
        <w:tc>
          <w:tcPr>
            <w:tcW w:w="4900" w:type="dxa"/>
            <w:gridSpan w:val="2"/>
            <w:tcBorders>
              <w:top w:val="single" w:sz="8" w:space="0" w:color="203764"/>
              <w:left w:val="nil"/>
              <w:bottom w:val="nil"/>
              <w:right w:val="nil"/>
            </w:tcBorders>
            <w:shd w:val="clear" w:color="000000" w:fill="FFFFFF"/>
            <w:vAlign w:val="center"/>
            <w:hideMark/>
          </w:tcPr>
          <w:p w14:paraId="13278056" w14:textId="77777777" w:rsidR="00434D5D" w:rsidRPr="0007074F" w:rsidRDefault="00434D5D" w:rsidP="00B349CD">
            <w:pPr>
              <w:spacing w:after="0" w:line="240" w:lineRule="auto"/>
              <w:jc w:val="left"/>
              <w:rPr>
                <w:rFonts w:ascii="Calibri" w:eastAsia="Times New Roman" w:hAnsi="Calibri" w:cs="Calibri"/>
                <w:color w:val="203764"/>
                <w:sz w:val="16"/>
                <w:szCs w:val="16"/>
                <w:lang w:val="sr-Cyrl-CS"/>
              </w:rPr>
            </w:pPr>
            <w:r w:rsidRPr="0007074F">
              <w:rPr>
                <w:rFonts w:eastAsia="MS PGothic" w:cstheme="minorHAnsi"/>
                <w:sz w:val="16"/>
                <w:szCs w:val="16"/>
                <w:lang w:val="sr-Cyrl-CS" w:eastAsia="ja-JP"/>
              </w:rPr>
              <w:t>Извор: Министарство финансија</w:t>
            </w:r>
          </w:p>
        </w:tc>
        <w:tc>
          <w:tcPr>
            <w:tcW w:w="1600" w:type="dxa"/>
            <w:tcBorders>
              <w:top w:val="nil"/>
              <w:left w:val="nil"/>
              <w:bottom w:val="nil"/>
              <w:right w:val="nil"/>
            </w:tcBorders>
            <w:shd w:val="clear" w:color="000000" w:fill="FFFFFF"/>
            <w:noWrap/>
            <w:vAlign w:val="bottom"/>
            <w:hideMark/>
          </w:tcPr>
          <w:p w14:paraId="6D7310B9" w14:textId="77777777" w:rsidR="00434D5D" w:rsidRPr="0007074F" w:rsidRDefault="00434D5D" w:rsidP="00B349CD">
            <w:pPr>
              <w:spacing w:after="0" w:line="240" w:lineRule="auto"/>
              <w:jc w:val="left"/>
              <w:rPr>
                <w:rFonts w:ascii="Calibri" w:eastAsia="Times New Roman" w:hAnsi="Calibri" w:cs="Calibri"/>
                <w:color w:val="000000"/>
                <w:sz w:val="22"/>
                <w:lang w:val="sr-Cyrl-CS"/>
              </w:rPr>
            </w:pPr>
            <w:r w:rsidRPr="0007074F">
              <w:rPr>
                <w:rFonts w:ascii="Calibri" w:eastAsia="Times New Roman" w:hAnsi="Calibri" w:cs="Calibri"/>
                <w:color w:val="000000"/>
                <w:sz w:val="22"/>
                <w:lang w:val="sr-Cyrl-CS"/>
              </w:rPr>
              <w:t> </w:t>
            </w:r>
          </w:p>
        </w:tc>
        <w:tc>
          <w:tcPr>
            <w:tcW w:w="1360" w:type="dxa"/>
            <w:tcBorders>
              <w:top w:val="nil"/>
              <w:left w:val="nil"/>
              <w:bottom w:val="nil"/>
              <w:right w:val="nil"/>
            </w:tcBorders>
            <w:shd w:val="clear" w:color="000000" w:fill="FFFFFF"/>
            <w:noWrap/>
            <w:vAlign w:val="bottom"/>
            <w:hideMark/>
          </w:tcPr>
          <w:p w14:paraId="72556CDC" w14:textId="77777777" w:rsidR="00434D5D" w:rsidRPr="0007074F" w:rsidRDefault="00434D5D" w:rsidP="00B349CD">
            <w:pPr>
              <w:spacing w:after="0" w:line="240" w:lineRule="auto"/>
              <w:jc w:val="left"/>
              <w:rPr>
                <w:rFonts w:ascii="Calibri" w:eastAsia="Times New Roman" w:hAnsi="Calibri" w:cs="Calibri"/>
                <w:color w:val="000000"/>
                <w:sz w:val="22"/>
                <w:lang w:val="sr-Cyrl-CS"/>
              </w:rPr>
            </w:pPr>
            <w:r w:rsidRPr="0007074F">
              <w:rPr>
                <w:rFonts w:ascii="Calibri" w:eastAsia="Times New Roman" w:hAnsi="Calibri" w:cs="Calibri"/>
                <w:color w:val="000000"/>
                <w:sz w:val="22"/>
                <w:lang w:val="sr-Cyrl-CS"/>
              </w:rPr>
              <w:t> </w:t>
            </w:r>
          </w:p>
        </w:tc>
        <w:tc>
          <w:tcPr>
            <w:tcW w:w="1780" w:type="dxa"/>
            <w:tcBorders>
              <w:top w:val="nil"/>
              <w:left w:val="nil"/>
              <w:bottom w:val="nil"/>
              <w:right w:val="nil"/>
            </w:tcBorders>
            <w:shd w:val="clear" w:color="000000" w:fill="FFFFFF"/>
            <w:noWrap/>
            <w:vAlign w:val="bottom"/>
            <w:hideMark/>
          </w:tcPr>
          <w:p w14:paraId="523E243D" w14:textId="77777777" w:rsidR="00434D5D" w:rsidRPr="0007074F" w:rsidRDefault="00434D5D" w:rsidP="00B349CD">
            <w:pPr>
              <w:spacing w:after="0" w:line="240" w:lineRule="auto"/>
              <w:jc w:val="left"/>
              <w:rPr>
                <w:rFonts w:ascii="Calibri" w:eastAsia="Times New Roman" w:hAnsi="Calibri" w:cs="Calibri"/>
                <w:color w:val="000000"/>
                <w:sz w:val="22"/>
                <w:lang w:val="sr-Cyrl-CS"/>
              </w:rPr>
            </w:pPr>
            <w:r w:rsidRPr="0007074F">
              <w:rPr>
                <w:rFonts w:ascii="Calibri" w:eastAsia="Times New Roman" w:hAnsi="Calibri" w:cs="Calibri"/>
                <w:color w:val="000000"/>
                <w:sz w:val="22"/>
                <w:lang w:val="sr-Cyrl-CS"/>
              </w:rPr>
              <w:t> </w:t>
            </w:r>
          </w:p>
        </w:tc>
      </w:tr>
    </w:tbl>
    <w:p w14:paraId="06BA490E" w14:textId="77777777" w:rsidR="00434D5D" w:rsidRPr="0007074F" w:rsidRDefault="00434D5D" w:rsidP="00B349CD">
      <w:pPr>
        <w:spacing w:after="40" w:line="276" w:lineRule="auto"/>
        <w:rPr>
          <w:rFonts w:eastAsia="MS PGothic" w:cstheme="minorHAnsi"/>
          <w:sz w:val="18"/>
          <w:szCs w:val="18"/>
          <w:lang w:val="sr-Cyrl-CS" w:eastAsia="ja-JP"/>
        </w:rPr>
        <w:sectPr w:rsidR="00434D5D" w:rsidRPr="0007074F" w:rsidSect="00B349CD">
          <w:type w:val="continuous"/>
          <w:pgSz w:w="12240" w:h="15840"/>
          <w:pgMar w:top="1440" w:right="1440" w:bottom="1440" w:left="1440" w:header="720" w:footer="720" w:gutter="0"/>
          <w:cols w:space="720"/>
          <w:docGrid w:linePitch="360"/>
        </w:sectPr>
      </w:pPr>
      <w:r w:rsidRPr="0007074F">
        <w:rPr>
          <w:rFonts w:eastAsia="MS PGothic" w:cstheme="minorHAnsi"/>
          <w:sz w:val="18"/>
          <w:szCs w:val="18"/>
          <w:lang w:val="sr-Cyrl-CS" w:eastAsia="ja-JP"/>
        </w:rPr>
        <w:fldChar w:fldCharType="end"/>
      </w:r>
    </w:p>
    <w:p w14:paraId="33913F21"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У наредним годинама није планиран значајнији раст ове категорије расхода. Учешће ових расхода у БДП креће се у просеку око 0,3% БДП у средњем року.</w:t>
      </w:r>
    </w:p>
    <w:p w14:paraId="662FB2CC"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Структурне реформе јавних и државних предузећа, њихово оспособљавање за тржишну утакмицу и финансијску одрживост, с једне стране, и ограничено и циљано издавање нових гаранција, с друге стране, допринеће умањењу фискалних ризика по овом основу и одржавању расхода у планираним, тј. пројектованим оквирима у наредном средњорочном периоду.</w:t>
      </w:r>
    </w:p>
    <w:p w14:paraId="4EEB25D5" w14:textId="77777777" w:rsidR="00434D5D" w:rsidRPr="0007074F" w:rsidRDefault="00434D5D" w:rsidP="00B349CD">
      <w:pPr>
        <w:rPr>
          <w:rFonts w:cstheme="minorHAnsi"/>
          <w:b/>
          <w:bCs/>
          <w:color w:val="2F5496" w:themeColor="accent1" w:themeShade="BF"/>
          <w:sz w:val="22"/>
          <w:szCs w:val="20"/>
          <w:lang w:val="sr-Cyrl-CS"/>
        </w:rPr>
      </w:pPr>
      <w:r w:rsidRPr="0007074F">
        <w:rPr>
          <w:rFonts w:cstheme="minorHAnsi"/>
          <w:b/>
          <w:bCs/>
          <w:color w:val="2F5496" w:themeColor="accent1" w:themeShade="BF"/>
          <w:sz w:val="22"/>
          <w:szCs w:val="20"/>
          <w:lang w:val="sr-Cyrl-CS"/>
        </w:rPr>
        <w:t>Јавна предузећа</w:t>
      </w:r>
    </w:p>
    <w:p w14:paraId="2E174189"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 xml:space="preserve">Сектор за праћење фискалних ризика прати пословање 36 јавних предузећа чији је оснивач Република Србија. Пословање јавних предузећа представља значајан извор фискалних ризика, како на страни буџетских прихода, тако и на страни расхода. Јавна предузећа се у пословању суочавају са бројним проблемима, од наплате потраживања, до редовног измиривања обавеза према повериоцима, држави и запосленима и сл. Држава као оснивач и њихов једини власник је одговорна за пословање и њихово је последње </w:t>
      </w:r>
      <w:r w:rsidRPr="0007074F">
        <w:rPr>
          <w:rFonts w:eastAsia="MS PGothic" w:cstheme="minorHAnsi"/>
          <w:szCs w:val="20"/>
          <w:lang w:val="sr-Cyrl-CS" w:eastAsia="ja-JP"/>
        </w:rPr>
        <w:lastRenderedPageBreak/>
        <w:t>уточиште у случају неликвидности. Постоји неколико канала кроз које се могу материјализовати фискални ризици везани за пословање јавних предузећа. Највећи, али не и једини ризик, су државне гаранције дате за кредите јавних предузећа. Одрживост, ефикасност и профитабилност јавних предузећа утичу на приходе буџета, односно на износ добити коју уплаћују у буџет. Квалитет производа и услуга које обезбеђују јавна предузећа утичу на ефикасност и профитабилност приватног сектора и у крајњој инстанци на ниво пореза које уплаћују у буџет.</w:t>
      </w:r>
    </w:p>
    <w:p w14:paraId="4D39E07D" w14:textId="77777777" w:rsidR="00434D5D" w:rsidRPr="0007074F" w:rsidRDefault="00434D5D" w:rsidP="00B349CD">
      <w:pPr>
        <w:rPr>
          <w:rFonts w:eastAsia="MS PGothic" w:cstheme="minorHAnsi"/>
          <w:spacing w:val="-2"/>
          <w:szCs w:val="20"/>
          <w:lang w:val="sr-Cyrl-CS" w:eastAsia="ja-JP"/>
        </w:rPr>
      </w:pPr>
      <w:r w:rsidRPr="0007074F">
        <w:rPr>
          <w:rFonts w:eastAsia="MS PGothic" w:cstheme="minorHAnsi"/>
          <w:spacing w:val="-2"/>
          <w:szCs w:val="20"/>
          <w:lang w:val="sr-Cyrl-CS" w:eastAsia="ja-JP"/>
        </w:rPr>
        <w:t>Јавна предузећа представљају значајан сегмент српске привреде која запошљавају око 67,2 хиљаде људи. Јавна предузећа се оснивају као друштва за обављање делатности од општег интереса. Њихов рад уређен је Законом о јавним предузећима, који је усвојен у фебруару 2016. године, као и подсекторским законима који дефинишу специфична подручја која нису обухваћена Законом о јавним предузећима (Закон о енергетици, Закон о привредним друштвима и др).</w:t>
      </w:r>
    </w:p>
    <w:p w14:paraId="4065EC55" w14:textId="77777777" w:rsidR="00434D5D" w:rsidRPr="0007074F" w:rsidRDefault="00434D5D" w:rsidP="00B349CD">
      <w:pPr>
        <w:rPr>
          <w:rFonts w:cstheme="minorHAnsi"/>
          <w:b/>
          <w:bCs/>
          <w:color w:val="2F5496" w:themeColor="accent1" w:themeShade="BF"/>
          <w:szCs w:val="20"/>
          <w:lang w:val="sr-Cyrl-CS"/>
        </w:rPr>
      </w:pPr>
      <w:r w:rsidRPr="0007074F">
        <w:rPr>
          <w:rFonts w:cstheme="minorHAnsi"/>
          <w:b/>
          <w:bCs/>
          <w:color w:val="2F5496" w:themeColor="accent1" w:themeShade="BF"/>
          <w:szCs w:val="20"/>
          <w:lang w:val="sr-Cyrl-CS"/>
        </w:rPr>
        <w:t>Кључни финансијски показатељи пословања јавних предузећа</w:t>
      </w:r>
    </w:p>
    <w:p w14:paraId="21285950" w14:textId="77777777" w:rsidR="00434D5D" w:rsidRPr="0007074F" w:rsidRDefault="00434D5D" w:rsidP="00B349CD">
      <w:pPr>
        <w:jc w:val="left"/>
        <w:rPr>
          <w:b/>
          <w:color w:val="2F5496" w:themeColor="accent1" w:themeShade="BF"/>
          <w:lang w:val="sr-Cyrl-CS"/>
        </w:rPr>
      </w:pPr>
      <w:r w:rsidRPr="0007074F">
        <w:rPr>
          <w:b/>
          <w:color w:val="2F5496" w:themeColor="accent1" w:themeShade="BF"/>
          <w:lang w:val="sr-Cyrl-CS"/>
        </w:rPr>
        <w:t>Резултати пословања јавних предузећа у 2022. години</w:t>
      </w:r>
    </w:p>
    <w:p w14:paraId="23F72323"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 xml:space="preserve">Укупна имовина републичких јавних предузећа на крају 2022. године износила је 3.455 млрд динара, </w:t>
      </w:r>
      <w:r w:rsidRPr="0007074F">
        <w:rPr>
          <w:rFonts w:eastAsia="MS PGothic" w:cstheme="minorHAnsi"/>
          <w:szCs w:val="20"/>
          <w:lang w:val="sr-Cyrl-CS" w:eastAsia="ja-JP"/>
        </w:rPr>
        <w:t>док је као крајњи резултат остварен нето губитак у износу од 68 млрд динара.</w:t>
      </w:r>
    </w:p>
    <w:p w14:paraId="5B0BBDB8" w14:textId="77777777" w:rsidR="00434D5D" w:rsidRPr="0007074F" w:rsidRDefault="00434D5D" w:rsidP="00B349CD">
      <w:pPr>
        <w:jc w:val="center"/>
        <w:rPr>
          <w:rFonts w:eastAsia="MS PGothic" w:cstheme="minorHAnsi"/>
          <w:szCs w:val="20"/>
          <w:lang w:val="sr-Cyrl-CS" w:eastAsia="ja-JP"/>
        </w:rPr>
      </w:pPr>
      <w:r w:rsidRPr="0007074F">
        <w:rPr>
          <w:rFonts w:eastAsia="MS PGothic" w:cstheme="minorHAnsi"/>
          <w:b/>
          <w:bCs/>
          <w:color w:val="002060"/>
          <w:szCs w:val="20"/>
          <w:lang w:val="sr-Cyrl-CS" w:eastAsia="ja-JP"/>
        </w:rPr>
        <w:t>Табела 15. Главни финансијски показатељи пословања јавних предузећа, млрд дин.</w:t>
      </w:r>
    </w:p>
    <w:tbl>
      <w:tblPr>
        <w:tblW w:w="4312" w:type="dxa"/>
        <w:tblLook w:val="04A0" w:firstRow="1" w:lastRow="0" w:firstColumn="1" w:lastColumn="0" w:noHBand="0" w:noVBand="1"/>
      </w:tblPr>
      <w:tblGrid>
        <w:gridCol w:w="3020"/>
        <w:gridCol w:w="646"/>
        <w:gridCol w:w="646"/>
      </w:tblGrid>
      <w:tr w:rsidR="00434D5D" w:rsidRPr="0007074F" w14:paraId="14B589AE" w14:textId="77777777" w:rsidTr="00B349CD">
        <w:trPr>
          <w:trHeight w:hRule="exact" w:val="304"/>
        </w:trPr>
        <w:tc>
          <w:tcPr>
            <w:tcW w:w="0" w:type="auto"/>
            <w:tcBorders>
              <w:top w:val="single" w:sz="8" w:space="0" w:color="002060"/>
              <w:left w:val="nil"/>
              <w:bottom w:val="single" w:sz="8" w:space="0" w:color="002060"/>
              <w:right w:val="nil"/>
            </w:tcBorders>
            <w:shd w:val="clear" w:color="auto" w:fill="auto"/>
            <w:noWrap/>
            <w:vAlign w:val="center"/>
            <w:hideMark/>
          </w:tcPr>
          <w:p w14:paraId="6C7A2B09" w14:textId="77777777" w:rsidR="00434D5D" w:rsidRPr="0007074F" w:rsidRDefault="00434D5D" w:rsidP="00B349CD">
            <w:pPr>
              <w:spacing w:after="120" w:line="276" w:lineRule="auto"/>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Опис</w:t>
            </w:r>
          </w:p>
        </w:tc>
        <w:tc>
          <w:tcPr>
            <w:tcW w:w="0" w:type="auto"/>
            <w:tcBorders>
              <w:top w:val="single" w:sz="8" w:space="0" w:color="002060"/>
              <w:left w:val="nil"/>
              <w:bottom w:val="single" w:sz="8" w:space="0" w:color="002060"/>
              <w:right w:val="nil"/>
            </w:tcBorders>
            <w:shd w:val="clear" w:color="auto" w:fill="auto"/>
            <w:noWrap/>
            <w:vAlign w:val="center"/>
            <w:hideMark/>
          </w:tcPr>
          <w:p w14:paraId="25D1E764" w14:textId="77777777" w:rsidR="00434D5D" w:rsidRPr="0007074F" w:rsidRDefault="00434D5D" w:rsidP="00B349CD">
            <w:pPr>
              <w:spacing w:after="120" w:line="276" w:lineRule="auto"/>
              <w:jc w:val="righ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2021</w:t>
            </w:r>
          </w:p>
        </w:tc>
        <w:tc>
          <w:tcPr>
            <w:tcW w:w="0" w:type="auto"/>
            <w:tcBorders>
              <w:top w:val="single" w:sz="8" w:space="0" w:color="002060"/>
              <w:left w:val="nil"/>
              <w:bottom w:val="single" w:sz="8" w:space="0" w:color="002060"/>
              <w:right w:val="nil"/>
            </w:tcBorders>
            <w:shd w:val="clear" w:color="auto" w:fill="auto"/>
            <w:noWrap/>
            <w:vAlign w:val="center"/>
            <w:hideMark/>
          </w:tcPr>
          <w:p w14:paraId="00A6A932" w14:textId="77777777" w:rsidR="00434D5D" w:rsidRPr="0007074F" w:rsidRDefault="00434D5D" w:rsidP="00B349CD">
            <w:pPr>
              <w:spacing w:after="120" w:line="276" w:lineRule="auto"/>
              <w:jc w:val="righ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2022</w:t>
            </w:r>
          </w:p>
        </w:tc>
      </w:tr>
      <w:tr w:rsidR="00434D5D" w:rsidRPr="0007074F" w14:paraId="43373A02" w14:textId="77777777" w:rsidTr="00B349CD">
        <w:trPr>
          <w:trHeight w:hRule="exact" w:val="304"/>
        </w:trPr>
        <w:tc>
          <w:tcPr>
            <w:tcW w:w="0" w:type="auto"/>
            <w:tcBorders>
              <w:top w:val="nil"/>
              <w:left w:val="nil"/>
              <w:bottom w:val="nil"/>
              <w:right w:val="nil"/>
            </w:tcBorders>
            <w:shd w:val="clear" w:color="auto" w:fill="auto"/>
            <w:noWrap/>
            <w:vAlign w:val="center"/>
            <w:hideMark/>
          </w:tcPr>
          <w:p w14:paraId="136F99A1"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Укупна имовина</w:t>
            </w:r>
          </w:p>
        </w:tc>
        <w:tc>
          <w:tcPr>
            <w:tcW w:w="0" w:type="auto"/>
            <w:tcBorders>
              <w:top w:val="nil"/>
              <w:left w:val="nil"/>
              <w:bottom w:val="nil"/>
              <w:right w:val="nil"/>
            </w:tcBorders>
            <w:shd w:val="clear" w:color="auto" w:fill="auto"/>
            <w:noWrap/>
            <w:vAlign w:val="center"/>
          </w:tcPr>
          <w:p w14:paraId="3B65640F"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3.217</w:t>
            </w:r>
          </w:p>
        </w:tc>
        <w:tc>
          <w:tcPr>
            <w:tcW w:w="0" w:type="auto"/>
            <w:tcBorders>
              <w:top w:val="nil"/>
              <w:left w:val="nil"/>
              <w:bottom w:val="nil"/>
              <w:right w:val="nil"/>
            </w:tcBorders>
            <w:shd w:val="clear" w:color="000000" w:fill="FFFFFF"/>
            <w:noWrap/>
            <w:vAlign w:val="bottom"/>
          </w:tcPr>
          <w:p w14:paraId="3BBC55E0"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3.455</w:t>
            </w:r>
          </w:p>
        </w:tc>
      </w:tr>
      <w:tr w:rsidR="00434D5D" w:rsidRPr="0007074F" w14:paraId="3FD739EF" w14:textId="77777777" w:rsidTr="00B349CD">
        <w:trPr>
          <w:trHeight w:hRule="exact" w:val="304"/>
        </w:trPr>
        <w:tc>
          <w:tcPr>
            <w:tcW w:w="0" w:type="auto"/>
            <w:tcBorders>
              <w:top w:val="nil"/>
              <w:left w:val="nil"/>
              <w:bottom w:val="nil"/>
              <w:right w:val="nil"/>
            </w:tcBorders>
            <w:shd w:val="clear" w:color="auto" w:fill="auto"/>
            <w:noWrap/>
            <w:vAlign w:val="center"/>
            <w:hideMark/>
          </w:tcPr>
          <w:p w14:paraId="38B92B14"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Сопствени капитал</w:t>
            </w:r>
          </w:p>
        </w:tc>
        <w:tc>
          <w:tcPr>
            <w:tcW w:w="0" w:type="auto"/>
            <w:tcBorders>
              <w:top w:val="nil"/>
              <w:left w:val="nil"/>
              <w:bottom w:val="nil"/>
              <w:right w:val="nil"/>
            </w:tcBorders>
            <w:shd w:val="clear" w:color="auto" w:fill="auto"/>
            <w:noWrap/>
            <w:vAlign w:val="center"/>
          </w:tcPr>
          <w:p w14:paraId="32B67BA1"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1.140</w:t>
            </w:r>
          </w:p>
        </w:tc>
        <w:tc>
          <w:tcPr>
            <w:tcW w:w="0" w:type="auto"/>
            <w:tcBorders>
              <w:top w:val="nil"/>
              <w:left w:val="nil"/>
              <w:bottom w:val="nil"/>
              <w:right w:val="nil"/>
            </w:tcBorders>
            <w:shd w:val="clear" w:color="000000" w:fill="FFFFFF"/>
            <w:noWrap/>
            <w:vAlign w:val="bottom"/>
          </w:tcPr>
          <w:p w14:paraId="1DB18F68"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1.147</w:t>
            </w:r>
          </w:p>
        </w:tc>
      </w:tr>
      <w:tr w:rsidR="00434D5D" w:rsidRPr="0007074F" w14:paraId="6410FA24" w14:textId="77777777" w:rsidTr="00B349CD">
        <w:trPr>
          <w:trHeight w:hRule="exact" w:val="304"/>
        </w:trPr>
        <w:tc>
          <w:tcPr>
            <w:tcW w:w="0" w:type="auto"/>
            <w:tcBorders>
              <w:top w:val="nil"/>
              <w:left w:val="nil"/>
              <w:bottom w:val="nil"/>
              <w:right w:val="nil"/>
            </w:tcBorders>
            <w:shd w:val="clear" w:color="auto" w:fill="auto"/>
            <w:noWrap/>
            <w:vAlign w:val="center"/>
            <w:hideMark/>
          </w:tcPr>
          <w:p w14:paraId="3ED665A8"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Укупни приходи</w:t>
            </w:r>
          </w:p>
        </w:tc>
        <w:tc>
          <w:tcPr>
            <w:tcW w:w="0" w:type="auto"/>
            <w:tcBorders>
              <w:top w:val="nil"/>
              <w:left w:val="nil"/>
              <w:bottom w:val="nil"/>
              <w:right w:val="nil"/>
            </w:tcBorders>
            <w:shd w:val="clear" w:color="auto" w:fill="auto"/>
            <w:noWrap/>
            <w:vAlign w:val="center"/>
          </w:tcPr>
          <w:p w14:paraId="4206C415"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776</w:t>
            </w:r>
          </w:p>
        </w:tc>
        <w:tc>
          <w:tcPr>
            <w:tcW w:w="0" w:type="auto"/>
            <w:tcBorders>
              <w:top w:val="nil"/>
              <w:left w:val="nil"/>
              <w:bottom w:val="nil"/>
              <w:right w:val="nil"/>
            </w:tcBorders>
            <w:shd w:val="clear" w:color="000000" w:fill="FFFFFF"/>
            <w:noWrap/>
            <w:vAlign w:val="bottom"/>
          </w:tcPr>
          <w:p w14:paraId="189D429B"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932</w:t>
            </w:r>
          </w:p>
        </w:tc>
      </w:tr>
      <w:tr w:rsidR="00434D5D" w:rsidRPr="0007074F" w14:paraId="2CF745F1" w14:textId="77777777" w:rsidTr="00B349CD">
        <w:trPr>
          <w:trHeight w:hRule="exact" w:val="304"/>
        </w:trPr>
        <w:tc>
          <w:tcPr>
            <w:tcW w:w="0" w:type="auto"/>
            <w:tcBorders>
              <w:top w:val="nil"/>
              <w:left w:val="nil"/>
              <w:bottom w:val="nil"/>
              <w:right w:val="nil"/>
            </w:tcBorders>
            <w:shd w:val="clear" w:color="auto" w:fill="auto"/>
            <w:noWrap/>
            <w:vAlign w:val="center"/>
            <w:hideMark/>
          </w:tcPr>
          <w:p w14:paraId="7A591C01"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Нето резултат</w:t>
            </w:r>
          </w:p>
        </w:tc>
        <w:tc>
          <w:tcPr>
            <w:tcW w:w="0" w:type="auto"/>
            <w:tcBorders>
              <w:top w:val="nil"/>
              <w:left w:val="nil"/>
              <w:bottom w:val="nil"/>
              <w:right w:val="nil"/>
            </w:tcBorders>
            <w:shd w:val="clear" w:color="auto" w:fill="auto"/>
            <w:noWrap/>
            <w:vAlign w:val="center"/>
          </w:tcPr>
          <w:p w14:paraId="479445E7"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-12,7</w:t>
            </w:r>
          </w:p>
        </w:tc>
        <w:tc>
          <w:tcPr>
            <w:tcW w:w="0" w:type="auto"/>
            <w:tcBorders>
              <w:top w:val="nil"/>
              <w:left w:val="nil"/>
              <w:bottom w:val="nil"/>
              <w:right w:val="nil"/>
            </w:tcBorders>
            <w:shd w:val="clear" w:color="000000" w:fill="FFFFFF"/>
            <w:noWrap/>
            <w:vAlign w:val="bottom"/>
          </w:tcPr>
          <w:p w14:paraId="1E4A8C5B" w14:textId="77777777" w:rsidR="00434D5D" w:rsidRPr="0007074F" w:rsidRDefault="00434D5D" w:rsidP="00B349CD">
            <w:pPr>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-68</w:t>
            </w:r>
          </w:p>
        </w:tc>
      </w:tr>
      <w:tr w:rsidR="00434D5D" w:rsidRPr="0007074F" w14:paraId="6DD3941D" w14:textId="77777777" w:rsidTr="00B349CD">
        <w:trPr>
          <w:trHeight w:hRule="exact" w:val="304"/>
        </w:trPr>
        <w:tc>
          <w:tcPr>
            <w:tcW w:w="0" w:type="auto"/>
            <w:tcBorders>
              <w:top w:val="nil"/>
              <w:left w:val="nil"/>
              <w:bottom w:val="nil"/>
              <w:right w:val="nil"/>
            </w:tcBorders>
            <w:shd w:val="clear" w:color="auto" w:fill="auto"/>
            <w:noWrap/>
            <w:vAlign w:val="center"/>
            <w:hideMark/>
          </w:tcPr>
          <w:p w14:paraId="254301F3"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Субвенције</w:t>
            </w:r>
          </w:p>
        </w:tc>
        <w:tc>
          <w:tcPr>
            <w:tcW w:w="0" w:type="auto"/>
            <w:tcBorders>
              <w:top w:val="nil"/>
              <w:left w:val="nil"/>
              <w:bottom w:val="nil"/>
              <w:right w:val="nil"/>
            </w:tcBorders>
            <w:shd w:val="clear" w:color="auto" w:fill="auto"/>
            <w:noWrap/>
            <w:vAlign w:val="center"/>
          </w:tcPr>
          <w:p w14:paraId="16AE8120"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67,3</w:t>
            </w:r>
          </w:p>
        </w:tc>
        <w:tc>
          <w:tcPr>
            <w:tcW w:w="0" w:type="auto"/>
            <w:tcBorders>
              <w:top w:val="nil"/>
              <w:left w:val="nil"/>
              <w:bottom w:val="nil"/>
              <w:right w:val="nil"/>
            </w:tcBorders>
            <w:shd w:val="clear" w:color="000000" w:fill="FFFFFF"/>
            <w:noWrap/>
            <w:vAlign w:val="bottom"/>
          </w:tcPr>
          <w:p w14:paraId="3F9C64CB"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56</w:t>
            </w:r>
          </w:p>
        </w:tc>
      </w:tr>
      <w:tr w:rsidR="00434D5D" w:rsidRPr="0007074F" w14:paraId="05090C1E" w14:textId="77777777" w:rsidTr="00B349CD">
        <w:trPr>
          <w:trHeight w:hRule="exact" w:val="304"/>
        </w:trPr>
        <w:tc>
          <w:tcPr>
            <w:tcW w:w="0" w:type="auto"/>
            <w:tcBorders>
              <w:top w:val="nil"/>
              <w:left w:val="nil"/>
              <w:bottom w:val="single" w:sz="8" w:space="0" w:color="002060"/>
              <w:right w:val="nil"/>
            </w:tcBorders>
            <w:shd w:val="clear" w:color="auto" w:fill="auto"/>
            <w:noWrap/>
            <w:vAlign w:val="center"/>
            <w:hideMark/>
          </w:tcPr>
          <w:p w14:paraId="68E60A9A"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Субвенције, без ЈП „Путеви Србије”</w:t>
            </w:r>
          </w:p>
        </w:tc>
        <w:tc>
          <w:tcPr>
            <w:tcW w:w="0" w:type="auto"/>
            <w:tcBorders>
              <w:top w:val="nil"/>
              <w:left w:val="nil"/>
              <w:bottom w:val="single" w:sz="8" w:space="0" w:color="002060"/>
              <w:right w:val="nil"/>
            </w:tcBorders>
            <w:shd w:val="clear" w:color="auto" w:fill="auto"/>
            <w:noWrap/>
            <w:vAlign w:val="center"/>
          </w:tcPr>
          <w:p w14:paraId="5C31AFB4"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38,1</w:t>
            </w:r>
          </w:p>
        </w:tc>
        <w:tc>
          <w:tcPr>
            <w:tcW w:w="0" w:type="auto"/>
            <w:tcBorders>
              <w:top w:val="nil"/>
              <w:left w:val="nil"/>
              <w:bottom w:val="single" w:sz="4" w:space="0" w:color="203764"/>
              <w:right w:val="nil"/>
            </w:tcBorders>
            <w:shd w:val="clear" w:color="000000" w:fill="FFFFFF"/>
            <w:noWrap/>
            <w:vAlign w:val="bottom"/>
          </w:tcPr>
          <w:p w14:paraId="792E6C98"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33</w:t>
            </w:r>
          </w:p>
        </w:tc>
      </w:tr>
    </w:tbl>
    <w:p w14:paraId="472288FB" w14:textId="77777777" w:rsidR="00434D5D" w:rsidRPr="0007074F" w:rsidRDefault="00434D5D" w:rsidP="00B349CD">
      <w:pPr>
        <w:rPr>
          <w:rFonts w:eastAsia="MS PGothic" w:cstheme="minorHAnsi"/>
          <w:sz w:val="16"/>
          <w:szCs w:val="16"/>
          <w:lang w:val="sr-Cyrl-CS" w:eastAsia="ja-JP"/>
        </w:rPr>
      </w:pPr>
      <w:r w:rsidRPr="0007074F">
        <w:rPr>
          <w:rFonts w:eastAsia="MS PGothic" w:cstheme="minorHAnsi"/>
          <w:sz w:val="16"/>
          <w:szCs w:val="16"/>
          <w:lang w:val="sr-Cyrl-CS" w:eastAsia="ja-JP"/>
        </w:rPr>
        <w:t>Извор: Финансијски извештаји за 2021. и 2022. годину</w:t>
      </w:r>
    </w:p>
    <w:p w14:paraId="12EDD3DD"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У 2022. години субвенције су, изражене у проценту укупних прихода, на нижем нивоу у односу на претходну годину и чине 6% укупних прихода јавних предузећа. Одређене субвенције имају капитални карактер, као што су субвенције за ЈП „Путеви Србије</w:t>
      </w:r>
      <w:r w:rsidRPr="0007074F">
        <w:rPr>
          <w:rFonts w:eastAsia="MS PGothic" w:cstheme="minorHAnsi"/>
          <w:bCs/>
          <w:szCs w:val="20"/>
          <w:lang w:val="sr-Cyrl-CS" w:eastAsia="ja-JP"/>
        </w:rPr>
        <w:t>”</w:t>
      </w:r>
      <w:r w:rsidRPr="0007074F">
        <w:rPr>
          <w:rFonts w:eastAsia="MS PGothic" w:cstheme="minorHAnsi"/>
          <w:szCs w:val="20"/>
          <w:lang w:val="sr-Cyrl-CS" w:eastAsia="ja-JP"/>
        </w:rPr>
        <w:t>, које су намењене реконструкцији путне инфраструктуре.</w:t>
      </w:r>
    </w:p>
    <w:p w14:paraId="48E56E1F" w14:textId="77777777" w:rsidR="00434D5D" w:rsidRPr="0007074F" w:rsidRDefault="00434D5D" w:rsidP="00B349CD">
      <w:pPr>
        <w:jc w:val="left"/>
        <w:rPr>
          <w:b/>
          <w:color w:val="2F5496" w:themeColor="accent1" w:themeShade="BF"/>
          <w:lang w:val="sr-Cyrl-CS"/>
        </w:rPr>
      </w:pPr>
      <w:r w:rsidRPr="0007074F">
        <w:rPr>
          <w:b/>
          <w:color w:val="2F5496" w:themeColor="accent1" w:themeShade="BF"/>
          <w:lang w:val="sr-Cyrl-CS"/>
        </w:rPr>
        <w:t>Резултати пословања јавних предузећа у првом кварталу 2023. године</w:t>
      </w:r>
    </w:p>
    <w:p w14:paraId="24BE74E1" w14:textId="77777777" w:rsidR="00434D5D" w:rsidRPr="0007074F" w:rsidRDefault="00434D5D" w:rsidP="00B349CD">
      <w:pPr>
        <w:spacing w:after="400"/>
        <w:rPr>
          <w:rFonts w:eastAsia="MS PGothic" w:cstheme="minorHAnsi"/>
          <w:szCs w:val="20"/>
          <w:lang w:val="sr-Cyrl-CS" w:eastAsia="ja-JP"/>
        </w:rPr>
      </w:pPr>
      <w:r w:rsidRPr="0007074F">
        <w:rPr>
          <w:rFonts w:eastAsia="MS PGothic" w:cstheme="minorHAnsi"/>
          <w:szCs w:val="20"/>
          <w:lang w:val="sr-Cyrl-CS" w:eastAsia="ja-JP"/>
        </w:rPr>
        <w:t>Укупан нето резултат утврђен у првом кварталу 2023. године је добитак у износу од 31,3 млрд динара. Резултат текуће године је прецењен за трошкове амортизације ЈП „Путеви Србије</w:t>
      </w:r>
      <w:r w:rsidRPr="0007074F">
        <w:rPr>
          <w:rFonts w:eastAsia="MS PGothic" w:cstheme="minorHAnsi"/>
          <w:bCs/>
          <w:szCs w:val="20"/>
          <w:lang w:val="sr-Cyrl-CS" w:eastAsia="ja-JP"/>
        </w:rPr>
        <w:t>”</w:t>
      </w:r>
      <w:r w:rsidRPr="0007074F">
        <w:rPr>
          <w:rFonts w:eastAsia="MS PGothic" w:cstheme="minorHAnsi"/>
          <w:szCs w:val="20"/>
          <w:lang w:val="sr-Cyrl-CS" w:eastAsia="ja-JP"/>
        </w:rPr>
        <w:t>, јер предузеће ове трошкове књижи тек на крају године у целокупном износу за дату годину.</w:t>
      </w:r>
    </w:p>
    <w:p w14:paraId="39969881" w14:textId="77777777" w:rsidR="00434D5D" w:rsidRPr="0007074F" w:rsidRDefault="00434D5D" w:rsidP="00B349CD">
      <w:pPr>
        <w:spacing w:after="0" w:line="276" w:lineRule="auto"/>
        <w:jc w:val="center"/>
        <w:rPr>
          <w:rFonts w:eastAsia="MS PGothic" w:cstheme="minorHAnsi"/>
          <w:b/>
          <w:bCs/>
          <w:color w:val="002060"/>
          <w:szCs w:val="20"/>
          <w:lang w:val="sr-Cyrl-CS" w:eastAsia="ja-JP"/>
        </w:rPr>
        <w:sectPr w:rsidR="00434D5D" w:rsidRPr="0007074F" w:rsidSect="00B349CD">
          <w:type w:val="continuous"/>
          <w:pgSz w:w="12240" w:h="15840"/>
          <w:pgMar w:top="1440" w:right="1440" w:bottom="1440" w:left="1440" w:header="720" w:footer="720" w:gutter="0"/>
          <w:cols w:num="2" w:space="720"/>
          <w:docGrid w:linePitch="360"/>
        </w:sectPr>
      </w:pPr>
    </w:p>
    <w:p w14:paraId="6165729D" w14:textId="3E415755" w:rsidR="00434D5D" w:rsidRPr="0007074F" w:rsidRDefault="00434D5D" w:rsidP="00B349CD">
      <w:pPr>
        <w:spacing w:after="0" w:line="276" w:lineRule="auto"/>
        <w:jc w:val="center"/>
        <w:rPr>
          <w:rFonts w:eastAsia="MS PGothic" w:cstheme="minorHAnsi"/>
          <w:b/>
          <w:bCs/>
          <w:color w:val="002060"/>
          <w:szCs w:val="20"/>
          <w:lang w:val="sr-Cyrl-CS" w:eastAsia="ja-JP"/>
        </w:rPr>
      </w:pPr>
      <w:r w:rsidRPr="0007074F">
        <w:rPr>
          <w:rFonts w:eastAsia="MS PGothic" w:cstheme="minorHAnsi"/>
          <w:b/>
          <w:bCs/>
          <w:color w:val="002060"/>
          <w:szCs w:val="20"/>
          <w:lang w:val="sr-Cyrl-CS" w:eastAsia="ja-JP"/>
        </w:rPr>
        <w:t>Табела 16. Основни пок</w:t>
      </w:r>
      <w:r w:rsidR="00F51AA9" w:rsidRPr="0007074F">
        <w:rPr>
          <w:rFonts w:eastAsia="MS PGothic" w:cstheme="minorHAnsi"/>
          <w:b/>
          <w:bCs/>
          <w:color w:val="002060"/>
          <w:szCs w:val="20"/>
          <w:lang w:val="sr-Cyrl-CS" w:eastAsia="ja-JP"/>
        </w:rPr>
        <w:t>азатељи пословања ЈП на дан 31.</w:t>
      </w:r>
      <w:r w:rsidRPr="0007074F">
        <w:rPr>
          <w:rFonts w:eastAsia="MS PGothic" w:cstheme="minorHAnsi"/>
          <w:b/>
          <w:bCs/>
          <w:color w:val="002060"/>
          <w:szCs w:val="20"/>
          <w:lang w:val="sr-Cyrl-CS" w:eastAsia="ja-JP"/>
        </w:rPr>
        <w:t>3.2023. године, у млрд динара</w:t>
      </w:r>
    </w:p>
    <w:tbl>
      <w:tblPr>
        <w:tblW w:w="9239" w:type="dxa"/>
        <w:tblLayout w:type="fixed"/>
        <w:tblLook w:val="04A0" w:firstRow="1" w:lastRow="0" w:firstColumn="1" w:lastColumn="0" w:noHBand="0" w:noVBand="1"/>
      </w:tblPr>
      <w:tblGrid>
        <w:gridCol w:w="3119"/>
        <w:gridCol w:w="2040"/>
        <w:gridCol w:w="2040"/>
        <w:gridCol w:w="2040"/>
      </w:tblGrid>
      <w:tr w:rsidR="00434D5D" w:rsidRPr="0007074F" w14:paraId="7983C7C4" w14:textId="77777777" w:rsidTr="00B349CD">
        <w:trPr>
          <w:trHeight w:hRule="exact" w:val="227"/>
          <w:tblHeader/>
        </w:trPr>
        <w:tc>
          <w:tcPr>
            <w:tcW w:w="3119" w:type="dxa"/>
            <w:tcBorders>
              <w:top w:val="single" w:sz="8" w:space="0" w:color="002060"/>
              <w:left w:val="nil"/>
              <w:bottom w:val="single" w:sz="8" w:space="0" w:color="002060"/>
              <w:right w:val="nil"/>
            </w:tcBorders>
            <w:shd w:val="clear" w:color="auto" w:fill="auto"/>
            <w:noWrap/>
            <w:vAlign w:val="center"/>
            <w:hideMark/>
          </w:tcPr>
          <w:p w14:paraId="0BEAE481" w14:textId="77777777" w:rsidR="00434D5D" w:rsidRPr="0007074F" w:rsidRDefault="00434D5D" w:rsidP="00B349CD">
            <w:pPr>
              <w:spacing w:after="120" w:line="276" w:lineRule="auto"/>
              <w:jc w:val="lef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Показатељи пословања</w:t>
            </w:r>
          </w:p>
        </w:tc>
        <w:tc>
          <w:tcPr>
            <w:tcW w:w="2040" w:type="dxa"/>
            <w:tcBorders>
              <w:top w:val="single" w:sz="8" w:space="0" w:color="002060"/>
              <w:left w:val="nil"/>
              <w:bottom w:val="single" w:sz="8" w:space="0" w:color="002060"/>
              <w:right w:val="nil"/>
            </w:tcBorders>
            <w:shd w:val="clear" w:color="auto" w:fill="auto"/>
            <w:noWrap/>
            <w:vAlign w:val="center"/>
            <w:hideMark/>
          </w:tcPr>
          <w:p w14:paraId="4D4CD8D1" w14:textId="77777777" w:rsidR="00434D5D" w:rsidRPr="0007074F" w:rsidRDefault="00434D5D" w:rsidP="00B349CD">
            <w:pPr>
              <w:spacing w:after="120" w:line="276" w:lineRule="auto"/>
              <w:jc w:val="righ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2021</w:t>
            </w:r>
          </w:p>
        </w:tc>
        <w:tc>
          <w:tcPr>
            <w:tcW w:w="2040" w:type="dxa"/>
            <w:tcBorders>
              <w:top w:val="single" w:sz="8" w:space="0" w:color="002060"/>
              <w:left w:val="nil"/>
              <w:bottom w:val="single" w:sz="8" w:space="0" w:color="002060"/>
              <w:right w:val="nil"/>
            </w:tcBorders>
            <w:shd w:val="clear" w:color="auto" w:fill="auto"/>
            <w:noWrap/>
            <w:vAlign w:val="center"/>
            <w:hideMark/>
          </w:tcPr>
          <w:p w14:paraId="1826AD5C" w14:textId="77777777" w:rsidR="00434D5D" w:rsidRPr="0007074F" w:rsidRDefault="00434D5D" w:rsidP="00B349CD">
            <w:pPr>
              <w:spacing w:after="120" w:line="276" w:lineRule="auto"/>
              <w:jc w:val="righ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2022</w:t>
            </w:r>
          </w:p>
        </w:tc>
        <w:tc>
          <w:tcPr>
            <w:tcW w:w="2040" w:type="dxa"/>
            <w:tcBorders>
              <w:top w:val="single" w:sz="8" w:space="0" w:color="002060"/>
              <w:left w:val="nil"/>
              <w:bottom w:val="single" w:sz="8" w:space="0" w:color="002060"/>
              <w:right w:val="nil"/>
            </w:tcBorders>
            <w:shd w:val="clear" w:color="auto" w:fill="auto"/>
            <w:noWrap/>
            <w:vAlign w:val="center"/>
            <w:hideMark/>
          </w:tcPr>
          <w:p w14:paraId="1ED55753" w14:textId="525C9427" w:rsidR="00434D5D" w:rsidRPr="0007074F" w:rsidRDefault="00F51AA9" w:rsidP="00B349CD">
            <w:pPr>
              <w:spacing w:after="120" w:line="276" w:lineRule="auto"/>
              <w:jc w:val="right"/>
              <w:rPr>
                <w:rFonts w:eastAsia="MS PGothic" w:cstheme="minorHAnsi"/>
                <w:b/>
                <w:color w:val="002060"/>
                <w:sz w:val="18"/>
                <w:szCs w:val="18"/>
                <w:lang w:val="sr-Cyrl-CS" w:eastAsia="ja-JP"/>
              </w:rPr>
            </w:pPr>
            <w:r w:rsidRPr="0007074F">
              <w:rPr>
                <w:rFonts w:eastAsia="MS PGothic" w:cstheme="minorHAnsi"/>
                <w:b/>
                <w:color w:val="002060"/>
                <w:sz w:val="18"/>
                <w:szCs w:val="18"/>
                <w:lang w:val="sr-Cyrl-CS" w:eastAsia="ja-JP"/>
              </w:rPr>
              <w:t>1.1–31.</w:t>
            </w:r>
            <w:r w:rsidR="00434D5D" w:rsidRPr="0007074F">
              <w:rPr>
                <w:rFonts w:eastAsia="MS PGothic" w:cstheme="minorHAnsi"/>
                <w:b/>
                <w:color w:val="002060"/>
                <w:sz w:val="18"/>
                <w:szCs w:val="18"/>
                <w:lang w:val="sr-Cyrl-CS" w:eastAsia="ja-JP"/>
              </w:rPr>
              <w:t>3.2023.</w:t>
            </w:r>
          </w:p>
        </w:tc>
      </w:tr>
      <w:tr w:rsidR="00434D5D" w:rsidRPr="0007074F" w14:paraId="0F814E63" w14:textId="77777777" w:rsidTr="00B349CD">
        <w:trPr>
          <w:trHeight w:hRule="exact" w:val="227"/>
        </w:trPr>
        <w:tc>
          <w:tcPr>
            <w:tcW w:w="3119" w:type="dxa"/>
            <w:tcBorders>
              <w:top w:val="nil"/>
              <w:left w:val="nil"/>
              <w:bottom w:val="nil"/>
              <w:right w:val="nil"/>
            </w:tcBorders>
            <w:shd w:val="clear" w:color="auto" w:fill="auto"/>
            <w:noWrap/>
            <w:vAlign w:val="center"/>
            <w:hideMark/>
          </w:tcPr>
          <w:p w14:paraId="4F93A862"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Пословни приходи</w:t>
            </w:r>
          </w:p>
        </w:tc>
        <w:tc>
          <w:tcPr>
            <w:tcW w:w="2040" w:type="dxa"/>
            <w:tcBorders>
              <w:top w:val="nil"/>
              <w:left w:val="nil"/>
              <w:bottom w:val="nil"/>
              <w:right w:val="nil"/>
            </w:tcBorders>
            <w:shd w:val="clear" w:color="auto" w:fill="auto"/>
            <w:noWrap/>
            <w:vAlign w:val="center"/>
          </w:tcPr>
          <w:p w14:paraId="6EAF8CF1"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739,7</w:t>
            </w:r>
          </w:p>
        </w:tc>
        <w:tc>
          <w:tcPr>
            <w:tcW w:w="2040" w:type="dxa"/>
            <w:tcBorders>
              <w:top w:val="nil"/>
              <w:left w:val="nil"/>
              <w:bottom w:val="nil"/>
              <w:right w:val="nil"/>
            </w:tcBorders>
            <w:shd w:val="clear" w:color="000000" w:fill="FFFFFF"/>
            <w:noWrap/>
            <w:vAlign w:val="bottom"/>
          </w:tcPr>
          <w:p w14:paraId="5FBEF57B"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900</w:t>
            </w:r>
          </w:p>
        </w:tc>
        <w:tc>
          <w:tcPr>
            <w:tcW w:w="2040" w:type="dxa"/>
            <w:tcBorders>
              <w:top w:val="nil"/>
              <w:left w:val="nil"/>
              <w:bottom w:val="nil"/>
              <w:right w:val="nil"/>
            </w:tcBorders>
            <w:shd w:val="clear" w:color="000000" w:fill="FFFFFF"/>
            <w:noWrap/>
            <w:vAlign w:val="bottom"/>
          </w:tcPr>
          <w:p w14:paraId="3BDC5A4F"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282,3</w:t>
            </w:r>
          </w:p>
        </w:tc>
      </w:tr>
      <w:tr w:rsidR="00434D5D" w:rsidRPr="0007074F" w14:paraId="2CD93915" w14:textId="77777777" w:rsidTr="00B349CD">
        <w:trPr>
          <w:trHeight w:hRule="exact" w:val="227"/>
        </w:trPr>
        <w:tc>
          <w:tcPr>
            <w:tcW w:w="3119" w:type="dxa"/>
            <w:tcBorders>
              <w:top w:val="nil"/>
              <w:left w:val="nil"/>
              <w:bottom w:val="nil"/>
              <w:right w:val="nil"/>
            </w:tcBorders>
            <w:shd w:val="clear" w:color="auto" w:fill="auto"/>
            <w:noWrap/>
            <w:vAlign w:val="center"/>
            <w:hideMark/>
          </w:tcPr>
          <w:p w14:paraId="6EA8DC97"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Пословни расходи</w:t>
            </w:r>
          </w:p>
        </w:tc>
        <w:tc>
          <w:tcPr>
            <w:tcW w:w="2040" w:type="dxa"/>
            <w:tcBorders>
              <w:top w:val="nil"/>
              <w:left w:val="nil"/>
              <w:bottom w:val="nil"/>
              <w:right w:val="nil"/>
            </w:tcBorders>
            <w:shd w:val="clear" w:color="auto" w:fill="auto"/>
            <w:noWrap/>
            <w:vAlign w:val="center"/>
          </w:tcPr>
          <w:p w14:paraId="5F2388A3"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740,6</w:t>
            </w:r>
          </w:p>
        </w:tc>
        <w:tc>
          <w:tcPr>
            <w:tcW w:w="2040" w:type="dxa"/>
            <w:tcBorders>
              <w:top w:val="nil"/>
              <w:left w:val="nil"/>
              <w:bottom w:val="nil"/>
              <w:right w:val="nil"/>
            </w:tcBorders>
            <w:shd w:val="clear" w:color="000000" w:fill="FFFFFF"/>
            <w:noWrap/>
            <w:vAlign w:val="bottom"/>
          </w:tcPr>
          <w:p w14:paraId="713DB1C0"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944,8</w:t>
            </w:r>
          </w:p>
        </w:tc>
        <w:tc>
          <w:tcPr>
            <w:tcW w:w="2040" w:type="dxa"/>
            <w:tcBorders>
              <w:top w:val="nil"/>
              <w:left w:val="nil"/>
              <w:bottom w:val="nil"/>
              <w:right w:val="nil"/>
            </w:tcBorders>
            <w:shd w:val="clear" w:color="000000" w:fill="FFFFFF"/>
            <w:noWrap/>
            <w:vAlign w:val="bottom"/>
          </w:tcPr>
          <w:p w14:paraId="66D8F91A"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244,8</w:t>
            </w:r>
          </w:p>
        </w:tc>
      </w:tr>
      <w:tr w:rsidR="00434D5D" w:rsidRPr="0007074F" w14:paraId="1105B29A" w14:textId="77777777" w:rsidTr="00B349CD">
        <w:trPr>
          <w:trHeight w:hRule="exact" w:val="227"/>
        </w:trPr>
        <w:tc>
          <w:tcPr>
            <w:tcW w:w="3119" w:type="dxa"/>
            <w:tcBorders>
              <w:top w:val="nil"/>
              <w:left w:val="nil"/>
              <w:bottom w:val="nil"/>
              <w:right w:val="nil"/>
            </w:tcBorders>
            <w:shd w:val="clear" w:color="auto" w:fill="auto"/>
            <w:noWrap/>
            <w:vAlign w:val="center"/>
            <w:hideMark/>
          </w:tcPr>
          <w:p w14:paraId="246F9DEB"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Пословни резултат</w:t>
            </w:r>
          </w:p>
        </w:tc>
        <w:tc>
          <w:tcPr>
            <w:tcW w:w="2040" w:type="dxa"/>
            <w:tcBorders>
              <w:top w:val="nil"/>
              <w:left w:val="nil"/>
              <w:bottom w:val="nil"/>
              <w:right w:val="nil"/>
            </w:tcBorders>
            <w:shd w:val="clear" w:color="auto" w:fill="auto"/>
            <w:noWrap/>
            <w:vAlign w:val="center"/>
          </w:tcPr>
          <w:p w14:paraId="6909F831"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-1,0</w:t>
            </w:r>
          </w:p>
        </w:tc>
        <w:tc>
          <w:tcPr>
            <w:tcW w:w="2040" w:type="dxa"/>
            <w:tcBorders>
              <w:top w:val="nil"/>
              <w:left w:val="nil"/>
              <w:bottom w:val="nil"/>
              <w:right w:val="nil"/>
            </w:tcBorders>
            <w:shd w:val="clear" w:color="000000" w:fill="FFFFFF"/>
            <w:noWrap/>
            <w:vAlign w:val="bottom"/>
          </w:tcPr>
          <w:p w14:paraId="3E835601"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-45,3</w:t>
            </w:r>
          </w:p>
        </w:tc>
        <w:tc>
          <w:tcPr>
            <w:tcW w:w="2040" w:type="dxa"/>
            <w:tcBorders>
              <w:top w:val="nil"/>
              <w:left w:val="nil"/>
              <w:bottom w:val="nil"/>
              <w:right w:val="nil"/>
            </w:tcBorders>
            <w:shd w:val="clear" w:color="000000" w:fill="FFFFFF"/>
            <w:noWrap/>
            <w:vAlign w:val="bottom"/>
          </w:tcPr>
          <w:p w14:paraId="4F8734E9"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37,5</w:t>
            </w:r>
          </w:p>
        </w:tc>
      </w:tr>
      <w:tr w:rsidR="00434D5D" w:rsidRPr="0007074F" w14:paraId="7589482C" w14:textId="77777777" w:rsidTr="00B349CD">
        <w:trPr>
          <w:trHeight w:hRule="exact" w:val="227"/>
        </w:trPr>
        <w:tc>
          <w:tcPr>
            <w:tcW w:w="3119" w:type="dxa"/>
            <w:tcBorders>
              <w:top w:val="nil"/>
              <w:left w:val="nil"/>
              <w:bottom w:val="nil"/>
              <w:right w:val="nil"/>
            </w:tcBorders>
            <w:shd w:val="clear" w:color="auto" w:fill="auto"/>
            <w:noWrap/>
            <w:vAlign w:val="center"/>
            <w:hideMark/>
          </w:tcPr>
          <w:p w14:paraId="22A17D43"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Нето резултат</w:t>
            </w:r>
          </w:p>
        </w:tc>
        <w:tc>
          <w:tcPr>
            <w:tcW w:w="2040" w:type="dxa"/>
            <w:tcBorders>
              <w:top w:val="nil"/>
              <w:left w:val="nil"/>
              <w:bottom w:val="nil"/>
              <w:right w:val="nil"/>
            </w:tcBorders>
            <w:shd w:val="clear" w:color="auto" w:fill="auto"/>
            <w:noWrap/>
            <w:vAlign w:val="center"/>
          </w:tcPr>
          <w:p w14:paraId="284F3979"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-12,7</w:t>
            </w:r>
          </w:p>
        </w:tc>
        <w:tc>
          <w:tcPr>
            <w:tcW w:w="2040" w:type="dxa"/>
            <w:tcBorders>
              <w:top w:val="nil"/>
              <w:left w:val="nil"/>
              <w:bottom w:val="nil"/>
              <w:right w:val="nil"/>
            </w:tcBorders>
            <w:shd w:val="clear" w:color="000000" w:fill="FFFFFF"/>
            <w:noWrap/>
            <w:vAlign w:val="bottom"/>
          </w:tcPr>
          <w:p w14:paraId="025CB166"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-67,6</w:t>
            </w:r>
          </w:p>
        </w:tc>
        <w:tc>
          <w:tcPr>
            <w:tcW w:w="2040" w:type="dxa"/>
            <w:tcBorders>
              <w:top w:val="nil"/>
              <w:left w:val="nil"/>
              <w:bottom w:val="nil"/>
              <w:right w:val="nil"/>
            </w:tcBorders>
            <w:shd w:val="clear" w:color="000000" w:fill="FFFFFF"/>
            <w:noWrap/>
            <w:vAlign w:val="bottom"/>
          </w:tcPr>
          <w:p w14:paraId="390E52BF"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31,3</w:t>
            </w:r>
          </w:p>
        </w:tc>
      </w:tr>
      <w:tr w:rsidR="00434D5D" w:rsidRPr="0007074F" w14:paraId="06C5A003" w14:textId="77777777" w:rsidTr="00B349CD">
        <w:trPr>
          <w:trHeight w:hRule="exact" w:val="227"/>
        </w:trPr>
        <w:tc>
          <w:tcPr>
            <w:tcW w:w="3119" w:type="dxa"/>
            <w:tcBorders>
              <w:top w:val="nil"/>
              <w:left w:val="nil"/>
              <w:bottom w:val="nil"/>
              <w:right w:val="nil"/>
            </w:tcBorders>
            <w:shd w:val="clear" w:color="auto" w:fill="auto"/>
            <w:noWrap/>
            <w:vAlign w:val="center"/>
            <w:hideMark/>
          </w:tcPr>
          <w:p w14:paraId="2EA2A836"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Трошкови зарада*</w:t>
            </w:r>
          </w:p>
        </w:tc>
        <w:tc>
          <w:tcPr>
            <w:tcW w:w="2040" w:type="dxa"/>
            <w:tcBorders>
              <w:top w:val="nil"/>
              <w:left w:val="nil"/>
              <w:bottom w:val="nil"/>
              <w:right w:val="nil"/>
            </w:tcBorders>
            <w:shd w:val="clear" w:color="auto" w:fill="auto"/>
            <w:noWrap/>
            <w:vAlign w:val="center"/>
          </w:tcPr>
          <w:p w14:paraId="311BEC92"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115,0</w:t>
            </w:r>
          </w:p>
        </w:tc>
        <w:tc>
          <w:tcPr>
            <w:tcW w:w="2040" w:type="dxa"/>
            <w:tcBorders>
              <w:top w:val="nil"/>
              <w:left w:val="nil"/>
              <w:bottom w:val="nil"/>
              <w:right w:val="nil"/>
            </w:tcBorders>
            <w:shd w:val="clear" w:color="000000" w:fill="FFFFFF"/>
            <w:noWrap/>
            <w:vAlign w:val="bottom"/>
          </w:tcPr>
          <w:p w14:paraId="174F656C"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114,8</w:t>
            </w:r>
          </w:p>
        </w:tc>
        <w:tc>
          <w:tcPr>
            <w:tcW w:w="2040" w:type="dxa"/>
            <w:tcBorders>
              <w:top w:val="nil"/>
              <w:left w:val="nil"/>
              <w:bottom w:val="nil"/>
              <w:right w:val="nil"/>
            </w:tcBorders>
            <w:shd w:val="clear" w:color="000000" w:fill="FFFFFF"/>
            <w:noWrap/>
            <w:vAlign w:val="bottom"/>
          </w:tcPr>
          <w:p w14:paraId="5BF2A58B"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30,7</w:t>
            </w:r>
          </w:p>
        </w:tc>
      </w:tr>
      <w:tr w:rsidR="00434D5D" w:rsidRPr="0007074F" w14:paraId="7162D9A6" w14:textId="77777777" w:rsidTr="00B349CD">
        <w:trPr>
          <w:trHeight w:hRule="exact" w:val="229"/>
        </w:trPr>
        <w:tc>
          <w:tcPr>
            <w:tcW w:w="3119" w:type="dxa"/>
            <w:tcBorders>
              <w:top w:val="nil"/>
              <w:left w:val="nil"/>
              <w:bottom w:val="single" w:sz="8" w:space="0" w:color="002060"/>
              <w:right w:val="nil"/>
            </w:tcBorders>
            <w:shd w:val="clear" w:color="auto" w:fill="auto"/>
            <w:noWrap/>
            <w:vAlign w:val="center"/>
            <w:hideMark/>
          </w:tcPr>
          <w:p w14:paraId="669856C0" w14:textId="77777777" w:rsidR="00434D5D" w:rsidRPr="0007074F" w:rsidRDefault="00434D5D" w:rsidP="00B349CD">
            <w:pPr>
              <w:spacing w:after="120" w:line="276" w:lineRule="auto"/>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 xml:space="preserve">Број ЈП која су остварила добит </w:t>
            </w:r>
          </w:p>
        </w:tc>
        <w:tc>
          <w:tcPr>
            <w:tcW w:w="2040" w:type="dxa"/>
            <w:tcBorders>
              <w:top w:val="nil"/>
              <w:left w:val="nil"/>
              <w:bottom w:val="single" w:sz="8" w:space="0" w:color="002060"/>
              <w:right w:val="nil"/>
            </w:tcBorders>
            <w:shd w:val="clear" w:color="auto" w:fill="auto"/>
            <w:noWrap/>
            <w:vAlign w:val="center"/>
          </w:tcPr>
          <w:p w14:paraId="7D44DE69" w14:textId="77777777" w:rsidR="00434D5D" w:rsidRPr="0007074F" w:rsidRDefault="00434D5D" w:rsidP="00B349CD">
            <w:pPr>
              <w:spacing w:after="120" w:line="276" w:lineRule="auto"/>
              <w:jc w:val="right"/>
              <w:rPr>
                <w:rFonts w:eastAsia="MS PGothic" w:cstheme="minorHAnsi"/>
                <w:color w:val="002060"/>
                <w:sz w:val="18"/>
                <w:szCs w:val="18"/>
                <w:lang w:val="sr-Cyrl-CS" w:eastAsia="ja-JP"/>
              </w:rPr>
            </w:pPr>
            <w:r w:rsidRPr="0007074F">
              <w:rPr>
                <w:rFonts w:eastAsia="MS PGothic" w:cstheme="minorHAnsi"/>
                <w:color w:val="002060"/>
                <w:sz w:val="18"/>
                <w:szCs w:val="18"/>
                <w:lang w:val="sr-Cyrl-CS" w:eastAsia="ja-JP"/>
              </w:rPr>
              <w:t>26</w:t>
            </w:r>
          </w:p>
        </w:tc>
        <w:tc>
          <w:tcPr>
            <w:tcW w:w="2040" w:type="dxa"/>
            <w:tcBorders>
              <w:top w:val="nil"/>
              <w:left w:val="nil"/>
              <w:bottom w:val="single" w:sz="4" w:space="0" w:color="203764"/>
              <w:right w:val="nil"/>
            </w:tcBorders>
            <w:shd w:val="clear" w:color="000000" w:fill="FFFFFF"/>
            <w:noWrap/>
            <w:vAlign w:val="bottom"/>
          </w:tcPr>
          <w:p w14:paraId="56155A1B"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24</w:t>
            </w:r>
          </w:p>
        </w:tc>
        <w:tc>
          <w:tcPr>
            <w:tcW w:w="2040" w:type="dxa"/>
            <w:tcBorders>
              <w:top w:val="nil"/>
              <w:left w:val="nil"/>
              <w:bottom w:val="single" w:sz="4" w:space="0" w:color="203764"/>
              <w:right w:val="nil"/>
            </w:tcBorders>
            <w:shd w:val="clear" w:color="000000" w:fill="FFFFFF"/>
            <w:noWrap/>
            <w:vAlign w:val="bottom"/>
          </w:tcPr>
          <w:p w14:paraId="0C2E904F" w14:textId="77777777" w:rsidR="00434D5D" w:rsidRPr="0007074F" w:rsidRDefault="00434D5D" w:rsidP="00B349CD">
            <w:pPr>
              <w:jc w:val="right"/>
              <w:rPr>
                <w:rFonts w:ascii="Calibri" w:hAnsi="Calibri" w:cs="Calibri"/>
                <w:color w:val="203764"/>
                <w:sz w:val="18"/>
                <w:szCs w:val="18"/>
                <w:lang w:val="sr-Cyrl-CS"/>
              </w:rPr>
            </w:pPr>
            <w:r w:rsidRPr="0007074F">
              <w:rPr>
                <w:rFonts w:ascii="Calibri" w:hAnsi="Calibri" w:cs="Calibri"/>
                <w:color w:val="203764"/>
                <w:sz w:val="18"/>
                <w:szCs w:val="18"/>
                <w:lang w:val="sr-Cyrl-CS"/>
              </w:rPr>
              <w:t>21</w:t>
            </w:r>
          </w:p>
        </w:tc>
      </w:tr>
    </w:tbl>
    <w:p w14:paraId="7844A2EC" w14:textId="77777777" w:rsidR="00434D5D" w:rsidRPr="0007074F" w:rsidRDefault="00434D5D" w:rsidP="00B349CD">
      <w:pPr>
        <w:spacing w:before="40" w:after="0" w:line="276" w:lineRule="auto"/>
        <w:rPr>
          <w:rFonts w:eastAsia="MS PGothic" w:cstheme="minorHAnsi"/>
          <w:sz w:val="16"/>
          <w:szCs w:val="16"/>
          <w:lang w:val="sr-Cyrl-CS" w:eastAsia="ja-JP"/>
        </w:rPr>
      </w:pPr>
      <w:r w:rsidRPr="0007074F">
        <w:rPr>
          <w:rFonts w:eastAsia="MS PGothic" w:cstheme="minorHAnsi"/>
          <w:sz w:val="16"/>
          <w:szCs w:val="16"/>
          <w:lang w:val="sr-Cyrl-CS" w:eastAsia="ja-JP"/>
        </w:rPr>
        <w:t>* Трошкови зарада, накнада зарада и остали лични расходи</w:t>
      </w:r>
    </w:p>
    <w:p w14:paraId="7C2B2E0B" w14:textId="77777777" w:rsidR="00434D5D" w:rsidRPr="0007074F" w:rsidRDefault="00434D5D" w:rsidP="00B349CD">
      <w:pPr>
        <w:spacing w:line="276" w:lineRule="auto"/>
        <w:rPr>
          <w:rFonts w:eastAsia="MS PGothic" w:cstheme="minorHAnsi"/>
          <w:sz w:val="16"/>
          <w:szCs w:val="16"/>
          <w:lang w:val="sr-Cyrl-CS" w:eastAsia="ja-JP"/>
        </w:rPr>
      </w:pPr>
      <w:r w:rsidRPr="0007074F">
        <w:rPr>
          <w:rFonts w:eastAsia="MS PGothic" w:cstheme="minorHAnsi"/>
          <w:sz w:val="16"/>
          <w:szCs w:val="16"/>
          <w:lang w:val="sr-Cyrl-CS" w:eastAsia="ja-JP"/>
        </w:rPr>
        <w:t>Извор: Финансијски извештаји за 2021. и 2022. годину и квартални извештаји Министарства привреде за 2023. годину</w:t>
      </w:r>
    </w:p>
    <w:p w14:paraId="1F925502" w14:textId="77777777" w:rsidR="00434D5D" w:rsidRPr="0007074F" w:rsidRDefault="00434D5D" w:rsidP="00B349CD">
      <w:pPr>
        <w:spacing w:line="276" w:lineRule="auto"/>
        <w:rPr>
          <w:rFonts w:eastAsia="MS PGothic" w:cstheme="minorHAnsi"/>
          <w:sz w:val="16"/>
          <w:szCs w:val="16"/>
          <w:lang w:val="sr-Cyrl-CS" w:eastAsia="ja-JP"/>
        </w:rPr>
        <w:sectPr w:rsidR="00434D5D" w:rsidRPr="0007074F" w:rsidSect="00B349CD">
          <w:type w:val="continuous"/>
          <w:pgSz w:w="12240" w:h="15840"/>
          <w:pgMar w:top="1440" w:right="1440" w:bottom="1440" w:left="1440" w:header="720" w:footer="720" w:gutter="0"/>
          <w:cols w:space="720"/>
          <w:docGrid w:linePitch="360"/>
        </w:sectPr>
      </w:pPr>
    </w:p>
    <w:p w14:paraId="4BD3EEB0" w14:textId="77777777" w:rsidR="00434D5D" w:rsidRPr="0007074F" w:rsidRDefault="00434D5D" w:rsidP="00B349CD">
      <w:pPr>
        <w:spacing w:after="360"/>
        <w:rPr>
          <w:rFonts w:eastAsia="MS PGothic" w:cstheme="minorHAnsi"/>
          <w:szCs w:val="20"/>
          <w:lang w:val="sr-Cyrl-CS" w:eastAsia="ja-JP"/>
        </w:rPr>
      </w:pPr>
      <w:r w:rsidRPr="0007074F">
        <w:rPr>
          <w:rFonts w:eastAsia="MS PGothic" w:cstheme="minorHAnsi"/>
          <w:szCs w:val="20"/>
          <w:lang w:val="sr-Cyrl-CS" w:eastAsia="ja-JP"/>
        </w:rPr>
        <w:t>У првом кварталу текуће године добит је остварило 21 предузећа у укупном износу од 43,7 млрд динара, то је више у односу на планирано (планирана вредност износи 12,1 млрд динара).</w:t>
      </w:r>
    </w:p>
    <w:p w14:paraId="1C78C249" w14:textId="77777777" w:rsidR="00434D5D" w:rsidRPr="0007074F" w:rsidRDefault="00434D5D" w:rsidP="00B349CD">
      <w:pPr>
        <w:spacing w:after="360"/>
        <w:rPr>
          <w:rFonts w:eastAsia="MS PGothic" w:cstheme="minorHAnsi"/>
          <w:szCs w:val="20"/>
          <w:lang w:val="sr-Cyrl-CS" w:eastAsia="ja-JP"/>
        </w:rPr>
      </w:pPr>
      <w:r w:rsidRPr="0007074F">
        <w:rPr>
          <w:rFonts w:eastAsia="MS PGothic" w:cstheme="minorHAnsi"/>
          <w:szCs w:val="20"/>
          <w:lang w:val="sr-Cyrl-CS" w:eastAsia="ja-JP"/>
        </w:rPr>
        <w:t>Највећи утицај на позитиван нето резултат у посматраном периоду има „Електропривреда Србије” а.д. која је остварила нето добит у износу од 34,5 млрд динара.</w:t>
      </w:r>
    </w:p>
    <w:p w14:paraId="5FC23705" w14:textId="77777777" w:rsidR="00434D5D" w:rsidRPr="0007074F" w:rsidRDefault="00434D5D" w:rsidP="00B349CD">
      <w:pPr>
        <w:spacing w:after="0"/>
        <w:rPr>
          <w:rFonts w:eastAsia="MS PGothic" w:cstheme="minorHAnsi"/>
          <w:b/>
          <w:bCs/>
          <w:color w:val="002060"/>
          <w:szCs w:val="20"/>
          <w:lang w:val="sr-Cyrl-CS" w:eastAsia="ja-JP"/>
        </w:rPr>
        <w:sectPr w:rsidR="00434D5D" w:rsidRPr="0007074F" w:rsidSect="00B349CD">
          <w:type w:val="continuous"/>
          <w:pgSz w:w="12240" w:h="15840"/>
          <w:pgMar w:top="1440" w:right="1440" w:bottom="1440" w:left="1440" w:header="720" w:footer="720" w:gutter="0"/>
          <w:cols w:num="2" w:space="720"/>
          <w:docGrid w:linePitch="360"/>
        </w:sectPr>
      </w:pPr>
    </w:p>
    <w:p w14:paraId="38C5A61D" w14:textId="77777777" w:rsidR="00434D5D" w:rsidRPr="0007074F" w:rsidRDefault="00434D5D">
      <w:pPr>
        <w:jc w:val="left"/>
        <w:rPr>
          <w:rFonts w:eastAsia="MS PGothic" w:cstheme="minorHAnsi"/>
          <w:b/>
          <w:bCs/>
          <w:color w:val="002060"/>
          <w:szCs w:val="20"/>
          <w:lang w:val="sr-Cyrl-CS" w:eastAsia="ja-JP"/>
        </w:rPr>
      </w:pPr>
      <w:r w:rsidRPr="0007074F">
        <w:rPr>
          <w:rFonts w:eastAsia="MS PGothic" w:cstheme="minorHAnsi"/>
          <w:b/>
          <w:bCs/>
          <w:color w:val="002060"/>
          <w:szCs w:val="20"/>
          <w:lang w:val="sr-Cyrl-CS" w:eastAsia="ja-JP"/>
        </w:rPr>
        <w:br w:type="page"/>
      </w:r>
    </w:p>
    <w:p w14:paraId="11828493" w14:textId="2B3CD18E" w:rsidR="00434D5D" w:rsidRPr="0007074F" w:rsidRDefault="00434D5D" w:rsidP="00B349CD">
      <w:pPr>
        <w:spacing w:after="0"/>
        <w:jc w:val="center"/>
        <w:rPr>
          <w:rFonts w:eastAsia="MS PGothic" w:cstheme="minorHAnsi"/>
          <w:b/>
          <w:bCs/>
          <w:color w:val="002060"/>
          <w:szCs w:val="20"/>
          <w:lang w:val="sr-Cyrl-CS" w:eastAsia="ja-JP"/>
        </w:rPr>
      </w:pPr>
      <w:r w:rsidRPr="0007074F">
        <w:rPr>
          <w:rFonts w:eastAsia="MS PGothic" w:cstheme="minorHAnsi"/>
          <w:b/>
          <w:bCs/>
          <w:color w:val="002060"/>
          <w:szCs w:val="20"/>
          <w:lang w:val="sr-Cyrl-CS" w:eastAsia="ja-JP"/>
        </w:rPr>
        <w:lastRenderedPageBreak/>
        <w:t xml:space="preserve">Табела 17. Јавна предузећа која су остварила нето добит у периоду </w:t>
      </w:r>
      <w:r w:rsidRPr="0007074F">
        <w:rPr>
          <w:rFonts w:eastAsia="MS PGothic" w:cstheme="minorHAnsi"/>
          <w:b/>
          <w:bCs/>
          <w:color w:val="002060"/>
          <w:szCs w:val="20"/>
          <w:lang w:val="sr-Cyrl-CS" w:eastAsia="ja-JP"/>
        </w:rPr>
        <w:br w:type="textWrapping" w:clear="all"/>
      </w:r>
      <w:r w:rsidR="00F51AA9" w:rsidRPr="0007074F">
        <w:rPr>
          <w:rFonts w:eastAsia="MS PGothic" w:cstheme="minorHAnsi"/>
          <w:b/>
          <w:bCs/>
          <w:color w:val="002060"/>
          <w:szCs w:val="20"/>
          <w:lang w:val="sr-Cyrl-CS" w:eastAsia="ja-JP"/>
        </w:rPr>
        <w:t>1.1–31.</w:t>
      </w:r>
      <w:r w:rsidRPr="0007074F">
        <w:rPr>
          <w:rFonts w:eastAsia="MS PGothic" w:cstheme="minorHAnsi"/>
          <w:b/>
          <w:bCs/>
          <w:color w:val="002060"/>
          <w:szCs w:val="20"/>
          <w:lang w:val="sr-Cyrl-CS" w:eastAsia="ja-JP"/>
        </w:rPr>
        <w:t>3.2023. године, у хиљ. динара</w:t>
      </w:r>
    </w:p>
    <w:tbl>
      <w:tblPr>
        <w:tblW w:w="9137" w:type="dxa"/>
        <w:jc w:val="center"/>
        <w:tblLook w:val="04A0" w:firstRow="1" w:lastRow="0" w:firstColumn="1" w:lastColumn="0" w:noHBand="0" w:noVBand="1"/>
      </w:tblPr>
      <w:tblGrid>
        <w:gridCol w:w="4093"/>
        <w:gridCol w:w="1466"/>
        <w:gridCol w:w="1812"/>
        <w:gridCol w:w="1766"/>
      </w:tblGrid>
      <w:tr w:rsidR="00434D5D" w:rsidRPr="0007074F" w14:paraId="6111F0A3" w14:textId="77777777" w:rsidTr="00B349CD">
        <w:trPr>
          <w:trHeight w:val="220"/>
          <w:jc w:val="center"/>
        </w:trPr>
        <w:tc>
          <w:tcPr>
            <w:tcW w:w="4093" w:type="dxa"/>
            <w:tcBorders>
              <w:top w:val="single" w:sz="8" w:space="0" w:color="002060"/>
              <w:left w:val="nil"/>
              <w:bottom w:val="single" w:sz="8" w:space="0" w:color="002060"/>
              <w:right w:val="nil"/>
            </w:tcBorders>
            <w:shd w:val="clear" w:color="auto" w:fill="auto"/>
            <w:noWrap/>
            <w:vAlign w:val="center"/>
            <w:hideMark/>
          </w:tcPr>
          <w:p w14:paraId="5724AD4E"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Предузеће</w:t>
            </w:r>
          </w:p>
        </w:tc>
        <w:tc>
          <w:tcPr>
            <w:tcW w:w="1466" w:type="dxa"/>
            <w:tcBorders>
              <w:top w:val="single" w:sz="8" w:space="0" w:color="002060"/>
              <w:left w:val="nil"/>
              <w:bottom w:val="single" w:sz="8" w:space="0" w:color="002060"/>
              <w:right w:val="nil"/>
            </w:tcBorders>
            <w:shd w:val="clear" w:color="auto" w:fill="auto"/>
            <w:vAlign w:val="center"/>
            <w:hideMark/>
          </w:tcPr>
          <w:p w14:paraId="35196221"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Реализација 2022</w:t>
            </w:r>
          </w:p>
        </w:tc>
        <w:tc>
          <w:tcPr>
            <w:tcW w:w="1812" w:type="dxa"/>
            <w:tcBorders>
              <w:top w:val="single" w:sz="8" w:space="0" w:color="002060"/>
              <w:left w:val="nil"/>
              <w:bottom w:val="single" w:sz="8" w:space="0" w:color="002060"/>
              <w:right w:val="nil"/>
            </w:tcBorders>
            <w:shd w:val="clear" w:color="auto" w:fill="auto"/>
            <w:vAlign w:val="center"/>
            <w:hideMark/>
          </w:tcPr>
          <w:p w14:paraId="29D648D5" w14:textId="7BA01332" w:rsidR="00434D5D" w:rsidRPr="0007074F" w:rsidRDefault="00434D5D"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 xml:space="preserve">План </w:t>
            </w:r>
            <w:r w:rsidRPr="0007074F">
              <w:rPr>
                <w:rFonts w:ascii="Calibri" w:eastAsia="Times New Roman" w:hAnsi="Calibri" w:cs="Calibri"/>
                <w:b/>
                <w:bCs/>
                <w:color w:val="002060"/>
                <w:sz w:val="18"/>
                <w:szCs w:val="18"/>
                <w:lang w:val="sr-Cyrl-CS" w:eastAsia="en-GB"/>
              </w:rPr>
              <w:br w:type="textWrapping" w:clear="all"/>
            </w:r>
            <w:r w:rsidR="00F51AA9" w:rsidRPr="0007074F">
              <w:rPr>
                <w:rFonts w:ascii="Calibri" w:eastAsia="Times New Roman" w:hAnsi="Calibri" w:cs="Calibri"/>
                <w:b/>
                <w:bCs/>
                <w:color w:val="002060"/>
                <w:sz w:val="18"/>
                <w:szCs w:val="18"/>
                <w:lang w:val="sr-Cyrl-CS" w:eastAsia="en-GB"/>
              </w:rPr>
              <w:t>1.1–31.</w:t>
            </w:r>
            <w:r w:rsidRPr="0007074F">
              <w:rPr>
                <w:rFonts w:ascii="Calibri" w:eastAsia="Times New Roman" w:hAnsi="Calibri" w:cs="Calibri"/>
                <w:b/>
                <w:bCs/>
                <w:color w:val="002060"/>
                <w:sz w:val="18"/>
                <w:szCs w:val="18"/>
                <w:lang w:val="sr-Cyrl-CS" w:eastAsia="en-GB"/>
              </w:rPr>
              <w:t>3.2023.</w:t>
            </w:r>
          </w:p>
        </w:tc>
        <w:tc>
          <w:tcPr>
            <w:tcW w:w="1766" w:type="dxa"/>
            <w:tcBorders>
              <w:top w:val="single" w:sz="8" w:space="0" w:color="002060"/>
              <w:left w:val="nil"/>
              <w:bottom w:val="single" w:sz="8" w:space="0" w:color="002060"/>
              <w:right w:val="nil"/>
            </w:tcBorders>
            <w:shd w:val="clear" w:color="auto" w:fill="auto"/>
            <w:vAlign w:val="center"/>
            <w:hideMark/>
          </w:tcPr>
          <w:p w14:paraId="1CB4D9BD" w14:textId="76BDD07A" w:rsidR="00434D5D" w:rsidRPr="0007074F" w:rsidRDefault="00434D5D"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 xml:space="preserve">Реализација </w:t>
            </w:r>
            <w:r w:rsidRPr="0007074F">
              <w:rPr>
                <w:rFonts w:ascii="Calibri" w:eastAsia="Times New Roman" w:hAnsi="Calibri" w:cs="Calibri"/>
                <w:b/>
                <w:bCs/>
                <w:color w:val="002060"/>
                <w:sz w:val="18"/>
                <w:szCs w:val="18"/>
                <w:lang w:val="sr-Cyrl-CS" w:eastAsia="en-GB"/>
              </w:rPr>
              <w:br w:type="textWrapping" w:clear="all"/>
            </w:r>
            <w:r w:rsidR="00F51AA9" w:rsidRPr="0007074F">
              <w:rPr>
                <w:rFonts w:ascii="Calibri" w:eastAsia="Times New Roman" w:hAnsi="Calibri" w:cs="Calibri"/>
                <w:b/>
                <w:bCs/>
                <w:color w:val="002060"/>
                <w:sz w:val="18"/>
                <w:szCs w:val="18"/>
                <w:lang w:val="sr-Cyrl-CS" w:eastAsia="en-GB"/>
              </w:rPr>
              <w:t>1.1–31.</w:t>
            </w:r>
            <w:r w:rsidRPr="0007074F">
              <w:rPr>
                <w:rFonts w:ascii="Calibri" w:eastAsia="Times New Roman" w:hAnsi="Calibri" w:cs="Calibri"/>
                <w:b/>
                <w:bCs/>
                <w:color w:val="002060"/>
                <w:sz w:val="18"/>
                <w:szCs w:val="18"/>
                <w:lang w:val="sr-Cyrl-CS" w:eastAsia="en-GB"/>
              </w:rPr>
              <w:t>3.2023.</w:t>
            </w:r>
          </w:p>
        </w:tc>
      </w:tr>
      <w:tr w:rsidR="00434D5D" w:rsidRPr="0007074F" w14:paraId="57408A8E" w14:textId="77777777" w:rsidTr="00B349CD">
        <w:trPr>
          <w:trHeight w:val="170"/>
          <w:jc w:val="center"/>
        </w:trPr>
        <w:tc>
          <w:tcPr>
            <w:tcW w:w="4093" w:type="dxa"/>
            <w:tcBorders>
              <w:top w:val="nil"/>
              <w:left w:val="nil"/>
              <w:bottom w:val="nil"/>
              <w:right w:val="nil"/>
            </w:tcBorders>
            <w:shd w:val="clear" w:color="000000" w:fill="FFFFFF"/>
            <w:noWrap/>
            <w:vAlign w:val="center"/>
          </w:tcPr>
          <w:p w14:paraId="08499A46"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 xml:space="preserve">„Електропривреда Србије” а.д. </w:t>
            </w:r>
          </w:p>
        </w:tc>
        <w:tc>
          <w:tcPr>
            <w:tcW w:w="1466" w:type="dxa"/>
            <w:tcBorders>
              <w:top w:val="nil"/>
              <w:left w:val="nil"/>
              <w:bottom w:val="nil"/>
              <w:right w:val="nil"/>
            </w:tcBorders>
            <w:shd w:val="clear" w:color="000000" w:fill="FFFFFF"/>
            <w:noWrap/>
            <w:vAlign w:val="bottom"/>
          </w:tcPr>
          <w:p w14:paraId="0AB028FA"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-72.615.858</w:t>
            </w:r>
          </w:p>
        </w:tc>
        <w:tc>
          <w:tcPr>
            <w:tcW w:w="1812" w:type="dxa"/>
            <w:tcBorders>
              <w:top w:val="nil"/>
              <w:left w:val="nil"/>
              <w:bottom w:val="nil"/>
              <w:right w:val="nil"/>
            </w:tcBorders>
            <w:shd w:val="clear" w:color="000000" w:fill="FFFFFF"/>
            <w:noWrap/>
            <w:vAlign w:val="bottom"/>
          </w:tcPr>
          <w:p w14:paraId="2320C57B"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10.105.547</w:t>
            </w:r>
          </w:p>
        </w:tc>
        <w:tc>
          <w:tcPr>
            <w:tcW w:w="1766" w:type="dxa"/>
            <w:tcBorders>
              <w:top w:val="nil"/>
              <w:left w:val="nil"/>
              <w:bottom w:val="nil"/>
              <w:right w:val="nil"/>
            </w:tcBorders>
            <w:shd w:val="clear" w:color="000000" w:fill="FFFFFF"/>
            <w:noWrap/>
            <w:vAlign w:val="bottom"/>
          </w:tcPr>
          <w:p w14:paraId="3B44BE2D"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34.468.721</w:t>
            </w:r>
          </w:p>
        </w:tc>
      </w:tr>
      <w:tr w:rsidR="00434D5D" w:rsidRPr="0007074F" w14:paraId="34512DF5" w14:textId="77777777" w:rsidTr="00B349CD">
        <w:trPr>
          <w:trHeight w:val="170"/>
          <w:jc w:val="center"/>
        </w:trPr>
        <w:tc>
          <w:tcPr>
            <w:tcW w:w="4093" w:type="dxa"/>
            <w:tcBorders>
              <w:top w:val="nil"/>
              <w:left w:val="nil"/>
              <w:bottom w:val="nil"/>
              <w:right w:val="nil"/>
            </w:tcBorders>
            <w:shd w:val="clear" w:color="000000" w:fill="FFFFFF"/>
            <w:noWrap/>
            <w:vAlign w:val="center"/>
          </w:tcPr>
          <w:p w14:paraId="62104AFE"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 xml:space="preserve">ЈП </w:t>
            </w:r>
            <w:r w:rsidRPr="0007074F">
              <w:rPr>
                <w:rFonts w:cstheme="minorHAnsi"/>
                <w:color w:val="002060"/>
                <w:sz w:val="18"/>
                <w:szCs w:val="18"/>
                <w:lang w:val="sr-Cyrl-CS"/>
              </w:rPr>
              <w:t>„Србијагас”</w:t>
            </w:r>
          </w:p>
        </w:tc>
        <w:tc>
          <w:tcPr>
            <w:tcW w:w="1466" w:type="dxa"/>
            <w:tcBorders>
              <w:top w:val="nil"/>
              <w:left w:val="nil"/>
              <w:bottom w:val="nil"/>
              <w:right w:val="nil"/>
            </w:tcBorders>
            <w:shd w:val="clear" w:color="000000" w:fill="FFFFFF"/>
            <w:noWrap/>
            <w:vAlign w:val="bottom"/>
          </w:tcPr>
          <w:p w14:paraId="2619D136"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5.488.727</w:t>
            </w:r>
          </w:p>
        </w:tc>
        <w:tc>
          <w:tcPr>
            <w:tcW w:w="1812" w:type="dxa"/>
            <w:tcBorders>
              <w:top w:val="nil"/>
              <w:left w:val="nil"/>
              <w:bottom w:val="nil"/>
              <w:right w:val="nil"/>
            </w:tcBorders>
            <w:shd w:val="clear" w:color="000000" w:fill="FFFFFF"/>
            <w:noWrap/>
            <w:vAlign w:val="bottom"/>
          </w:tcPr>
          <w:p w14:paraId="477BBD6A"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1.091.527</w:t>
            </w:r>
          </w:p>
        </w:tc>
        <w:tc>
          <w:tcPr>
            <w:tcW w:w="1766" w:type="dxa"/>
            <w:tcBorders>
              <w:top w:val="nil"/>
              <w:left w:val="nil"/>
              <w:bottom w:val="nil"/>
              <w:right w:val="nil"/>
            </w:tcBorders>
            <w:shd w:val="clear" w:color="000000" w:fill="FFFFFF"/>
            <w:noWrap/>
            <w:vAlign w:val="bottom"/>
          </w:tcPr>
          <w:p w14:paraId="711E5935"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5.925.491</w:t>
            </w:r>
          </w:p>
        </w:tc>
      </w:tr>
      <w:tr w:rsidR="00434D5D" w:rsidRPr="0007074F" w14:paraId="1A3EA4EB" w14:textId="77777777" w:rsidTr="00B349CD">
        <w:trPr>
          <w:trHeight w:val="170"/>
          <w:jc w:val="center"/>
        </w:trPr>
        <w:tc>
          <w:tcPr>
            <w:tcW w:w="4093" w:type="dxa"/>
            <w:tcBorders>
              <w:top w:val="nil"/>
              <w:left w:val="nil"/>
              <w:bottom w:val="nil"/>
              <w:right w:val="nil"/>
            </w:tcBorders>
            <w:shd w:val="clear" w:color="000000" w:fill="FFFFFF"/>
            <w:noWrap/>
            <w:vAlign w:val="center"/>
          </w:tcPr>
          <w:p w14:paraId="295CD278"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„Електромрежа Србије” а.д.</w:t>
            </w:r>
          </w:p>
        </w:tc>
        <w:tc>
          <w:tcPr>
            <w:tcW w:w="1466" w:type="dxa"/>
            <w:tcBorders>
              <w:top w:val="nil"/>
              <w:left w:val="nil"/>
              <w:bottom w:val="nil"/>
              <w:right w:val="nil"/>
            </w:tcBorders>
            <w:shd w:val="clear" w:color="000000" w:fill="FFFFFF"/>
            <w:noWrap/>
            <w:vAlign w:val="bottom"/>
          </w:tcPr>
          <w:p w14:paraId="6902FD7D"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8.145.638</w:t>
            </w:r>
          </w:p>
        </w:tc>
        <w:tc>
          <w:tcPr>
            <w:tcW w:w="1812" w:type="dxa"/>
            <w:tcBorders>
              <w:top w:val="nil"/>
              <w:left w:val="nil"/>
              <w:bottom w:val="nil"/>
              <w:right w:val="nil"/>
            </w:tcBorders>
            <w:shd w:val="clear" w:color="000000" w:fill="FFFFFF"/>
            <w:noWrap/>
            <w:vAlign w:val="bottom"/>
          </w:tcPr>
          <w:p w14:paraId="32C39195"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-99.182</w:t>
            </w:r>
          </w:p>
        </w:tc>
        <w:tc>
          <w:tcPr>
            <w:tcW w:w="1766" w:type="dxa"/>
            <w:tcBorders>
              <w:top w:val="nil"/>
              <w:left w:val="nil"/>
              <w:bottom w:val="nil"/>
              <w:right w:val="nil"/>
            </w:tcBorders>
            <w:shd w:val="clear" w:color="000000" w:fill="FFFFFF"/>
            <w:noWrap/>
            <w:vAlign w:val="bottom"/>
          </w:tcPr>
          <w:p w14:paraId="13B4CD8F"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1.014.578</w:t>
            </w:r>
          </w:p>
        </w:tc>
      </w:tr>
      <w:tr w:rsidR="00434D5D" w:rsidRPr="0007074F" w14:paraId="4C01F8B5" w14:textId="77777777" w:rsidTr="00B349CD">
        <w:trPr>
          <w:trHeight w:val="170"/>
          <w:jc w:val="center"/>
        </w:trPr>
        <w:tc>
          <w:tcPr>
            <w:tcW w:w="4093" w:type="dxa"/>
            <w:tcBorders>
              <w:top w:val="nil"/>
              <w:left w:val="nil"/>
              <w:bottom w:val="nil"/>
              <w:right w:val="nil"/>
            </w:tcBorders>
            <w:shd w:val="clear" w:color="000000" w:fill="FFFFFF"/>
            <w:noWrap/>
            <w:vAlign w:val="center"/>
          </w:tcPr>
          <w:p w14:paraId="70498729"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„Србија Воз” а.д.</w:t>
            </w:r>
          </w:p>
        </w:tc>
        <w:tc>
          <w:tcPr>
            <w:tcW w:w="1466" w:type="dxa"/>
            <w:tcBorders>
              <w:top w:val="nil"/>
              <w:left w:val="nil"/>
              <w:bottom w:val="nil"/>
              <w:right w:val="nil"/>
            </w:tcBorders>
            <w:shd w:val="clear" w:color="000000" w:fill="FFFFFF"/>
            <w:noWrap/>
            <w:vAlign w:val="bottom"/>
          </w:tcPr>
          <w:p w14:paraId="4FD32E26"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-344.195</w:t>
            </w:r>
          </w:p>
        </w:tc>
        <w:tc>
          <w:tcPr>
            <w:tcW w:w="1812" w:type="dxa"/>
            <w:tcBorders>
              <w:top w:val="nil"/>
              <w:left w:val="nil"/>
              <w:bottom w:val="nil"/>
              <w:right w:val="nil"/>
            </w:tcBorders>
            <w:shd w:val="clear" w:color="000000" w:fill="FFFFFF"/>
            <w:noWrap/>
            <w:vAlign w:val="bottom"/>
          </w:tcPr>
          <w:p w14:paraId="739E4430"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227.790</w:t>
            </w:r>
          </w:p>
        </w:tc>
        <w:tc>
          <w:tcPr>
            <w:tcW w:w="1766" w:type="dxa"/>
            <w:tcBorders>
              <w:top w:val="nil"/>
              <w:left w:val="nil"/>
              <w:bottom w:val="nil"/>
              <w:right w:val="nil"/>
            </w:tcBorders>
            <w:shd w:val="clear" w:color="000000" w:fill="FFFFFF"/>
            <w:noWrap/>
            <w:vAlign w:val="bottom"/>
          </w:tcPr>
          <w:p w14:paraId="19AAE438"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661.145</w:t>
            </w:r>
          </w:p>
        </w:tc>
      </w:tr>
      <w:tr w:rsidR="00434D5D" w:rsidRPr="0007074F" w14:paraId="6734EA9F" w14:textId="77777777" w:rsidTr="00B349CD">
        <w:trPr>
          <w:trHeight w:val="170"/>
          <w:jc w:val="center"/>
        </w:trPr>
        <w:tc>
          <w:tcPr>
            <w:tcW w:w="4093" w:type="dxa"/>
            <w:tcBorders>
              <w:top w:val="nil"/>
              <w:left w:val="nil"/>
              <w:bottom w:val="nil"/>
              <w:right w:val="nil"/>
            </w:tcBorders>
            <w:shd w:val="clear" w:color="000000" w:fill="FFFFFF"/>
            <w:noWrap/>
            <w:vAlign w:val="center"/>
          </w:tcPr>
          <w:p w14:paraId="02AF12B9"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„Скијалишта Србије”</w:t>
            </w:r>
          </w:p>
        </w:tc>
        <w:tc>
          <w:tcPr>
            <w:tcW w:w="1466" w:type="dxa"/>
            <w:tcBorders>
              <w:top w:val="nil"/>
              <w:left w:val="nil"/>
              <w:bottom w:val="nil"/>
              <w:right w:val="nil"/>
            </w:tcBorders>
            <w:shd w:val="clear" w:color="000000" w:fill="FFFFFF"/>
            <w:noWrap/>
            <w:vAlign w:val="bottom"/>
          </w:tcPr>
          <w:p w14:paraId="116DE3F4"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242.251</w:t>
            </w:r>
          </w:p>
        </w:tc>
        <w:tc>
          <w:tcPr>
            <w:tcW w:w="1812" w:type="dxa"/>
            <w:tcBorders>
              <w:top w:val="nil"/>
              <w:left w:val="nil"/>
              <w:bottom w:val="nil"/>
              <w:right w:val="nil"/>
            </w:tcBorders>
            <w:shd w:val="clear" w:color="000000" w:fill="FFFFFF"/>
            <w:noWrap/>
            <w:vAlign w:val="bottom"/>
          </w:tcPr>
          <w:p w14:paraId="3FCEC995"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762.883</w:t>
            </w:r>
          </w:p>
        </w:tc>
        <w:tc>
          <w:tcPr>
            <w:tcW w:w="1766" w:type="dxa"/>
            <w:tcBorders>
              <w:top w:val="nil"/>
              <w:left w:val="nil"/>
              <w:bottom w:val="nil"/>
              <w:right w:val="nil"/>
            </w:tcBorders>
            <w:shd w:val="clear" w:color="000000" w:fill="FFFFFF"/>
            <w:noWrap/>
            <w:vAlign w:val="bottom"/>
          </w:tcPr>
          <w:p w14:paraId="7B181D9C"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600.359</w:t>
            </w:r>
          </w:p>
        </w:tc>
      </w:tr>
      <w:tr w:rsidR="00434D5D" w:rsidRPr="0007074F" w14:paraId="75F86DCF" w14:textId="77777777" w:rsidTr="00B349CD">
        <w:trPr>
          <w:trHeight w:val="170"/>
          <w:jc w:val="center"/>
        </w:trPr>
        <w:tc>
          <w:tcPr>
            <w:tcW w:w="4093" w:type="dxa"/>
            <w:tcBorders>
              <w:top w:val="nil"/>
              <w:left w:val="nil"/>
              <w:bottom w:val="nil"/>
              <w:right w:val="nil"/>
            </w:tcBorders>
            <w:shd w:val="clear" w:color="000000" w:fill="FFFFFF"/>
            <w:noWrap/>
            <w:vAlign w:val="center"/>
          </w:tcPr>
          <w:p w14:paraId="7419C6D3"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„Путеви Србије”</w:t>
            </w:r>
          </w:p>
        </w:tc>
        <w:tc>
          <w:tcPr>
            <w:tcW w:w="1466" w:type="dxa"/>
            <w:tcBorders>
              <w:top w:val="nil"/>
              <w:left w:val="nil"/>
              <w:bottom w:val="nil"/>
              <w:right w:val="nil"/>
            </w:tcBorders>
            <w:shd w:val="clear" w:color="000000" w:fill="FFFFFF"/>
            <w:noWrap/>
            <w:vAlign w:val="bottom"/>
          </w:tcPr>
          <w:p w14:paraId="1BED9087"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-5.121.833</w:t>
            </w:r>
          </w:p>
        </w:tc>
        <w:tc>
          <w:tcPr>
            <w:tcW w:w="1812" w:type="dxa"/>
            <w:tcBorders>
              <w:top w:val="nil"/>
              <w:left w:val="nil"/>
              <w:bottom w:val="nil"/>
              <w:right w:val="nil"/>
            </w:tcBorders>
            <w:shd w:val="clear" w:color="000000" w:fill="FFFFFF"/>
            <w:noWrap/>
            <w:vAlign w:val="bottom"/>
          </w:tcPr>
          <w:p w14:paraId="03CE58E6"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w:t>
            </w:r>
          </w:p>
        </w:tc>
        <w:tc>
          <w:tcPr>
            <w:tcW w:w="1766" w:type="dxa"/>
            <w:tcBorders>
              <w:top w:val="nil"/>
              <w:left w:val="nil"/>
              <w:bottom w:val="nil"/>
              <w:right w:val="nil"/>
            </w:tcBorders>
            <w:shd w:val="clear" w:color="000000" w:fill="FFFFFF"/>
            <w:noWrap/>
            <w:vAlign w:val="bottom"/>
          </w:tcPr>
          <w:p w14:paraId="1E351878"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575.250</w:t>
            </w:r>
          </w:p>
        </w:tc>
      </w:tr>
      <w:tr w:rsidR="00434D5D" w:rsidRPr="0007074F" w14:paraId="14341E40" w14:textId="77777777" w:rsidTr="00B349CD">
        <w:trPr>
          <w:trHeight w:val="170"/>
          <w:jc w:val="center"/>
        </w:trPr>
        <w:tc>
          <w:tcPr>
            <w:tcW w:w="4093" w:type="dxa"/>
            <w:tcBorders>
              <w:top w:val="nil"/>
              <w:left w:val="nil"/>
              <w:bottom w:val="nil"/>
              <w:right w:val="nil"/>
            </w:tcBorders>
            <w:shd w:val="clear" w:color="000000" w:fill="FFFFFF"/>
            <w:noWrap/>
            <w:vAlign w:val="center"/>
          </w:tcPr>
          <w:p w14:paraId="5699A392"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„Државна лутрија Србије” д.о.о.</w:t>
            </w:r>
          </w:p>
        </w:tc>
        <w:tc>
          <w:tcPr>
            <w:tcW w:w="1466" w:type="dxa"/>
            <w:tcBorders>
              <w:top w:val="nil"/>
              <w:left w:val="nil"/>
              <w:bottom w:val="nil"/>
              <w:right w:val="nil"/>
            </w:tcBorders>
            <w:shd w:val="clear" w:color="000000" w:fill="FFFFFF"/>
            <w:noWrap/>
            <w:vAlign w:val="bottom"/>
          </w:tcPr>
          <w:p w14:paraId="5F24FE2A"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292.508</w:t>
            </w:r>
          </w:p>
        </w:tc>
        <w:tc>
          <w:tcPr>
            <w:tcW w:w="1812" w:type="dxa"/>
            <w:tcBorders>
              <w:top w:val="nil"/>
              <w:left w:val="nil"/>
              <w:bottom w:val="nil"/>
              <w:right w:val="nil"/>
            </w:tcBorders>
            <w:shd w:val="clear" w:color="000000" w:fill="FFFFFF"/>
            <w:noWrap/>
            <w:vAlign w:val="bottom"/>
          </w:tcPr>
          <w:p w14:paraId="29378134"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14.751</w:t>
            </w:r>
          </w:p>
        </w:tc>
        <w:tc>
          <w:tcPr>
            <w:tcW w:w="1766" w:type="dxa"/>
            <w:tcBorders>
              <w:top w:val="nil"/>
              <w:left w:val="nil"/>
              <w:bottom w:val="nil"/>
              <w:right w:val="nil"/>
            </w:tcBorders>
            <w:shd w:val="clear" w:color="000000" w:fill="FFFFFF"/>
            <w:noWrap/>
            <w:vAlign w:val="bottom"/>
          </w:tcPr>
          <w:p w14:paraId="5164699A"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93.681</w:t>
            </w:r>
          </w:p>
        </w:tc>
      </w:tr>
      <w:tr w:rsidR="00434D5D" w:rsidRPr="0007074F" w14:paraId="621BD1A4" w14:textId="77777777" w:rsidTr="00B349CD">
        <w:trPr>
          <w:trHeight w:val="170"/>
          <w:jc w:val="center"/>
        </w:trPr>
        <w:tc>
          <w:tcPr>
            <w:tcW w:w="4093" w:type="dxa"/>
            <w:tcBorders>
              <w:top w:val="nil"/>
              <w:left w:val="nil"/>
              <w:bottom w:val="nil"/>
              <w:right w:val="nil"/>
            </w:tcBorders>
            <w:shd w:val="clear" w:color="000000" w:fill="FFFFFF"/>
            <w:noWrap/>
            <w:vAlign w:val="center"/>
          </w:tcPr>
          <w:p w14:paraId="2E7946E8"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„Коридори Србије” д.о.о.</w:t>
            </w:r>
          </w:p>
        </w:tc>
        <w:tc>
          <w:tcPr>
            <w:tcW w:w="1466" w:type="dxa"/>
            <w:tcBorders>
              <w:top w:val="nil"/>
              <w:left w:val="nil"/>
              <w:bottom w:val="nil"/>
              <w:right w:val="nil"/>
            </w:tcBorders>
            <w:shd w:val="clear" w:color="000000" w:fill="FFFFFF"/>
            <w:noWrap/>
            <w:vAlign w:val="bottom"/>
          </w:tcPr>
          <w:p w14:paraId="7DA1FAF5"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0</w:t>
            </w:r>
          </w:p>
        </w:tc>
        <w:tc>
          <w:tcPr>
            <w:tcW w:w="1812" w:type="dxa"/>
            <w:tcBorders>
              <w:top w:val="nil"/>
              <w:left w:val="nil"/>
              <w:bottom w:val="nil"/>
              <w:right w:val="nil"/>
            </w:tcBorders>
            <w:shd w:val="clear" w:color="000000" w:fill="FFFFFF"/>
            <w:noWrap/>
            <w:vAlign w:val="bottom"/>
          </w:tcPr>
          <w:p w14:paraId="4A25908D"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0</w:t>
            </w:r>
          </w:p>
        </w:tc>
        <w:tc>
          <w:tcPr>
            <w:tcW w:w="1766" w:type="dxa"/>
            <w:tcBorders>
              <w:top w:val="nil"/>
              <w:left w:val="nil"/>
              <w:bottom w:val="nil"/>
              <w:right w:val="nil"/>
            </w:tcBorders>
            <w:shd w:val="clear" w:color="000000" w:fill="FFFFFF"/>
            <w:noWrap/>
            <w:vAlign w:val="bottom"/>
          </w:tcPr>
          <w:p w14:paraId="1E273B54"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80.410</w:t>
            </w:r>
          </w:p>
        </w:tc>
      </w:tr>
      <w:tr w:rsidR="00434D5D" w:rsidRPr="0007074F" w14:paraId="52F0BC5F" w14:textId="77777777" w:rsidTr="00B349CD">
        <w:trPr>
          <w:trHeight w:val="170"/>
          <w:jc w:val="center"/>
        </w:trPr>
        <w:tc>
          <w:tcPr>
            <w:tcW w:w="4093" w:type="dxa"/>
            <w:tcBorders>
              <w:top w:val="nil"/>
              <w:left w:val="nil"/>
              <w:bottom w:val="nil"/>
              <w:right w:val="nil"/>
            </w:tcBorders>
            <w:shd w:val="clear" w:color="000000" w:fill="FFFFFF"/>
            <w:noWrap/>
            <w:vAlign w:val="center"/>
          </w:tcPr>
          <w:p w14:paraId="60466F65"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„Железнице Србије” а.д.</w:t>
            </w:r>
          </w:p>
        </w:tc>
        <w:tc>
          <w:tcPr>
            <w:tcW w:w="1466" w:type="dxa"/>
            <w:tcBorders>
              <w:top w:val="nil"/>
              <w:left w:val="nil"/>
              <w:bottom w:val="nil"/>
              <w:right w:val="nil"/>
            </w:tcBorders>
            <w:shd w:val="clear" w:color="000000" w:fill="FFFFFF"/>
            <w:noWrap/>
            <w:vAlign w:val="bottom"/>
          </w:tcPr>
          <w:p w14:paraId="092C6856"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-1.237.843</w:t>
            </w:r>
          </w:p>
        </w:tc>
        <w:tc>
          <w:tcPr>
            <w:tcW w:w="1812" w:type="dxa"/>
            <w:tcBorders>
              <w:top w:val="nil"/>
              <w:left w:val="nil"/>
              <w:bottom w:val="nil"/>
              <w:right w:val="nil"/>
            </w:tcBorders>
            <w:shd w:val="clear" w:color="000000" w:fill="FFFFFF"/>
            <w:noWrap/>
            <w:vAlign w:val="bottom"/>
          </w:tcPr>
          <w:p w14:paraId="07AB5B46"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24.234</w:t>
            </w:r>
          </w:p>
        </w:tc>
        <w:tc>
          <w:tcPr>
            <w:tcW w:w="1766" w:type="dxa"/>
            <w:tcBorders>
              <w:top w:val="nil"/>
              <w:left w:val="nil"/>
              <w:bottom w:val="nil"/>
              <w:right w:val="nil"/>
            </w:tcBorders>
            <w:shd w:val="clear" w:color="000000" w:fill="FFFFFF"/>
            <w:noWrap/>
            <w:vAlign w:val="bottom"/>
          </w:tcPr>
          <w:p w14:paraId="53D95077"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66.553</w:t>
            </w:r>
          </w:p>
        </w:tc>
      </w:tr>
      <w:tr w:rsidR="00434D5D" w:rsidRPr="0007074F" w14:paraId="22AF11EE" w14:textId="77777777" w:rsidTr="00B349CD">
        <w:trPr>
          <w:trHeight w:val="170"/>
          <w:jc w:val="center"/>
        </w:trPr>
        <w:tc>
          <w:tcPr>
            <w:tcW w:w="4093" w:type="dxa"/>
            <w:tcBorders>
              <w:top w:val="nil"/>
              <w:left w:val="nil"/>
              <w:bottom w:val="nil"/>
              <w:right w:val="nil"/>
            </w:tcBorders>
            <w:shd w:val="clear" w:color="000000" w:fill="FFFFFF"/>
            <w:noWrap/>
            <w:vAlign w:val="center"/>
          </w:tcPr>
          <w:p w14:paraId="78776BDD"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„Дипос” д.о.о.</w:t>
            </w:r>
          </w:p>
        </w:tc>
        <w:tc>
          <w:tcPr>
            <w:tcW w:w="1466" w:type="dxa"/>
            <w:tcBorders>
              <w:top w:val="nil"/>
              <w:left w:val="nil"/>
              <w:bottom w:val="nil"/>
              <w:right w:val="nil"/>
            </w:tcBorders>
            <w:shd w:val="clear" w:color="000000" w:fill="FFFFFF"/>
            <w:noWrap/>
            <w:vAlign w:val="bottom"/>
          </w:tcPr>
          <w:p w14:paraId="1871F7F2"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143.152</w:t>
            </w:r>
          </w:p>
        </w:tc>
        <w:tc>
          <w:tcPr>
            <w:tcW w:w="1812" w:type="dxa"/>
            <w:tcBorders>
              <w:top w:val="nil"/>
              <w:left w:val="nil"/>
              <w:bottom w:val="nil"/>
              <w:right w:val="nil"/>
            </w:tcBorders>
            <w:shd w:val="clear" w:color="000000" w:fill="FFFFFF"/>
            <w:noWrap/>
            <w:vAlign w:val="bottom"/>
          </w:tcPr>
          <w:p w14:paraId="6741BFBA"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56.282</w:t>
            </w:r>
          </w:p>
        </w:tc>
        <w:tc>
          <w:tcPr>
            <w:tcW w:w="1766" w:type="dxa"/>
            <w:tcBorders>
              <w:top w:val="nil"/>
              <w:left w:val="nil"/>
              <w:bottom w:val="nil"/>
              <w:right w:val="nil"/>
            </w:tcBorders>
            <w:shd w:val="clear" w:color="000000" w:fill="FFFFFF"/>
            <w:noWrap/>
            <w:vAlign w:val="bottom"/>
          </w:tcPr>
          <w:p w14:paraId="606520FA"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66.278</w:t>
            </w:r>
          </w:p>
        </w:tc>
      </w:tr>
      <w:tr w:rsidR="00434D5D" w:rsidRPr="0007074F" w14:paraId="7F46E7EB" w14:textId="77777777" w:rsidTr="00B349CD">
        <w:trPr>
          <w:trHeight w:val="170"/>
          <w:jc w:val="center"/>
        </w:trPr>
        <w:tc>
          <w:tcPr>
            <w:tcW w:w="4093" w:type="dxa"/>
            <w:tcBorders>
              <w:top w:val="nil"/>
              <w:left w:val="nil"/>
              <w:bottom w:val="nil"/>
              <w:right w:val="nil"/>
            </w:tcBorders>
            <w:shd w:val="clear" w:color="000000" w:fill="FFFFFF"/>
            <w:noWrap/>
            <w:vAlign w:val="center"/>
          </w:tcPr>
          <w:p w14:paraId="314F9BA6"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„Србијашуме”</w:t>
            </w:r>
          </w:p>
        </w:tc>
        <w:tc>
          <w:tcPr>
            <w:tcW w:w="1466" w:type="dxa"/>
            <w:tcBorders>
              <w:top w:val="nil"/>
              <w:left w:val="nil"/>
              <w:bottom w:val="nil"/>
              <w:right w:val="nil"/>
            </w:tcBorders>
            <w:shd w:val="clear" w:color="000000" w:fill="FFFFFF"/>
            <w:noWrap/>
            <w:vAlign w:val="bottom"/>
          </w:tcPr>
          <w:p w14:paraId="5612EE05"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737.878</w:t>
            </w:r>
          </w:p>
        </w:tc>
        <w:tc>
          <w:tcPr>
            <w:tcW w:w="1812" w:type="dxa"/>
            <w:tcBorders>
              <w:top w:val="nil"/>
              <w:left w:val="nil"/>
              <w:bottom w:val="nil"/>
              <w:right w:val="nil"/>
            </w:tcBorders>
            <w:shd w:val="clear" w:color="000000" w:fill="FFFFFF"/>
            <w:noWrap/>
            <w:vAlign w:val="bottom"/>
          </w:tcPr>
          <w:p w14:paraId="2F4210EE"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-166.277</w:t>
            </w:r>
          </w:p>
        </w:tc>
        <w:tc>
          <w:tcPr>
            <w:tcW w:w="1766" w:type="dxa"/>
            <w:tcBorders>
              <w:top w:val="nil"/>
              <w:left w:val="nil"/>
              <w:bottom w:val="nil"/>
              <w:right w:val="nil"/>
            </w:tcBorders>
            <w:shd w:val="clear" w:color="000000" w:fill="FFFFFF"/>
            <w:noWrap/>
            <w:vAlign w:val="bottom"/>
          </w:tcPr>
          <w:p w14:paraId="14904F82"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52.871</w:t>
            </w:r>
          </w:p>
        </w:tc>
      </w:tr>
      <w:tr w:rsidR="00434D5D" w:rsidRPr="0007074F" w14:paraId="58871A15" w14:textId="77777777" w:rsidTr="00B349CD">
        <w:trPr>
          <w:trHeight w:val="170"/>
          <w:jc w:val="center"/>
        </w:trPr>
        <w:tc>
          <w:tcPr>
            <w:tcW w:w="4093" w:type="dxa"/>
            <w:tcBorders>
              <w:top w:val="nil"/>
              <w:left w:val="nil"/>
              <w:bottom w:val="nil"/>
              <w:right w:val="nil"/>
            </w:tcBorders>
            <w:shd w:val="clear" w:color="000000" w:fill="FFFFFF"/>
            <w:noWrap/>
            <w:vAlign w:val="center"/>
          </w:tcPr>
          <w:p w14:paraId="5E3C1D54"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„Национални парк Копаоник”</w:t>
            </w:r>
          </w:p>
        </w:tc>
        <w:tc>
          <w:tcPr>
            <w:tcW w:w="1466" w:type="dxa"/>
            <w:tcBorders>
              <w:top w:val="nil"/>
              <w:left w:val="nil"/>
              <w:bottom w:val="nil"/>
              <w:right w:val="nil"/>
            </w:tcBorders>
            <w:shd w:val="clear" w:color="000000" w:fill="FFFFFF"/>
            <w:noWrap/>
            <w:vAlign w:val="bottom"/>
          </w:tcPr>
          <w:p w14:paraId="433DFC34"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11.083</w:t>
            </w:r>
          </w:p>
        </w:tc>
        <w:tc>
          <w:tcPr>
            <w:tcW w:w="1812" w:type="dxa"/>
            <w:tcBorders>
              <w:top w:val="nil"/>
              <w:left w:val="nil"/>
              <w:bottom w:val="nil"/>
              <w:right w:val="nil"/>
            </w:tcBorders>
            <w:shd w:val="clear" w:color="000000" w:fill="FFFFFF"/>
            <w:noWrap/>
            <w:vAlign w:val="bottom"/>
          </w:tcPr>
          <w:p w14:paraId="3C0124D1"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45.526</w:t>
            </w:r>
          </w:p>
        </w:tc>
        <w:tc>
          <w:tcPr>
            <w:tcW w:w="1766" w:type="dxa"/>
            <w:tcBorders>
              <w:top w:val="nil"/>
              <w:left w:val="nil"/>
              <w:bottom w:val="nil"/>
              <w:right w:val="nil"/>
            </w:tcBorders>
            <w:shd w:val="clear" w:color="000000" w:fill="FFFFFF"/>
            <w:noWrap/>
            <w:vAlign w:val="bottom"/>
          </w:tcPr>
          <w:p w14:paraId="12EE3C2C"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35.305</w:t>
            </w:r>
          </w:p>
        </w:tc>
      </w:tr>
      <w:tr w:rsidR="00434D5D" w:rsidRPr="0007074F" w14:paraId="55D95AEB" w14:textId="77777777" w:rsidTr="00B349CD">
        <w:trPr>
          <w:trHeight w:val="170"/>
          <w:jc w:val="center"/>
        </w:trPr>
        <w:tc>
          <w:tcPr>
            <w:tcW w:w="4093" w:type="dxa"/>
            <w:tcBorders>
              <w:top w:val="nil"/>
              <w:left w:val="nil"/>
              <w:bottom w:val="nil"/>
              <w:right w:val="nil"/>
            </w:tcBorders>
            <w:shd w:val="clear" w:color="000000" w:fill="FFFFFF"/>
            <w:noWrap/>
            <w:vAlign w:val="center"/>
          </w:tcPr>
          <w:p w14:paraId="52007703"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„Транснафта” а.д.</w:t>
            </w:r>
          </w:p>
        </w:tc>
        <w:tc>
          <w:tcPr>
            <w:tcW w:w="1466" w:type="dxa"/>
            <w:tcBorders>
              <w:top w:val="nil"/>
              <w:left w:val="nil"/>
              <w:bottom w:val="nil"/>
              <w:right w:val="nil"/>
            </w:tcBorders>
            <w:shd w:val="clear" w:color="000000" w:fill="FFFFFF"/>
            <w:noWrap/>
            <w:vAlign w:val="bottom"/>
          </w:tcPr>
          <w:p w14:paraId="76E290B1"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344.385</w:t>
            </w:r>
          </w:p>
        </w:tc>
        <w:tc>
          <w:tcPr>
            <w:tcW w:w="1812" w:type="dxa"/>
            <w:tcBorders>
              <w:top w:val="nil"/>
              <w:left w:val="nil"/>
              <w:bottom w:val="nil"/>
              <w:right w:val="nil"/>
            </w:tcBorders>
            <w:shd w:val="clear" w:color="000000" w:fill="FFFFFF"/>
            <w:noWrap/>
            <w:vAlign w:val="bottom"/>
          </w:tcPr>
          <w:p w14:paraId="6CD5D800"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7.831</w:t>
            </w:r>
          </w:p>
        </w:tc>
        <w:tc>
          <w:tcPr>
            <w:tcW w:w="1766" w:type="dxa"/>
            <w:tcBorders>
              <w:top w:val="nil"/>
              <w:left w:val="nil"/>
              <w:bottom w:val="nil"/>
              <w:right w:val="nil"/>
            </w:tcBorders>
            <w:shd w:val="clear" w:color="000000" w:fill="FFFFFF"/>
            <w:noWrap/>
            <w:vAlign w:val="bottom"/>
          </w:tcPr>
          <w:p w14:paraId="62CC6206"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24.849</w:t>
            </w:r>
          </w:p>
        </w:tc>
      </w:tr>
      <w:tr w:rsidR="00434D5D" w:rsidRPr="0007074F" w14:paraId="4EE11A83" w14:textId="77777777" w:rsidTr="00B349CD">
        <w:trPr>
          <w:trHeight w:val="170"/>
          <w:jc w:val="center"/>
        </w:trPr>
        <w:tc>
          <w:tcPr>
            <w:tcW w:w="4093" w:type="dxa"/>
            <w:tcBorders>
              <w:top w:val="nil"/>
              <w:left w:val="nil"/>
              <w:bottom w:val="nil"/>
              <w:right w:val="nil"/>
            </w:tcBorders>
            <w:shd w:val="clear" w:color="000000" w:fill="FFFFFF"/>
            <w:noWrap/>
            <w:vAlign w:val="center"/>
          </w:tcPr>
          <w:p w14:paraId="0E81C1F1"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„Просветни преглед” д.о.о.</w:t>
            </w:r>
          </w:p>
        </w:tc>
        <w:tc>
          <w:tcPr>
            <w:tcW w:w="1466" w:type="dxa"/>
            <w:tcBorders>
              <w:top w:val="nil"/>
              <w:left w:val="nil"/>
              <w:bottom w:val="nil"/>
              <w:right w:val="nil"/>
            </w:tcBorders>
            <w:shd w:val="clear" w:color="000000" w:fill="FFFFFF"/>
            <w:noWrap/>
            <w:vAlign w:val="bottom"/>
          </w:tcPr>
          <w:p w14:paraId="22F9E27D"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23.885</w:t>
            </w:r>
          </w:p>
        </w:tc>
        <w:tc>
          <w:tcPr>
            <w:tcW w:w="1812" w:type="dxa"/>
            <w:tcBorders>
              <w:top w:val="nil"/>
              <w:left w:val="nil"/>
              <w:bottom w:val="nil"/>
              <w:right w:val="nil"/>
            </w:tcBorders>
            <w:shd w:val="clear" w:color="000000" w:fill="FFFFFF"/>
            <w:noWrap/>
            <w:vAlign w:val="bottom"/>
          </w:tcPr>
          <w:p w14:paraId="6772A821"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4.214</w:t>
            </w:r>
          </w:p>
        </w:tc>
        <w:tc>
          <w:tcPr>
            <w:tcW w:w="1766" w:type="dxa"/>
            <w:tcBorders>
              <w:top w:val="nil"/>
              <w:left w:val="nil"/>
              <w:bottom w:val="nil"/>
              <w:right w:val="nil"/>
            </w:tcBorders>
            <w:shd w:val="clear" w:color="000000" w:fill="FFFFFF"/>
            <w:noWrap/>
            <w:vAlign w:val="bottom"/>
          </w:tcPr>
          <w:p w14:paraId="34A8E835"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7.584</w:t>
            </w:r>
          </w:p>
        </w:tc>
      </w:tr>
      <w:tr w:rsidR="00434D5D" w:rsidRPr="0007074F" w14:paraId="3F9C21F6" w14:textId="77777777" w:rsidTr="00B349CD">
        <w:trPr>
          <w:trHeight w:val="170"/>
          <w:jc w:val="center"/>
        </w:trPr>
        <w:tc>
          <w:tcPr>
            <w:tcW w:w="4093" w:type="dxa"/>
            <w:tcBorders>
              <w:top w:val="nil"/>
              <w:left w:val="nil"/>
              <w:bottom w:val="nil"/>
              <w:right w:val="nil"/>
            </w:tcBorders>
            <w:shd w:val="clear" w:color="000000" w:fill="FFFFFF"/>
            <w:noWrap/>
            <w:vAlign w:val="center"/>
          </w:tcPr>
          <w:p w14:paraId="2CC2E497"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„Мрежа-мост”</w:t>
            </w:r>
          </w:p>
        </w:tc>
        <w:tc>
          <w:tcPr>
            <w:tcW w:w="1466" w:type="dxa"/>
            <w:tcBorders>
              <w:top w:val="nil"/>
              <w:left w:val="nil"/>
              <w:bottom w:val="nil"/>
              <w:right w:val="nil"/>
            </w:tcBorders>
            <w:shd w:val="clear" w:color="000000" w:fill="FFFFFF"/>
            <w:noWrap/>
            <w:vAlign w:val="bottom"/>
          </w:tcPr>
          <w:p w14:paraId="4BC835E5"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3.404</w:t>
            </w:r>
          </w:p>
        </w:tc>
        <w:tc>
          <w:tcPr>
            <w:tcW w:w="1812" w:type="dxa"/>
            <w:tcBorders>
              <w:top w:val="nil"/>
              <w:left w:val="nil"/>
              <w:bottom w:val="nil"/>
              <w:right w:val="nil"/>
            </w:tcBorders>
            <w:shd w:val="clear" w:color="000000" w:fill="FFFFFF"/>
            <w:noWrap/>
            <w:vAlign w:val="bottom"/>
          </w:tcPr>
          <w:p w14:paraId="5AC85F24"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0</w:t>
            </w:r>
          </w:p>
        </w:tc>
        <w:tc>
          <w:tcPr>
            <w:tcW w:w="1766" w:type="dxa"/>
            <w:tcBorders>
              <w:top w:val="nil"/>
              <w:left w:val="nil"/>
              <w:bottom w:val="nil"/>
              <w:right w:val="nil"/>
            </w:tcBorders>
            <w:shd w:val="clear" w:color="000000" w:fill="FFFFFF"/>
            <w:noWrap/>
            <w:vAlign w:val="bottom"/>
          </w:tcPr>
          <w:p w14:paraId="53F6D6D2"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3.981</w:t>
            </w:r>
          </w:p>
        </w:tc>
      </w:tr>
      <w:tr w:rsidR="00434D5D" w:rsidRPr="0007074F" w14:paraId="032F534B" w14:textId="77777777" w:rsidTr="00B349CD">
        <w:trPr>
          <w:trHeight w:val="170"/>
          <w:jc w:val="center"/>
        </w:trPr>
        <w:tc>
          <w:tcPr>
            <w:tcW w:w="4093" w:type="dxa"/>
            <w:tcBorders>
              <w:top w:val="nil"/>
              <w:left w:val="nil"/>
              <w:bottom w:val="nil"/>
              <w:right w:val="nil"/>
            </w:tcBorders>
            <w:shd w:val="clear" w:color="000000" w:fill="FFFFFF"/>
            <w:noWrap/>
            <w:vAlign w:val="center"/>
          </w:tcPr>
          <w:p w14:paraId="63CFB4E1"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„Нуклеарни објекти Србије” Винча</w:t>
            </w:r>
          </w:p>
        </w:tc>
        <w:tc>
          <w:tcPr>
            <w:tcW w:w="1466" w:type="dxa"/>
            <w:tcBorders>
              <w:top w:val="nil"/>
              <w:left w:val="nil"/>
              <w:bottom w:val="nil"/>
              <w:right w:val="nil"/>
            </w:tcBorders>
            <w:shd w:val="clear" w:color="000000" w:fill="FFFFFF"/>
            <w:noWrap/>
            <w:vAlign w:val="bottom"/>
          </w:tcPr>
          <w:p w14:paraId="325B05C3"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15.009</w:t>
            </w:r>
          </w:p>
        </w:tc>
        <w:tc>
          <w:tcPr>
            <w:tcW w:w="1812" w:type="dxa"/>
            <w:tcBorders>
              <w:top w:val="nil"/>
              <w:left w:val="nil"/>
              <w:bottom w:val="nil"/>
              <w:right w:val="nil"/>
            </w:tcBorders>
            <w:shd w:val="clear" w:color="000000" w:fill="FFFFFF"/>
            <w:noWrap/>
            <w:vAlign w:val="bottom"/>
          </w:tcPr>
          <w:p w14:paraId="68F8E480"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w:t>
            </w:r>
          </w:p>
        </w:tc>
        <w:tc>
          <w:tcPr>
            <w:tcW w:w="1766" w:type="dxa"/>
            <w:tcBorders>
              <w:top w:val="nil"/>
              <w:left w:val="nil"/>
              <w:bottom w:val="nil"/>
              <w:right w:val="nil"/>
            </w:tcBorders>
            <w:shd w:val="clear" w:color="000000" w:fill="FFFFFF"/>
            <w:noWrap/>
            <w:vAlign w:val="bottom"/>
          </w:tcPr>
          <w:p w14:paraId="2F62FA76"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2.933</w:t>
            </w:r>
          </w:p>
        </w:tc>
      </w:tr>
      <w:tr w:rsidR="00434D5D" w:rsidRPr="0007074F" w14:paraId="71BAF744" w14:textId="77777777" w:rsidTr="00B349CD">
        <w:trPr>
          <w:trHeight w:val="170"/>
          <w:jc w:val="center"/>
        </w:trPr>
        <w:tc>
          <w:tcPr>
            <w:tcW w:w="4093" w:type="dxa"/>
            <w:tcBorders>
              <w:top w:val="nil"/>
              <w:left w:val="nil"/>
              <w:bottom w:val="nil"/>
              <w:right w:val="nil"/>
            </w:tcBorders>
            <w:shd w:val="clear" w:color="000000" w:fill="FFFFFF"/>
            <w:noWrap/>
            <w:vAlign w:val="center"/>
          </w:tcPr>
          <w:p w14:paraId="499B103B"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„Метохија” д.о.о.</w:t>
            </w:r>
          </w:p>
        </w:tc>
        <w:tc>
          <w:tcPr>
            <w:tcW w:w="1466" w:type="dxa"/>
            <w:tcBorders>
              <w:top w:val="nil"/>
              <w:left w:val="nil"/>
              <w:bottom w:val="nil"/>
              <w:right w:val="nil"/>
            </w:tcBorders>
            <w:shd w:val="clear" w:color="000000" w:fill="FFFFFF"/>
            <w:noWrap/>
            <w:vAlign w:val="bottom"/>
          </w:tcPr>
          <w:p w14:paraId="5CCA72D0"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1.510</w:t>
            </w:r>
          </w:p>
        </w:tc>
        <w:tc>
          <w:tcPr>
            <w:tcW w:w="1812" w:type="dxa"/>
            <w:tcBorders>
              <w:top w:val="nil"/>
              <w:left w:val="nil"/>
              <w:bottom w:val="nil"/>
              <w:right w:val="nil"/>
            </w:tcBorders>
            <w:shd w:val="clear" w:color="000000" w:fill="FFFFFF"/>
            <w:noWrap/>
            <w:vAlign w:val="bottom"/>
          </w:tcPr>
          <w:p w14:paraId="5DA37C10"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988</w:t>
            </w:r>
          </w:p>
        </w:tc>
        <w:tc>
          <w:tcPr>
            <w:tcW w:w="1766" w:type="dxa"/>
            <w:tcBorders>
              <w:top w:val="nil"/>
              <w:left w:val="nil"/>
              <w:bottom w:val="nil"/>
              <w:right w:val="nil"/>
            </w:tcBorders>
            <w:shd w:val="clear" w:color="000000" w:fill="FFFFFF"/>
            <w:noWrap/>
            <w:vAlign w:val="bottom"/>
          </w:tcPr>
          <w:p w14:paraId="63DB5E3B"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2.349</w:t>
            </w:r>
          </w:p>
        </w:tc>
      </w:tr>
      <w:tr w:rsidR="00434D5D" w:rsidRPr="0007074F" w14:paraId="3ADE9210" w14:textId="77777777" w:rsidTr="00B349CD">
        <w:trPr>
          <w:trHeight w:val="170"/>
          <w:jc w:val="center"/>
        </w:trPr>
        <w:tc>
          <w:tcPr>
            <w:tcW w:w="4093" w:type="dxa"/>
            <w:tcBorders>
              <w:top w:val="nil"/>
              <w:left w:val="nil"/>
              <w:bottom w:val="nil"/>
              <w:right w:val="nil"/>
            </w:tcBorders>
            <w:shd w:val="clear" w:color="000000" w:fill="FFFFFF"/>
            <w:noWrap/>
            <w:vAlign w:val="center"/>
          </w:tcPr>
          <w:p w14:paraId="2CACD2E2"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„Службени гласник”</w:t>
            </w:r>
          </w:p>
        </w:tc>
        <w:tc>
          <w:tcPr>
            <w:tcW w:w="1466" w:type="dxa"/>
            <w:tcBorders>
              <w:top w:val="nil"/>
              <w:left w:val="nil"/>
              <w:bottom w:val="nil"/>
              <w:right w:val="nil"/>
            </w:tcBorders>
            <w:shd w:val="clear" w:color="000000" w:fill="FFFFFF"/>
            <w:noWrap/>
            <w:vAlign w:val="bottom"/>
          </w:tcPr>
          <w:p w14:paraId="7D22E038"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8.447</w:t>
            </w:r>
          </w:p>
        </w:tc>
        <w:tc>
          <w:tcPr>
            <w:tcW w:w="1812" w:type="dxa"/>
            <w:tcBorders>
              <w:top w:val="nil"/>
              <w:left w:val="nil"/>
              <w:bottom w:val="nil"/>
              <w:right w:val="nil"/>
            </w:tcBorders>
            <w:shd w:val="clear" w:color="000000" w:fill="FFFFFF"/>
            <w:noWrap/>
            <w:vAlign w:val="bottom"/>
          </w:tcPr>
          <w:p w14:paraId="3E00C66B"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1.395</w:t>
            </w:r>
          </w:p>
        </w:tc>
        <w:tc>
          <w:tcPr>
            <w:tcW w:w="1766" w:type="dxa"/>
            <w:tcBorders>
              <w:top w:val="nil"/>
              <w:left w:val="nil"/>
              <w:bottom w:val="nil"/>
              <w:right w:val="nil"/>
            </w:tcBorders>
            <w:shd w:val="clear" w:color="000000" w:fill="FFFFFF"/>
            <w:noWrap/>
            <w:vAlign w:val="bottom"/>
          </w:tcPr>
          <w:p w14:paraId="3EC8DD4C"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2.158</w:t>
            </w:r>
          </w:p>
        </w:tc>
      </w:tr>
      <w:tr w:rsidR="00434D5D" w:rsidRPr="0007074F" w14:paraId="332F63F8" w14:textId="77777777" w:rsidTr="00B349CD">
        <w:trPr>
          <w:trHeight w:val="170"/>
          <w:jc w:val="center"/>
        </w:trPr>
        <w:tc>
          <w:tcPr>
            <w:tcW w:w="4093" w:type="dxa"/>
            <w:tcBorders>
              <w:top w:val="nil"/>
              <w:left w:val="nil"/>
              <w:bottom w:val="nil"/>
              <w:right w:val="nil"/>
            </w:tcBorders>
            <w:shd w:val="clear" w:color="000000" w:fill="FFFFFF"/>
            <w:noWrap/>
            <w:vAlign w:val="center"/>
          </w:tcPr>
          <w:p w14:paraId="07964768"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„Стара планина”</w:t>
            </w:r>
          </w:p>
        </w:tc>
        <w:tc>
          <w:tcPr>
            <w:tcW w:w="1466" w:type="dxa"/>
            <w:tcBorders>
              <w:top w:val="nil"/>
              <w:left w:val="nil"/>
              <w:bottom w:val="nil"/>
              <w:right w:val="nil"/>
            </w:tcBorders>
            <w:shd w:val="clear" w:color="000000" w:fill="FFFFFF"/>
            <w:noWrap/>
            <w:vAlign w:val="bottom"/>
          </w:tcPr>
          <w:p w14:paraId="2B3E2139"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3.048</w:t>
            </w:r>
          </w:p>
        </w:tc>
        <w:tc>
          <w:tcPr>
            <w:tcW w:w="1812" w:type="dxa"/>
            <w:tcBorders>
              <w:top w:val="nil"/>
              <w:left w:val="nil"/>
              <w:bottom w:val="nil"/>
              <w:right w:val="nil"/>
            </w:tcBorders>
            <w:shd w:val="clear" w:color="000000" w:fill="FFFFFF"/>
            <w:noWrap/>
            <w:vAlign w:val="bottom"/>
          </w:tcPr>
          <w:p w14:paraId="098D4347"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18.415</w:t>
            </w:r>
          </w:p>
        </w:tc>
        <w:tc>
          <w:tcPr>
            <w:tcW w:w="1766" w:type="dxa"/>
            <w:tcBorders>
              <w:top w:val="nil"/>
              <w:left w:val="nil"/>
              <w:bottom w:val="nil"/>
              <w:right w:val="nil"/>
            </w:tcBorders>
            <w:shd w:val="clear" w:color="000000" w:fill="FFFFFF"/>
            <w:noWrap/>
            <w:vAlign w:val="bottom"/>
          </w:tcPr>
          <w:p w14:paraId="0B5ABDC8"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290</w:t>
            </w:r>
          </w:p>
        </w:tc>
      </w:tr>
      <w:tr w:rsidR="00434D5D" w:rsidRPr="0007074F" w14:paraId="00EC3CB4" w14:textId="77777777" w:rsidTr="00B349CD">
        <w:trPr>
          <w:trHeight w:val="170"/>
          <w:jc w:val="center"/>
        </w:trPr>
        <w:tc>
          <w:tcPr>
            <w:tcW w:w="4093" w:type="dxa"/>
            <w:tcBorders>
              <w:top w:val="nil"/>
              <w:left w:val="nil"/>
              <w:bottom w:val="nil"/>
              <w:right w:val="nil"/>
            </w:tcBorders>
            <w:shd w:val="clear" w:color="000000" w:fill="FFFFFF"/>
            <w:noWrap/>
            <w:vAlign w:val="center"/>
          </w:tcPr>
          <w:p w14:paraId="3C1AF16B"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„Национални парк Фрушка гора”</w:t>
            </w:r>
          </w:p>
        </w:tc>
        <w:tc>
          <w:tcPr>
            <w:tcW w:w="1466" w:type="dxa"/>
            <w:tcBorders>
              <w:top w:val="nil"/>
              <w:left w:val="nil"/>
              <w:bottom w:val="nil"/>
              <w:right w:val="nil"/>
            </w:tcBorders>
            <w:shd w:val="clear" w:color="000000" w:fill="FFFFFF"/>
            <w:noWrap/>
            <w:vAlign w:val="bottom"/>
          </w:tcPr>
          <w:p w14:paraId="70AC64EB"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3.247</w:t>
            </w:r>
          </w:p>
        </w:tc>
        <w:tc>
          <w:tcPr>
            <w:tcW w:w="1812" w:type="dxa"/>
            <w:tcBorders>
              <w:top w:val="nil"/>
              <w:left w:val="nil"/>
              <w:bottom w:val="nil"/>
              <w:right w:val="nil"/>
            </w:tcBorders>
            <w:shd w:val="clear" w:color="000000" w:fill="FFFFFF"/>
            <w:noWrap/>
            <w:vAlign w:val="bottom"/>
          </w:tcPr>
          <w:p w14:paraId="20A87D6A"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-3.453</w:t>
            </w:r>
          </w:p>
        </w:tc>
        <w:tc>
          <w:tcPr>
            <w:tcW w:w="1766" w:type="dxa"/>
            <w:tcBorders>
              <w:top w:val="nil"/>
              <w:left w:val="nil"/>
              <w:bottom w:val="nil"/>
              <w:right w:val="nil"/>
            </w:tcBorders>
            <w:shd w:val="clear" w:color="000000" w:fill="FFFFFF"/>
            <w:noWrap/>
            <w:vAlign w:val="bottom"/>
          </w:tcPr>
          <w:p w14:paraId="7AE010AA"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123</w:t>
            </w:r>
          </w:p>
        </w:tc>
      </w:tr>
      <w:tr w:rsidR="00434D5D" w:rsidRPr="0007074F" w14:paraId="13F5F7E7" w14:textId="77777777" w:rsidTr="00B349CD">
        <w:trPr>
          <w:trHeight w:val="170"/>
          <w:jc w:val="center"/>
        </w:trPr>
        <w:tc>
          <w:tcPr>
            <w:tcW w:w="4093" w:type="dxa"/>
            <w:tcBorders>
              <w:top w:val="nil"/>
              <w:left w:val="nil"/>
              <w:bottom w:val="single" w:sz="8" w:space="0" w:color="203764"/>
              <w:right w:val="nil"/>
            </w:tcBorders>
            <w:shd w:val="clear" w:color="000000" w:fill="FFFFFF"/>
            <w:noWrap/>
            <w:vAlign w:val="center"/>
          </w:tcPr>
          <w:p w14:paraId="01E16B15" w14:textId="77777777" w:rsidR="00434D5D" w:rsidRPr="0007074F" w:rsidRDefault="00434D5D" w:rsidP="00B349CD">
            <w:pPr>
              <w:spacing w:after="0"/>
              <w:jc w:val="left"/>
              <w:rPr>
                <w:rFonts w:ascii="Calibri" w:hAnsi="Calibri" w:cs="Calibri"/>
                <w:bCs/>
                <w:color w:val="002060"/>
                <w:sz w:val="18"/>
                <w:szCs w:val="18"/>
                <w:lang w:val="sr-Cyrl-CS"/>
              </w:rPr>
            </w:pPr>
            <w:r w:rsidRPr="0007074F">
              <w:rPr>
                <w:rFonts w:ascii="Calibri" w:hAnsi="Calibri" w:cs="Calibri"/>
                <w:bCs/>
                <w:color w:val="002060"/>
                <w:sz w:val="18"/>
                <w:szCs w:val="18"/>
                <w:lang w:val="sr-Cyrl-CS"/>
              </w:rPr>
              <w:t>ЈП „Национални парк Тара”</w:t>
            </w:r>
          </w:p>
        </w:tc>
        <w:tc>
          <w:tcPr>
            <w:tcW w:w="1466" w:type="dxa"/>
            <w:tcBorders>
              <w:top w:val="nil"/>
              <w:left w:val="nil"/>
              <w:bottom w:val="single" w:sz="8" w:space="0" w:color="203764"/>
              <w:right w:val="nil"/>
            </w:tcBorders>
            <w:shd w:val="clear" w:color="000000" w:fill="FFFFFF"/>
            <w:noWrap/>
            <w:vAlign w:val="bottom"/>
          </w:tcPr>
          <w:p w14:paraId="3FD5C61E"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6.911</w:t>
            </w:r>
          </w:p>
        </w:tc>
        <w:tc>
          <w:tcPr>
            <w:tcW w:w="1812" w:type="dxa"/>
            <w:tcBorders>
              <w:top w:val="nil"/>
              <w:left w:val="nil"/>
              <w:bottom w:val="single" w:sz="8" w:space="0" w:color="203764"/>
              <w:right w:val="nil"/>
            </w:tcBorders>
            <w:shd w:val="clear" w:color="000000" w:fill="FFFFFF"/>
            <w:noWrap/>
            <w:vAlign w:val="bottom"/>
          </w:tcPr>
          <w:p w14:paraId="071E48CD"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w:t>
            </w:r>
          </w:p>
        </w:tc>
        <w:tc>
          <w:tcPr>
            <w:tcW w:w="1766" w:type="dxa"/>
            <w:tcBorders>
              <w:top w:val="nil"/>
              <w:left w:val="nil"/>
              <w:bottom w:val="single" w:sz="8" w:space="0" w:color="203764"/>
              <w:right w:val="nil"/>
            </w:tcBorders>
            <w:shd w:val="clear" w:color="000000" w:fill="FFFFFF"/>
            <w:noWrap/>
            <w:vAlign w:val="bottom"/>
          </w:tcPr>
          <w:p w14:paraId="2FDB87D0" w14:textId="77777777" w:rsidR="00434D5D" w:rsidRPr="0007074F" w:rsidRDefault="00434D5D" w:rsidP="00B349CD">
            <w:pPr>
              <w:spacing w:after="0"/>
              <w:jc w:val="right"/>
              <w:rPr>
                <w:rFonts w:ascii="Calibri" w:hAnsi="Calibri" w:cs="Calibri"/>
                <w:color w:val="002060"/>
                <w:sz w:val="18"/>
                <w:szCs w:val="18"/>
                <w:lang w:val="sr-Cyrl-CS"/>
              </w:rPr>
            </w:pPr>
            <w:r w:rsidRPr="0007074F">
              <w:rPr>
                <w:rFonts w:ascii="Calibri" w:hAnsi="Calibri" w:cs="Calibri"/>
                <w:color w:val="002060"/>
                <w:sz w:val="18"/>
                <w:szCs w:val="18"/>
                <w:lang w:val="sr-Cyrl-CS"/>
              </w:rPr>
              <w:t>30</w:t>
            </w:r>
          </w:p>
        </w:tc>
      </w:tr>
      <w:tr w:rsidR="00434D5D" w:rsidRPr="0007074F" w14:paraId="5E9751F4" w14:textId="77777777" w:rsidTr="00B349CD">
        <w:trPr>
          <w:trHeight w:val="170"/>
          <w:jc w:val="center"/>
        </w:trPr>
        <w:tc>
          <w:tcPr>
            <w:tcW w:w="4093" w:type="dxa"/>
            <w:tcBorders>
              <w:top w:val="single" w:sz="8" w:space="0" w:color="203764"/>
              <w:left w:val="nil"/>
              <w:bottom w:val="single" w:sz="8" w:space="0" w:color="203764"/>
              <w:right w:val="nil"/>
            </w:tcBorders>
            <w:shd w:val="clear" w:color="000000" w:fill="FFFFFF"/>
            <w:noWrap/>
            <w:vAlign w:val="center"/>
          </w:tcPr>
          <w:p w14:paraId="5E341B61" w14:textId="77777777" w:rsidR="00434D5D" w:rsidRPr="0007074F" w:rsidRDefault="00434D5D" w:rsidP="00B349CD">
            <w:pPr>
              <w:spacing w:after="0"/>
              <w:jc w:val="left"/>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Укупно</w:t>
            </w:r>
          </w:p>
        </w:tc>
        <w:tc>
          <w:tcPr>
            <w:tcW w:w="1466" w:type="dxa"/>
            <w:tcBorders>
              <w:top w:val="single" w:sz="8" w:space="0" w:color="203764"/>
              <w:left w:val="nil"/>
              <w:bottom w:val="single" w:sz="8" w:space="0" w:color="203764"/>
              <w:right w:val="nil"/>
            </w:tcBorders>
            <w:shd w:val="clear" w:color="000000" w:fill="FFFFFF"/>
            <w:noWrap/>
            <w:vAlign w:val="bottom"/>
          </w:tcPr>
          <w:p w14:paraId="100B3680" w14:textId="77777777" w:rsidR="00434D5D" w:rsidRPr="0007074F" w:rsidRDefault="00434D5D" w:rsidP="00B349CD">
            <w:pPr>
              <w:spacing w:after="0"/>
              <w:jc w:val="right"/>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-63.848.646</w:t>
            </w:r>
          </w:p>
        </w:tc>
        <w:tc>
          <w:tcPr>
            <w:tcW w:w="1812" w:type="dxa"/>
            <w:tcBorders>
              <w:top w:val="single" w:sz="8" w:space="0" w:color="203764"/>
              <w:left w:val="nil"/>
              <w:bottom w:val="single" w:sz="8" w:space="0" w:color="203764"/>
              <w:right w:val="nil"/>
            </w:tcBorders>
            <w:shd w:val="clear" w:color="000000" w:fill="FFFFFF"/>
            <w:noWrap/>
            <w:vAlign w:val="bottom"/>
          </w:tcPr>
          <w:p w14:paraId="1936934F" w14:textId="77777777" w:rsidR="00434D5D" w:rsidRPr="0007074F" w:rsidRDefault="00434D5D" w:rsidP="00B349CD">
            <w:pPr>
              <w:spacing w:after="0"/>
              <w:jc w:val="right"/>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12.092.491</w:t>
            </w:r>
          </w:p>
        </w:tc>
        <w:tc>
          <w:tcPr>
            <w:tcW w:w="1766" w:type="dxa"/>
            <w:tcBorders>
              <w:top w:val="single" w:sz="8" w:space="0" w:color="203764"/>
              <w:left w:val="nil"/>
              <w:bottom w:val="single" w:sz="8" w:space="0" w:color="203764"/>
              <w:right w:val="nil"/>
            </w:tcBorders>
            <w:shd w:val="clear" w:color="000000" w:fill="FFFFFF"/>
            <w:noWrap/>
            <w:vAlign w:val="bottom"/>
          </w:tcPr>
          <w:p w14:paraId="5DBE0A20" w14:textId="77777777" w:rsidR="00434D5D" w:rsidRPr="0007074F" w:rsidRDefault="00434D5D" w:rsidP="00B349CD">
            <w:pPr>
              <w:spacing w:after="0"/>
              <w:jc w:val="right"/>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43.684.939</w:t>
            </w:r>
          </w:p>
        </w:tc>
      </w:tr>
      <w:tr w:rsidR="00434D5D" w:rsidRPr="0007074F" w14:paraId="27C77563" w14:textId="77777777" w:rsidTr="00B349CD">
        <w:trPr>
          <w:trHeight w:val="273"/>
          <w:jc w:val="center"/>
        </w:trPr>
        <w:tc>
          <w:tcPr>
            <w:tcW w:w="9137" w:type="dxa"/>
            <w:gridSpan w:val="4"/>
            <w:tcBorders>
              <w:top w:val="single" w:sz="8" w:space="0" w:color="203764"/>
              <w:left w:val="nil"/>
              <w:right w:val="nil"/>
            </w:tcBorders>
            <w:shd w:val="clear" w:color="auto" w:fill="auto"/>
            <w:noWrap/>
            <w:vAlign w:val="center"/>
          </w:tcPr>
          <w:p w14:paraId="6E2FDFCB" w14:textId="77777777" w:rsidR="00434D5D" w:rsidRPr="0007074F" w:rsidRDefault="00434D5D" w:rsidP="00B349CD">
            <w:pPr>
              <w:spacing w:after="0" w:line="240" w:lineRule="auto"/>
              <w:rPr>
                <w:rFonts w:eastAsia="MS PGothic" w:cstheme="minorHAnsi"/>
                <w:sz w:val="16"/>
                <w:szCs w:val="18"/>
                <w:lang w:val="sr-Cyrl-CS" w:eastAsia="ja-JP"/>
              </w:rPr>
            </w:pPr>
            <w:r w:rsidRPr="0007074F">
              <w:rPr>
                <w:rFonts w:eastAsia="MS PGothic" w:cstheme="minorHAnsi"/>
                <w:sz w:val="16"/>
                <w:szCs w:val="18"/>
                <w:lang w:val="sr-Cyrl-CS" w:eastAsia="ja-JP"/>
              </w:rPr>
              <w:t>Извор: Квартални извештаји Министарства привреде за 2023. годину</w:t>
            </w:r>
          </w:p>
          <w:p w14:paraId="3DA96D00" w14:textId="77777777" w:rsidR="00434D5D" w:rsidRPr="0007074F" w:rsidRDefault="00434D5D" w:rsidP="00B349CD">
            <w:pPr>
              <w:spacing w:after="0" w:line="240" w:lineRule="auto"/>
              <w:rPr>
                <w:rFonts w:eastAsia="MS PGothic" w:cstheme="minorHAnsi"/>
                <w:sz w:val="16"/>
                <w:szCs w:val="18"/>
                <w:lang w:val="sr-Cyrl-CS" w:eastAsia="ja-JP"/>
              </w:rPr>
            </w:pPr>
            <w:r w:rsidRPr="0007074F">
              <w:rPr>
                <w:rFonts w:eastAsia="MS PGothic" w:cstheme="minorHAnsi"/>
                <w:sz w:val="16"/>
                <w:szCs w:val="18"/>
                <w:lang w:val="sr-Cyrl-CS" w:eastAsia="ja-JP"/>
              </w:rPr>
              <w:t>* Програм пословања за 2023. годину још увек није усвојен</w:t>
            </w:r>
          </w:p>
        </w:tc>
      </w:tr>
    </w:tbl>
    <w:p w14:paraId="29EF2F62" w14:textId="77777777" w:rsidR="00434D5D" w:rsidRPr="0007074F" w:rsidRDefault="00434D5D" w:rsidP="00B349CD">
      <w:pPr>
        <w:spacing w:after="0"/>
        <w:rPr>
          <w:rFonts w:eastAsia="MS PGothic" w:cstheme="minorHAnsi"/>
          <w:sz w:val="16"/>
          <w:szCs w:val="16"/>
          <w:lang w:val="sr-Cyrl-CS" w:eastAsia="ja-JP"/>
        </w:rPr>
        <w:sectPr w:rsidR="00434D5D" w:rsidRPr="0007074F" w:rsidSect="00B349CD">
          <w:type w:val="continuous"/>
          <w:pgSz w:w="12240" w:h="15840"/>
          <w:pgMar w:top="1440" w:right="1440" w:bottom="1440" w:left="1440" w:header="720" w:footer="720" w:gutter="0"/>
          <w:cols w:space="720"/>
          <w:docGrid w:linePitch="360"/>
        </w:sectPr>
      </w:pPr>
    </w:p>
    <w:p w14:paraId="57F982F7" w14:textId="77777777" w:rsidR="00434D5D" w:rsidRPr="0007074F" w:rsidRDefault="00434D5D" w:rsidP="00B349CD">
      <w:pPr>
        <w:spacing w:after="400"/>
        <w:rPr>
          <w:rFonts w:eastAsia="MS PGothic" w:cstheme="minorHAnsi"/>
          <w:szCs w:val="20"/>
          <w:lang w:val="sr-Cyrl-CS" w:eastAsia="ja-JP"/>
        </w:rPr>
      </w:pPr>
      <w:r w:rsidRPr="0007074F">
        <w:rPr>
          <w:rFonts w:eastAsia="MS PGothic" w:cstheme="minorHAnsi"/>
          <w:szCs w:val="20"/>
          <w:lang w:val="sr-Cyrl-CS" w:eastAsia="ja-JP"/>
        </w:rPr>
        <w:t xml:space="preserve">У првом кварталу текуће године 15 предузећа је остварило нето губитак у укупном износу од 12,4 млрд динара, што је лоше у односу на планирану </w:t>
      </w:r>
      <w:r w:rsidRPr="0007074F">
        <w:rPr>
          <w:rFonts w:eastAsia="MS PGothic" w:cstheme="minorHAnsi"/>
          <w:szCs w:val="20"/>
          <w:lang w:val="sr-Cyrl-CS" w:eastAsia="ja-JP"/>
        </w:rPr>
        <w:t>вредност која је негативна и износи 1,7 млрд динарa.</w:t>
      </w:r>
    </w:p>
    <w:p w14:paraId="1A2218B2" w14:textId="77777777" w:rsidR="00434D5D" w:rsidRPr="0007074F" w:rsidRDefault="00434D5D" w:rsidP="00B349CD">
      <w:pPr>
        <w:spacing w:after="120" w:line="276" w:lineRule="auto"/>
        <w:rPr>
          <w:rFonts w:eastAsia="MS PGothic" w:cstheme="minorHAnsi"/>
          <w:b/>
          <w:bCs/>
          <w:color w:val="002060"/>
          <w:spacing w:val="-4"/>
          <w:szCs w:val="20"/>
          <w:lang w:val="sr-Cyrl-CS" w:eastAsia="ja-JP"/>
        </w:rPr>
        <w:sectPr w:rsidR="00434D5D" w:rsidRPr="0007074F" w:rsidSect="00B349CD">
          <w:type w:val="continuous"/>
          <w:pgSz w:w="12240" w:h="15840"/>
          <w:pgMar w:top="1440" w:right="1440" w:bottom="1440" w:left="1440" w:header="720" w:footer="720" w:gutter="0"/>
          <w:cols w:num="2" w:space="720"/>
          <w:docGrid w:linePitch="360"/>
        </w:sectPr>
      </w:pPr>
    </w:p>
    <w:p w14:paraId="291A2BC6" w14:textId="3A4FBA39" w:rsidR="00434D5D" w:rsidRPr="0007074F" w:rsidRDefault="00434D5D" w:rsidP="00B349CD">
      <w:pPr>
        <w:spacing w:after="120"/>
        <w:rPr>
          <w:rFonts w:eastAsia="MS PGothic" w:cstheme="minorHAnsi"/>
          <w:bCs/>
          <w:color w:val="002060"/>
          <w:spacing w:val="-4"/>
          <w:szCs w:val="20"/>
          <w:lang w:val="sr-Cyrl-CS" w:eastAsia="ja-JP"/>
        </w:rPr>
      </w:pPr>
      <w:r w:rsidRPr="0007074F">
        <w:rPr>
          <w:rFonts w:eastAsia="MS PGothic" w:cstheme="minorHAnsi"/>
          <w:b/>
          <w:bCs/>
          <w:color w:val="002060"/>
          <w:spacing w:val="-4"/>
          <w:szCs w:val="20"/>
          <w:lang w:val="sr-Cyrl-CS" w:eastAsia="ja-JP"/>
        </w:rPr>
        <w:t>Табела 18. Јавна предузећа која су ос</w:t>
      </w:r>
      <w:r w:rsidR="00F51AA9" w:rsidRPr="0007074F">
        <w:rPr>
          <w:rFonts w:eastAsia="MS PGothic" w:cstheme="minorHAnsi"/>
          <w:b/>
          <w:bCs/>
          <w:color w:val="002060"/>
          <w:spacing w:val="-4"/>
          <w:szCs w:val="20"/>
          <w:lang w:val="sr-Cyrl-CS" w:eastAsia="ja-JP"/>
        </w:rPr>
        <w:t>тварила нето губитак у периоду 1.1–31.</w:t>
      </w:r>
      <w:r w:rsidRPr="0007074F">
        <w:rPr>
          <w:rFonts w:eastAsia="MS PGothic" w:cstheme="minorHAnsi"/>
          <w:b/>
          <w:bCs/>
          <w:color w:val="002060"/>
          <w:spacing w:val="-4"/>
          <w:szCs w:val="20"/>
          <w:lang w:val="sr-Cyrl-CS" w:eastAsia="ja-JP"/>
        </w:rPr>
        <w:t>3.2023. године, у хиљ. динара</w:t>
      </w:r>
    </w:p>
    <w:tbl>
      <w:tblPr>
        <w:tblW w:w="9171" w:type="dxa"/>
        <w:tblLayout w:type="fixed"/>
        <w:tblLook w:val="04A0" w:firstRow="1" w:lastRow="0" w:firstColumn="1" w:lastColumn="0" w:noHBand="0" w:noVBand="1"/>
      </w:tblPr>
      <w:tblGrid>
        <w:gridCol w:w="4124"/>
        <w:gridCol w:w="1259"/>
        <w:gridCol w:w="1894"/>
        <w:gridCol w:w="1894"/>
      </w:tblGrid>
      <w:tr w:rsidR="00434D5D" w:rsidRPr="0007074F" w14:paraId="66C8AF8B" w14:textId="77777777" w:rsidTr="00B349CD">
        <w:trPr>
          <w:trHeight w:val="423"/>
        </w:trPr>
        <w:tc>
          <w:tcPr>
            <w:tcW w:w="4124" w:type="dxa"/>
            <w:tcBorders>
              <w:top w:val="single" w:sz="8" w:space="0" w:color="002060"/>
              <w:left w:val="nil"/>
              <w:bottom w:val="single" w:sz="8" w:space="0" w:color="002060"/>
              <w:right w:val="nil"/>
            </w:tcBorders>
            <w:vAlign w:val="center"/>
          </w:tcPr>
          <w:p w14:paraId="6C0E0CDD"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Предузеће</w:t>
            </w:r>
          </w:p>
        </w:tc>
        <w:tc>
          <w:tcPr>
            <w:tcW w:w="1259" w:type="dxa"/>
            <w:tcBorders>
              <w:top w:val="single" w:sz="8" w:space="0" w:color="002060"/>
              <w:left w:val="nil"/>
              <w:bottom w:val="single" w:sz="8" w:space="0" w:color="002060"/>
              <w:right w:val="nil"/>
            </w:tcBorders>
            <w:vAlign w:val="center"/>
          </w:tcPr>
          <w:p w14:paraId="7210747E"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Реализација 2022</w:t>
            </w:r>
          </w:p>
        </w:tc>
        <w:tc>
          <w:tcPr>
            <w:tcW w:w="1894" w:type="dxa"/>
            <w:tcBorders>
              <w:top w:val="single" w:sz="8" w:space="0" w:color="002060"/>
              <w:left w:val="nil"/>
              <w:bottom w:val="single" w:sz="8" w:space="0" w:color="002060"/>
              <w:right w:val="nil"/>
            </w:tcBorders>
            <w:vAlign w:val="center"/>
          </w:tcPr>
          <w:p w14:paraId="7C51E980"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План</w:t>
            </w:r>
          </w:p>
          <w:p w14:paraId="6D77CAB5" w14:textId="24E43ACB" w:rsidR="00434D5D" w:rsidRPr="0007074F" w:rsidRDefault="00F51AA9"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1.1 – 31.</w:t>
            </w:r>
            <w:r w:rsidR="00434D5D" w:rsidRPr="0007074F">
              <w:rPr>
                <w:rFonts w:ascii="Calibri" w:eastAsia="Times New Roman" w:hAnsi="Calibri" w:cs="Calibri"/>
                <w:b/>
                <w:bCs/>
                <w:color w:val="002060"/>
                <w:sz w:val="18"/>
                <w:szCs w:val="18"/>
                <w:lang w:val="sr-Cyrl-CS" w:eastAsia="en-GB"/>
              </w:rPr>
              <w:t>3.2023.</w:t>
            </w:r>
          </w:p>
        </w:tc>
        <w:tc>
          <w:tcPr>
            <w:tcW w:w="1894" w:type="dxa"/>
            <w:tcBorders>
              <w:top w:val="single" w:sz="8" w:space="0" w:color="002060"/>
              <w:left w:val="nil"/>
              <w:bottom w:val="single" w:sz="8" w:space="0" w:color="002060"/>
              <w:right w:val="nil"/>
            </w:tcBorders>
            <w:vAlign w:val="center"/>
          </w:tcPr>
          <w:p w14:paraId="27A881A9" w14:textId="77777777" w:rsidR="00434D5D" w:rsidRPr="0007074F" w:rsidRDefault="00434D5D"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Реализација</w:t>
            </w:r>
          </w:p>
          <w:p w14:paraId="0682E646" w14:textId="6B647EAB" w:rsidR="00434D5D" w:rsidRPr="0007074F" w:rsidRDefault="00F51AA9" w:rsidP="00B349CD">
            <w:pPr>
              <w:spacing w:after="0" w:line="240" w:lineRule="auto"/>
              <w:jc w:val="center"/>
              <w:rPr>
                <w:rFonts w:ascii="Calibri" w:eastAsia="Times New Roman" w:hAnsi="Calibri" w:cs="Calibri"/>
                <w:b/>
                <w:bCs/>
                <w:color w:val="002060"/>
                <w:sz w:val="18"/>
                <w:szCs w:val="18"/>
                <w:lang w:val="sr-Cyrl-CS" w:eastAsia="en-GB"/>
              </w:rPr>
            </w:pPr>
            <w:r w:rsidRPr="0007074F">
              <w:rPr>
                <w:rFonts w:ascii="Calibri" w:eastAsia="Times New Roman" w:hAnsi="Calibri" w:cs="Calibri"/>
                <w:b/>
                <w:bCs/>
                <w:color w:val="002060"/>
                <w:sz w:val="18"/>
                <w:szCs w:val="18"/>
                <w:lang w:val="sr-Cyrl-CS" w:eastAsia="en-GB"/>
              </w:rPr>
              <w:t>1.1 – 31.</w:t>
            </w:r>
            <w:r w:rsidR="00434D5D" w:rsidRPr="0007074F">
              <w:rPr>
                <w:rFonts w:ascii="Calibri" w:eastAsia="Times New Roman" w:hAnsi="Calibri" w:cs="Calibri"/>
                <w:b/>
                <w:bCs/>
                <w:color w:val="002060"/>
                <w:sz w:val="18"/>
                <w:szCs w:val="18"/>
                <w:lang w:val="sr-Cyrl-CS" w:eastAsia="en-GB"/>
              </w:rPr>
              <w:t>3.2023.</w:t>
            </w:r>
          </w:p>
        </w:tc>
      </w:tr>
      <w:tr w:rsidR="00434D5D" w:rsidRPr="0007074F" w14:paraId="21337DF8" w14:textId="77777777" w:rsidTr="00B349CD">
        <w:trPr>
          <w:trHeight w:val="20"/>
        </w:trPr>
        <w:tc>
          <w:tcPr>
            <w:tcW w:w="4124" w:type="dxa"/>
            <w:tcBorders>
              <w:top w:val="nil"/>
              <w:left w:val="nil"/>
              <w:bottom w:val="nil"/>
              <w:right w:val="nil"/>
            </w:tcBorders>
            <w:shd w:val="clear" w:color="000000" w:fill="FFFFFF"/>
            <w:noWrap/>
            <w:vAlign w:val="center"/>
          </w:tcPr>
          <w:p w14:paraId="3C035677"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„Електродистрибуција Србије” д.о.о.</w:t>
            </w:r>
          </w:p>
        </w:tc>
        <w:tc>
          <w:tcPr>
            <w:tcW w:w="1259" w:type="dxa"/>
            <w:tcBorders>
              <w:top w:val="nil"/>
              <w:left w:val="nil"/>
              <w:bottom w:val="nil"/>
              <w:right w:val="nil"/>
            </w:tcBorders>
            <w:shd w:val="clear" w:color="000000" w:fill="FFFFFF"/>
            <w:noWrap/>
            <w:vAlign w:val="center"/>
          </w:tcPr>
          <w:p w14:paraId="6718ED71"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249.806</w:t>
            </w:r>
          </w:p>
        </w:tc>
        <w:tc>
          <w:tcPr>
            <w:tcW w:w="1894" w:type="dxa"/>
            <w:tcBorders>
              <w:top w:val="nil"/>
              <w:left w:val="nil"/>
              <w:bottom w:val="nil"/>
              <w:right w:val="nil"/>
            </w:tcBorders>
            <w:shd w:val="clear" w:color="000000" w:fill="FFFFFF"/>
            <w:noWrap/>
            <w:vAlign w:val="center"/>
          </w:tcPr>
          <w:p w14:paraId="4259FC91"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-1.124.771</w:t>
            </w:r>
          </w:p>
        </w:tc>
        <w:tc>
          <w:tcPr>
            <w:tcW w:w="1894" w:type="dxa"/>
            <w:tcBorders>
              <w:top w:val="nil"/>
              <w:left w:val="nil"/>
              <w:bottom w:val="nil"/>
              <w:right w:val="nil"/>
            </w:tcBorders>
            <w:shd w:val="clear" w:color="000000" w:fill="FFFFFF"/>
            <w:noWrap/>
            <w:vAlign w:val="center"/>
          </w:tcPr>
          <w:p w14:paraId="113B0B77"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-8.453.654</w:t>
            </w:r>
          </w:p>
        </w:tc>
      </w:tr>
      <w:tr w:rsidR="00434D5D" w:rsidRPr="0007074F" w14:paraId="5FD189BB" w14:textId="77777777" w:rsidTr="00B349CD">
        <w:trPr>
          <w:trHeight w:val="20"/>
        </w:trPr>
        <w:tc>
          <w:tcPr>
            <w:tcW w:w="4124" w:type="dxa"/>
            <w:tcBorders>
              <w:top w:val="nil"/>
              <w:left w:val="nil"/>
              <w:bottom w:val="nil"/>
              <w:right w:val="nil"/>
            </w:tcBorders>
            <w:shd w:val="clear" w:color="000000" w:fill="FFFFFF"/>
            <w:noWrap/>
            <w:vAlign w:val="center"/>
          </w:tcPr>
          <w:p w14:paraId="4F744D3D"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„Инфраструктура железнице Србије” а.д.</w:t>
            </w:r>
          </w:p>
        </w:tc>
        <w:tc>
          <w:tcPr>
            <w:tcW w:w="1259" w:type="dxa"/>
            <w:tcBorders>
              <w:top w:val="nil"/>
              <w:left w:val="nil"/>
              <w:bottom w:val="nil"/>
              <w:right w:val="nil"/>
            </w:tcBorders>
            <w:shd w:val="clear" w:color="000000" w:fill="FFFFFF"/>
            <w:noWrap/>
            <w:vAlign w:val="center"/>
          </w:tcPr>
          <w:p w14:paraId="3BC3F534"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-5.283.731</w:t>
            </w:r>
          </w:p>
        </w:tc>
        <w:tc>
          <w:tcPr>
            <w:tcW w:w="1894" w:type="dxa"/>
            <w:tcBorders>
              <w:top w:val="nil"/>
              <w:left w:val="nil"/>
              <w:bottom w:val="nil"/>
              <w:right w:val="nil"/>
            </w:tcBorders>
            <w:shd w:val="clear" w:color="000000" w:fill="FFFFFF"/>
            <w:noWrap/>
            <w:vAlign w:val="center"/>
          </w:tcPr>
          <w:p w14:paraId="67A28FC6"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-1.317.829</w:t>
            </w:r>
          </w:p>
        </w:tc>
        <w:tc>
          <w:tcPr>
            <w:tcW w:w="1894" w:type="dxa"/>
            <w:tcBorders>
              <w:top w:val="nil"/>
              <w:left w:val="nil"/>
              <w:bottom w:val="nil"/>
              <w:right w:val="nil"/>
            </w:tcBorders>
            <w:shd w:val="clear" w:color="000000" w:fill="FFFFFF"/>
            <w:noWrap/>
            <w:vAlign w:val="center"/>
          </w:tcPr>
          <w:p w14:paraId="62728E7F"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-1.431.832</w:t>
            </w:r>
          </w:p>
        </w:tc>
      </w:tr>
      <w:tr w:rsidR="00434D5D" w:rsidRPr="0007074F" w14:paraId="72FB9046" w14:textId="77777777" w:rsidTr="00B349CD">
        <w:trPr>
          <w:trHeight w:val="20"/>
        </w:trPr>
        <w:tc>
          <w:tcPr>
            <w:tcW w:w="4124" w:type="dxa"/>
            <w:tcBorders>
              <w:top w:val="nil"/>
              <w:left w:val="nil"/>
              <w:bottom w:val="nil"/>
              <w:right w:val="nil"/>
            </w:tcBorders>
            <w:shd w:val="clear" w:color="000000" w:fill="FFFFFF"/>
            <w:noWrap/>
            <w:vAlign w:val="center"/>
          </w:tcPr>
          <w:p w14:paraId="049DC4D9"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ЈП „Пошта Србије”</w:t>
            </w:r>
          </w:p>
        </w:tc>
        <w:tc>
          <w:tcPr>
            <w:tcW w:w="1259" w:type="dxa"/>
            <w:tcBorders>
              <w:top w:val="nil"/>
              <w:left w:val="nil"/>
              <w:bottom w:val="nil"/>
              <w:right w:val="nil"/>
            </w:tcBorders>
            <w:shd w:val="clear" w:color="000000" w:fill="FFFFFF"/>
            <w:noWrap/>
            <w:vAlign w:val="center"/>
          </w:tcPr>
          <w:p w14:paraId="33955A40"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2.967.425</w:t>
            </w:r>
          </w:p>
        </w:tc>
        <w:tc>
          <w:tcPr>
            <w:tcW w:w="1894" w:type="dxa"/>
            <w:tcBorders>
              <w:top w:val="nil"/>
              <w:left w:val="nil"/>
              <w:bottom w:val="nil"/>
              <w:right w:val="nil"/>
            </w:tcBorders>
            <w:shd w:val="clear" w:color="000000" w:fill="FFFFFF"/>
            <w:noWrap/>
            <w:vAlign w:val="center"/>
          </w:tcPr>
          <w:p w14:paraId="03B4238B"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1.719.494</w:t>
            </w:r>
          </w:p>
        </w:tc>
        <w:tc>
          <w:tcPr>
            <w:tcW w:w="1894" w:type="dxa"/>
            <w:tcBorders>
              <w:top w:val="nil"/>
              <w:left w:val="nil"/>
              <w:bottom w:val="nil"/>
              <w:right w:val="nil"/>
            </w:tcBorders>
            <w:shd w:val="clear" w:color="000000" w:fill="FFFFFF"/>
            <w:noWrap/>
            <w:vAlign w:val="center"/>
          </w:tcPr>
          <w:p w14:paraId="30C43A41"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-889.034</w:t>
            </w:r>
          </w:p>
        </w:tc>
      </w:tr>
      <w:tr w:rsidR="00434D5D" w:rsidRPr="0007074F" w14:paraId="4201D550" w14:textId="77777777" w:rsidTr="00B349CD">
        <w:trPr>
          <w:trHeight w:val="20"/>
        </w:trPr>
        <w:tc>
          <w:tcPr>
            <w:tcW w:w="4124" w:type="dxa"/>
            <w:tcBorders>
              <w:top w:val="nil"/>
              <w:left w:val="nil"/>
              <w:bottom w:val="nil"/>
              <w:right w:val="nil"/>
            </w:tcBorders>
            <w:shd w:val="clear" w:color="000000" w:fill="FFFFFF"/>
            <w:noWrap/>
            <w:vAlign w:val="center"/>
          </w:tcPr>
          <w:p w14:paraId="37DAC444"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ЈП „Југоимпорт-СДПР”</w:t>
            </w:r>
          </w:p>
        </w:tc>
        <w:tc>
          <w:tcPr>
            <w:tcW w:w="1259" w:type="dxa"/>
            <w:tcBorders>
              <w:top w:val="nil"/>
              <w:left w:val="nil"/>
              <w:bottom w:val="nil"/>
              <w:right w:val="nil"/>
            </w:tcBorders>
            <w:shd w:val="clear" w:color="000000" w:fill="FFFFFF"/>
            <w:noWrap/>
            <w:vAlign w:val="center"/>
          </w:tcPr>
          <w:p w14:paraId="5EA841D6"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392.529</w:t>
            </w:r>
          </w:p>
        </w:tc>
        <w:tc>
          <w:tcPr>
            <w:tcW w:w="1894" w:type="dxa"/>
            <w:tcBorders>
              <w:top w:val="nil"/>
              <w:left w:val="nil"/>
              <w:bottom w:val="nil"/>
              <w:right w:val="nil"/>
            </w:tcBorders>
            <w:shd w:val="clear" w:color="000000" w:fill="FFFFFF"/>
            <w:noWrap/>
            <w:vAlign w:val="center"/>
          </w:tcPr>
          <w:p w14:paraId="77F2A679"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-388.777</w:t>
            </w:r>
          </w:p>
        </w:tc>
        <w:tc>
          <w:tcPr>
            <w:tcW w:w="1894" w:type="dxa"/>
            <w:tcBorders>
              <w:top w:val="nil"/>
              <w:left w:val="nil"/>
              <w:bottom w:val="nil"/>
              <w:right w:val="nil"/>
            </w:tcBorders>
            <w:shd w:val="clear" w:color="000000" w:fill="FFFFFF"/>
            <w:noWrap/>
            <w:vAlign w:val="center"/>
          </w:tcPr>
          <w:p w14:paraId="32E97A33"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-656.323</w:t>
            </w:r>
          </w:p>
        </w:tc>
      </w:tr>
      <w:tr w:rsidR="00434D5D" w:rsidRPr="0007074F" w14:paraId="765023DA" w14:textId="77777777" w:rsidTr="00B349CD">
        <w:trPr>
          <w:trHeight w:val="20"/>
        </w:trPr>
        <w:tc>
          <w:tcPr>
            <w:tcW w:w="4124" w:type="dxa"/>
            <w:tcBorders>
              <w:top w:val="nil"/>
              <w:left w:val="nil"/>
              <w:bottom w:val="nil"/>
              <w:right w:val="nil"/>
            </w:tcBorders>
            <w:shd w:val="clear" w:color="000000" w:fill="FFFFFF"/>
            <w:noWrap/>
            <w:vAlign w:val="center"/>
          </w:tcPr>
          <w:p w14:paraId="5B612F49"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„Србија Карго” а.д.</w:t>
            </w:r>
          </w:p>
        </w:tc>
        <w:tc>
          <w:tcPr>
            <w:tcW w:w="1259" w:type="dxa"/>
            <w:tcBorders>
              <w:top w:val="nil"/>
              <w:left w:val="nil"/>
              <w:bottom w:val="nil"/>
              <w:right w:val="nil"/>
            </w:tcBorders>
            <w:shd w:val="clear" w:color="000000" w:fill="FFFFFF"/>
            <w:noWrap/>
            <w:vAlign w:val="center"/>
          </w:tcPr>
          <w:p w14:paraId="3A5FD977"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-1.432.095</w:t>
            </w:r>
          </w:p>
        </w:tc>
        <w:tc>
          <w:tcPr>
            <w:tcW w:w="1894" w:type="dxa"/>
            <w:tcBorders>
              <w:top w:val="nil"/>
              <w:left w:val="nil"/>
              <w:bottom w:val="nil"/>
              <w:right w:val="nil"/>
            </w:tcBorders>
            <w:shd w:val="clear" w:color="000000" w:fill="FFFFFF"/>
            <w:noWrap/>
            <w:vAlign w:val="center"/>
          </w:tcPr>
          <w:p w14:paraId="0A266AD3"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-347.553</w:t>
            </w:r>
          </w:p>
        </w:tc>
        <w:tc>
          <w:tcPr>
            <w:tcW w:w="1894" w:type="dxa"/>
            <w:tcBorders>
              <w:top w:val="nil"/>
              <w:left w:val="nil"/>
              <w:bottom w:val="nil"/>
              <w:right w:val="nil"/>
            </w:tcBorders>
            <w:shd w:val="clear" w:color="000000" w:fill="FFFFFF"/>
            <w:noWrap/>
            <w:vAlign w:val="center"/>
          </w:tcPr>
          <w:p w14:paraId="7EDCC3CA"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-389.050</w:t>
            </w:r>
          </w:p>
        </w:tc>
      </w:tr>
      <w:tr w:rsidR="00434D5D" w:rsidRPr="0007074F" w14:paraId="1ECAA7E4" w14:textId="77777777" w:rsidTr="00B349CD">
        <w:trPr>
          <w:trHeight w:val="20"/>
        </w:trPr>
        <w:tc>
          <w:tcPr>
            <w:tcW w:w="4124" w:type="dxa"/>
            <w:tcBorders>
              <w:top w:val="nil"/>
              <w:left w:val="nil"/>
              <w:bottom w:val="nil"/>
              <w:right w:val="nil"/>
            </w:tcBorders>
            <w:shd w:val="clear" w:color="000000" w:fill="FFFFFF"/>
            <w:noWrap/>
            <w:vAlign w:val="center"/>
          </w:tcPr>
          <w:p w14:paraId="7B7C4B9E"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ЈП ПЕУ Ресавица</w:t>
            </w:r>
          </w:p>
        </w:tc>
        <w:tc>
          <w:tcPr>
            <w:tcW w:w="1259" w:type="dxa"/>
            <w:tcBorders>
              <w:top w:val="nil"/>
              <w:left w:val="nil"/>
              <w:bottom w:val="nil"/>
              <w:right w:val="nil"/>
            </w:tcBorders>
            <w:shd w:val="clear" w:color="000000" w:fill="FFFFFF"/>
            <w:noWrap/>
            <w:vAlign w:val="center"/>
          </w:tcPr>
          <w:p w14:paraId="6A6DDC1D"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-382.284</w:t>
            </w:r>
          </w:p>
        </w:tc>
        <w:tc>
          <w:tcPr>
            <w:tcW w:w="1894" w:type="dxa"/>
            <w:tcBorders>
              <w:top w:val="nil"/>
              <w:left w:val="nil"/>
              <w:bottom w:val="nil"/>
              <w:right w:val="nil"/>
            </w:tcBorders>
            <w:shd w:val="clear" w:color="000000" w:fill="FFFFFF"/>
            <w:noWrap/>
            <w:vAlign w:val="center"/>
          </w:tcPr>
          <w:p w14:paraId="13A23E26"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w:t>
            </w:r>
          </w:p>
        </w:tc>
        <w:tc>
          <w:tcPr>
            <w:tcW w:w="1894" w:type="dxa"/>
            <w:tcBorders>
              <w:top w:val="nil"/>
              <w:left w:val="nil"/>
              <w:bottom w:val="nil"/>
              <w:right w:val="nil"/>
            </w:tcBorders>
            <w:shd w:val="clear" w:color="000000" w:fill="FFFFFF"/>
            <w:noWrap/>
            <w:vAlign w:val="center"/>
          </w:tcPr>
          <w:p w14:paraId="5236E3B6"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-317.265</w:t>
            </w:r>
          </w:p>
        </w:tc>
      </w:tr>
      <w:tr w:rsidR="00434D5D" w:rsidRPr="0007074F" w14:paraId="5F92B2AD" w14:textId="77777777" w:rsidTr="00B349CD">
        <w:trPr>
          <w:trHeight w:val="20"/>
        </w:trPr>
        <w:tc>
          <w:tcPr>
            <w:tcW w:w="4124" w:type="dxa"/>
            <w:tcBorders>
              <w:top w:val="nil"/>
              <w:left w:val="nil"/>
              <w:bottom w:val="nil"/>
              <w:right w:val="nil"/>
            </w:tcBorders>
            <w:shd w:val="clear" w:color="000000" w:fill="FFFFFF"/>
            <w:noWrap/>
            <w:vAlign w:val="center"/>
          </w:tcPr>
          <w:p w14:paraId="5F97A972"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ЈП „Србијаводе”</w:t>
            </w:r>
          </w:p>
        </w:tc>
        <w:tc>
          <w:tcPr>
            <w:tcW w:w="1259" w:type="dxa"/>
            <w:tcBorders>
              <w:top w:val="nil"/>
              <w:left w:val="nil"/>
              <w:bottom w:val="nil"/>
              <w:right w:val="nil"/>
            </w:tcBorders>
            <w:shd w:val="clear" w:color="000000" w:fill="FFFFFF"/>
            <w:noWrap/>
            <w:vAlign w:val="center"/>
          </w:tcPr>
          <w:p w14:paraId="584C6F87"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37.752</w:t>
            </w:r>
          </w:p>
        </w:tc>
        <w:tc>
          <w:tcPr>
            <w:tcW w:w="1894" w:type="dxa"/>
            <w:tcBorders>
              <w:top w:val="nil"/>
              <w:left w:val="nil"/>
              <w:bottom w:val="nil"/>
              <w:right w:val="nil"/>
            </w:tcBorders>
            <w:shd w:val="clear" w:color="000000" w:fill="FFFFFF"/>
            <w:noWrap/>
            <w:vAlign w:val="center"/>
          </w:tcPr>
          <w:p w14:paraId="075F6437"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-127.167</w:t>
            </w:r>
          </w:p>
        </w:tc>
        <w:tc>
          <w:tcPr>
            <w:tcW w:w="1894" w:type="dxa"/>
            <w:tcBorders>
              <w:top w:val="nil"/>
              <w:left w:val="nil"/>
              <w:bottom w:val="nil"/>
              <w:right w:val="nil"/>
            </w:tcBorders>
            <w:shd w:val="clear" w:color="000000" w:fill="FFFFFF"/>
            <w:noWrap/>
            <w:vAlign w:val="center"/>
          </w:tcPr>
          <w:p w14:paraId="7194411C"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-139.531</w:t>
            </w:r>
          </w:p>
        </w:tc>
      </w:tr>
      <w:tr w:rsidR="00434D5D" w:rsidRPr="0007074F" w14:paraId="2AD257B7" w14:textId="77777777" w:rsidTr="00B349CD">
        <w:trPr>
          <w:trHeight w:val="20"/>
        </w:trPr>
        <w:tc>
          <w:tcPr>
            <w:tcW w:w="4124" w:type="dxa"/>
            <w:tcBorders>
              <w:top w:val="nil"/>
              <w:left w:val="nil"/>
              <w:bottom w:val="nil"/>
              <w:right w:val="nil"/>
            </w:tcBorders>
            <w:shd w:val="clear" w:color="000000" w:fill="FFFFFF"/>
            <w:noWrap/>
            <w:vAlign w:val="center"/>
          </w:tcPr>
          <w:p w14:paraId="19DD7915"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ЈП „Завод за уџбенике”</w:t>
            </w:r>
          </w:p>
        </w:tc>
        <w:tc>
          <w:tcPr>
            <w:tcW w:w="1259" w:type="dxa"/>
            <w:tcBorders>
              <w:top w:val="nil"/>
              <w:left w:val="nil"/>
              <w:bottom w:val="nil"/>
              <w:right w:val="nil"/>
            </w:tcBorders>
            <w:shd w:val="clear" w:color="000000" w:fill="FFFFFF"/>
            <w:noWrap/>
            <w:vAlign w:val="center"/>
          </w:tcPr>
          <w:p w14:paraId="607AD320"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-250.136</w:t>
            </w:r>
          </w:p>
        </w:tc>
        <w:tc>
          <w:tcPr>
            <w:tcW w:w="1894" w:type="dxa"/>
            <w:tcBorders>
              <w:top w:val="nil"/>
              <w:left w:val="nil"/>
              <w:bottom w:val="nil"/>
              <w:right w:val="nil"/>
            </w:tcBorders>
            <w:shd w:val="clear" w:color="000000" w:fill="FFFFFF"/>
            <w:noWrap/>
            <w:vAlign w:val="center"/>
          </w:tcPr>
          <w:p w14:paraId="63024AD0"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-93.801</w:t>
            </w:r>
          </w:p>
        </w:tc>
        <w:tc>
          <w:tcPr>
            <w:tcW w:w="1894" w:type="dxa"/>
            <w:tcBorders>
              <w:top w:val="nil"/>
              <w:left w:val="nil"/>
              <w:bottom w:val="nil"/>
              <w:right w:val="nil"/>
            </w:tcBorders>
            <w:shd w:val="clear" w:color="000000" w:fill="FFFFFF"/>
            <w:noWrap/>
            <w:vAlign w:val="center"/>
          </w:tcPr>
          <w:p w14:paraId="69FD05BF"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-96.673</w:t>
            </w:r>
          </w:p>
        </w:tc>
      </w:tr>
      <w:tr w:rsidR="00434D5D" w:rsidRPr="0007074F" w14:paraId="05E04FDD" w14:textId="77777777" w:rsidTr="00B349CD">
        <w:trPr>
          <w:trHeight w:val="20"/>
        </w:trPr>
        <w:tc>
          <w:tcPr>
            <w:tcW w:w="4124" w:type="dxa"/>
            <w:tcBorders>
              <w:top w:val="nil"/>
              <w:left w:val="nil"/>
              <w:bottom w:val="nil"/>
              <w:right w:val="nil"/>
            </w:tcBorders>
            <w:shd w:val="clear" w:color="000000" w:fill="FFFFFF"/>
            <w:noWrap/>
            <w:vAlign w:val="center"/>
          </w:tcPr>
          <w:p w14:paraId="627BCD76"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ЈП за склоништа</w:t>
            </w:r>
          </w:p>
        </w:tc>
        <w:tc>
          <w:tcPr>
            <w:tcW w:w="1259" w:type="dxa"/>
            <w:tcBorders>
              <w:top w:val="nil"/>
              <w:left w:val="nil"/>
              <w:bottom w:val="nil"/>
              <w:right w:val="nil"/>
            </w:tcBorders>
            <w:shd w:val="clear" w:color="000000" w:fill="FFFFFF"/>
            <w:noWrap/>
            <w:vAlign w:val="center"/>
          </w:tcPr>
          <w:p w14:paraId="42861ABC"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-112.870</w:t>
            </w:r>
          </w:p>
        </w:tc>
        <w:tc>
          <w:tcPr>
            <w:tcW w:w="1894" w:type="dxa"/>
            <w:tcBorders>
              <w:top w:val="nil"/>
              <w:left w:val="nil"/>
              <w:bottom w:val="nil"/>
              <w:right w:val="nil"/>
            </w:tcBorders>
            <w:shd w:val="clear" w:color="000000" w:fill="FFFFFF"/>
            <w:noWrap/>
            <w:vAlign w:val="center"/>
          </w:tcPr>
          <w:p w14:paraId="2DBC633B"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w:t>
            </w:r>
          </w:p>
        </w:tc>
        <w:tc>
          <w:tcPr>
            <w:tcW w:w="1894" w:type="dxa"/>
            <w:tcBorders>
              <w:top w:val="nil"/>
              <w:left w:val="nil"/>
              <w:bottom w:val="nil"/>
              <w:right w:val="nil"/>
            </w:tcBorders>
            <w:shd w:val="clear" w:color="000000" w:fill="FFFFFF"/>
            <w:noWrap/>
            <w:vAlign w:val="center"/>
          </w:tcPr>
          <w:p w14:paraId="2F37AC78"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-19.506</w:t>
            </w:r>
          </w:p>
        </w:tc>
      </w:tr>
      <w:tr w:rsidR="00434D5D" w:rsidRPr="0007074F" w14:paraId="21E63F9B" w14:textId="77777777" w:rsidTr="00B349CD">
        <w:trPr>
          <w:trHeight w:val="20"/>
        </w:trPr>
        <w:tc>
          <w:tcPr>
            <w:tcW w:w="4124" w:type="dxa"/>
            <w:tcBorders>
              <w:top w:val="nil"/>
              <w:left w:val="nil"/>
              <w:bottom w:val="nil"/>
              <w:right w:val="nil"/>
            </w:tcBorders>
            <w:shd w:val="clear" w:color="000000" w:fill="FFFFFF"/>
            <w:noWrap/>
            <w:vAlign w:val="center"/>
          </w:tcPr>
          <w:p w14:paraId="096483B7"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„Тврђава Голубачки град” д.о.о.</w:t>
            </w:r>
          </w:p>
        </w:tc>
        <w:tc>
          <w:tcPr>
            <w:tcW w:w="1259" w:type="dxa"/>
            <w:tcBorders>
              <w:top w:val="nil"/>
              <w:left w:val="nil"/>
              <w:bottom w:val="nil"/>
              <w:right w:val="nil"/>
            </w:tcBorders>
            <w:shd w:val="clear" w:color="000000" w:fill="FFFFFF"/>
            <w:noWrap/>
            <w:vAlign w:val="center"/>
          </w:tcPr>
          <w:p w14:paraId="701DC052"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-5.634</w:t>
            </w:r>
          </w:p>
        </w:tc>
        <w:tc>
          <w:tcPr>
            <w:tcW w:w="1894" w:type="dxa"/>
            <w:tcBorders>
              <w:top w:val="nil"/>
              <w:left w:val="nil"/>
              <w:bottom w:val="nil"/>
              <w:right w:val="nil"/>
            </w:tcBorders>
            <w:shd w:val="clear" w:color="000000" w:fill="FFFFFF"/>
            <w:noWrap/>
            <w:vAlign w:val="center"/>
          </w:tcPr>
          <w:p w14:paraId="4067F683"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-10.460</w:t>
            </w:r>
          </w:p>
        </w:tc>
        <w:tc>
          <w:tcPr>
            <w:tcW w:w="1894" w:type="dxa"/>
            <w:tcBorders>
              <w:top w:val="nil"/>
              <w:left w:val="nil"/>
              <w:bottom w:val="nil"/>
              <w:right w:val="nil"/>
            </w:tcBorders>
            <w:shd w:val="clear" w:color="000000" w:fill="FFFFFF"/>
            <w:noWrap/>
            <w:vAlign w:val="center"/>
          </w:tcPr>
          <w:p w14:paraId="6F68C8A4"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-10.770</w:t>
            </w:r>
          </w:p>
        </w:tc>
      </w:tr>
      <w:tr w:rsidR="00434D5D" w:rsidRPr="0007074F" w14:paraId="36F93021" w14:textId="77777777" w:rsidTr="00B349CD">
        <w:trPr>
          <w:trHeight w:val="20"/>
        </w:trPr>
        <w:tc>
          <w:tcPr>
            <w:tcW w:w="4124" w:type="dxa"/>
            <w:tcBorders>
              <w:top w:val="nil"/>
              <w:left w:val="nil"/>
              <w:bottom w:val="nil"/>
              <w:right w:val="nil"/>
            </w:tcBorders>
            <w:shd w:val="clear" w:color="000000" w:fill="FFFFFF"/>
            <w:noWrap/>
            <w:vAlign w:val="center"/>
          </w:tcPr>
          <w:p w14:paraId="1922D2E3"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ЈП „Национални парк Ђердап”</w:t>
            </w:r>
          </w:p>
        </w:tc>
        <w:tc>
          <w:tcPr>
            <w:tcW w:w="1259" w:type="dxa"/>
            <w:tcBorders>
              <w:top w:val="nil"/>
              <w:left w:val="nil"/>
              <w:bottom w:val="nil"/>
              <w:right w:val="nil"/>
            </w:tcBorders>
            <w:shd w:val="clear" w:color="000000" w:fill="FFFFFF"/>
            <w:noWrap/>
            <w:vAlign w:val="center"/>
          </w:tcPr>
          <w:p w14:paraId="6800FD11"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13.646</w:t>
            </w:r>
          </w:p>
        </w:tc>
        <w:tc>
          <w:tcPr>
            <w:tcW w:w="1894" w:type="dxa"/>
            <w:tcBorders>
              <w:top w:val="nil"/>
              <w:left w:val="nil"/>
              <w:bottom w:val="nil"/>
              <w:right w:val="nil"/>
            </w:tcBorders>
            <w:shd w:val="clear" w:color="000000" w:fill="FFFFFF"/>
            <w:noWrap/>
            <w:vAlign w:val="center"/>
          </w:tcPr>
          <w:p w14:paraId="08F974A2"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2.459</w:t>
            </w:r>
          </w:p>
        </w:tc>
        <w:tc>
          <w:tcPr>
            <w:tcW w:w="1894" w:type="dxa"/>
            <w:tcBorders>
              <w:top w:val="nil"/>
              <w:left w:val="nil"/>
              <w:bottom w:val="nil"/>
              <w:right w:val="nil"/>
            </w:tcBorders>
            <w:shd w:val="clear" w:color="000000" w:fill="FFFFFF"/>
            <w:noWrap/>
            <w:vAlign w:val="center"/>
          </w:tcPr>
          <w:p w14:paraId="64FC1D34"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-8.300</w:t>
            </w:r>
          </w:p>
        </w:tc>
      </w:tr>
      <w:tr w:rsidR="00434D5D" w:rsidRPr="0007074F" w14:paraId="5C82FC35" w14:textId="77777777" w:rsidTr="00B349CD">
        <w:trPr>
          <w:trHeight w:val="20"/>
        </w:trPr>
        <w:tc>
          <w:tcPr>
            <w:tcW w:w="4124" w:type="dxa"/>
            <w:tcBorders>
              <w:top w:val="nil"/>
              <w:left w:val="nil"/>
              <w:bottom w:val="nil"/>
              <w:right w:val="nil"/>
            </w:tcBorders>
            <w:shd w:val="clear" w:color="000000" w:fill="FFFFFF"/>
            <w:noWrap/>
            <w:vAlign w:val="center"/>
          </w:tcPr>
          <w:p w14:paraId="10B82C78"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ЈП „Емисиона техника и везе”</w:t>
            </w:r>
          </w:p>
        </w:tc>
        <w:tc>
          <w:tcPr>
            <w:tcW w:w="1259" w:type="dxa"/>
            <w:tcBorders>
              <w:top w:val="nil"/>
              <w:left w:val="nil"/>
              <w:bottom w:val="nil"/>
              <w:right w:val="nil"/>
            </w:tcBorders>
            <w:shd w:val="clear" w:color="000000" w:fill="FFFFFF"/>
            <w:noWrap/>
            <w:vAlign w:val="center"/>
          </w:tcPr>
          <w:p w14:paraId="048EC034"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45.355</w:t>
            </w:r>
          </w:p>
        </w:tc>
        <w:tc>
          <w:tcPr>
            <w:tcW w:w="1894" w:type="dxa"/>
            <w:tcBorders>
              <w:top w:val="nil"/>
              <w:left w:val="nil"/>
              <w:bottom w:val="nil"/>
              <w:right w:val="nil"/>
            </w:tcBorders>
            <w:shd w:val="clear" w:color="000000" w:fill="FFFFFF"/>
            <w:noWrap/>
            <w:vAlign w:val="center"/>
          </w:tcPr>
          <w:p w14:paraId="73703EBD"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-42.256</w:t>
            </w:r>
          </w:p>
        </w:tc>
        <w:tc>
          <w:tcPr>
            <w:tcW w:w="1894" w:type="dxa"/>
            <w:tcBorders>
              <w:top w:val="nil"/>
              <w:left w:val="nil"/>
              <w:bottom w:val="nil"/>
              <w:right w:val="nil"/>
            </w:tcBorders>
            <w:shd w:val="clear" w:color="000000" w:fill="FFFFFF"/>
            <w:noWrap/>
            <w:vAlign w:val="center"/>
          </w:tcPr>
          <w:p w14:paraId="3423CD2D"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-6.315</w:t>
            </w:r>
          </w:p>
        </w:tc>
      </w:tr>
      <w:tr w:rsidR="00434D5D" w:rsidRPr="0007074F" w14:paraId="7218F0A3" w14:textId="77777777" w:rsidTr="00B349CD">
        <w:trPr>
          <w:trHeight w:val="20"/>
        </w:trPr>
        <w:tc>
          <w:tcPr>
            <w:tcW w:w="4124" w:type="dxa"/>
            <w:tcBorders>
              <w:top w:val="nil"/>
              <w:left w:val="nil"/>
              <w:bottom w:val="nil"/>
              <w:right w:val="nil"/>
            </w:tcBorders>
            <w:shd w:val="clear" w:color="000000" w:fill="FFFFFF"/>
            <w:noWrap/>
            <w:vAlign w:val="center"/>
          </w:tcPr>
          <w:p w14:paraId="28125453"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Парк природе „Мокра гора” д.о.о.</w:t>
            </w:r>
          </w:p>
        </w:tc>
        <w:tc>
          <w:tcPr>
            <w:tcW w:w="1259" w:type="dxa"/>
            <w:tcBorders>
              <w:top w:val="nil"/>
              <w:left w:val="nil"/>
              <w:bottom w:val="nil"/>
              <w:right w:val="nil"/>
            </w:tcBorders>
            <w:shd w:val="clear" w:color="000000" w:fill="FFFFFF"/>
            <w:noWrap/>
            <w:vAlign w:val="center"/>
          </w:tcPr>
          <w:p w14:paraId="6239AA2D"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12</w:t>
            </w:r>
          </w:p>
        </w:tc>
        <w:tc>
          <w:tcPr>
            <w:tcW w:w="1894" w:type="dxa"/>
            <w:tcBorders>
              <w:top w:val="nil"/>
              <w:left w:val="nil"/>
              <w:bottom w:val="nil"/>
              <w:right w:val="nil"/>
            </w:tcBorders>
            <w:shd w:val="clear" w:color="000000" w:fill="FFFFFF"/>
            <w:noWrap/>
            <w:vAlign w:val="center"/>
          </w:tcPr>
          <w:p w14:paraId="594258C3"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798</w:t>
            </w:r>
          </w:p>
        </w:tc>
        <w:tc>
          <w:tcPr>
            <w:tcW w:w="1894" w:type="dxa"/>
            <w:tcBorders>
              <w:top w:val="nil"/>
              <w:left w:val="nil"/>
              <w:bottom w:val="nil"/>
              <w:right w:val="nil"/>
            </w:tcBorders>
            <w:shd w:val="clear" w:color="000000" w:fill="FFFFFF"/>
            <w:noWrap/>
            <w:vAlign w:val="center"/>
          </w:tcPr>
          <w:p w14:paraId="61541791"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-3.293</w:t>
            </w:r>
          </w:p>
        </w:tc>
      </w:tr>
      <w:tr w:rsidR="00434D5D" w:rsidRPr="0007074F" w14:paraId="5F58DE01" w14:textId="77777777" w:rsidTr="00B349CD">
        <w:trPr>
          <w:trHeight w:val="20"/>
        </w:trPr>
        <w:tc>
          <w:tcPr>
            <w:tcW w:w="4124" w:type="dxa"/>
            <w:tcBorders>
              <w:top w:val="nil"/>
              <w:left w:val="nil"/>
              <w:bottom w:val="nil"/>
              <w:right w:val="nil"/>
            </w:tcBorders>
            <w:shd w:val="clear" w:color="000000" w:fill="FFFFFF"/>
            <w:noWrap/>
            <w:vAlign w:val="center"/>
          </w:tcPr>
          <w:p w14:paraId="41D48AAF"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„Парк Палић” д.о.о.</w:t>
            </w:r>
          </w:p>
        </w:tc>
        <w:tc>
          <w:tcPr>
            <w:tcW w:w="1259" w:type="dxa"/>
            <w:tcBorders>
              <w:top w:val="nil"/>
              <w:left w:val="nil"/>
              <w:bottom w:val="nil"/>
              <w:right w:val="nil"/>
            </w:tcBorders>
            <w:shd w:val="clear" w:color="000000" w:fill="FFFFFF"/>
            <w:noWrap/>
            <w:vAlign w:val="center"/>
          </w:tcPr>
          <w:p w14:paraId="11D943F4"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2.175</w:t>
            </w:r>
          </w:p>
        </w:tc>
        <w:tc>
          <w:tcPr>
            <w:tcW w:w="1894" w:type="dxa"/>
            <w:tcBorders>
              <w:top w:val="nil"/>
              <w:left w:val="nil"/>
              <w:bottom w:val="nil"/>
              <w:right w:val="nil"/>
            </w:tcBorders>
            <w:shd w:val="clear" w:color="000000" w:fill="FFFFFF"/>
            <w:noWrap/>
            <w:vAlign w:val="center"/>
          </w:tcPr>
          <w:p w14:paraId="57109C17"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-225</w:t>
            </w:r>
          </w:p>
        </w:tc>
        <w:tc>
          <w:tcPr>
            <w:tcW w:w="1894" w:type="dxa"/>
            <w:tcBorders>
              <w:top w:val="nil"/>
              <w:left w:val="nil"/>
              <w:bottom w:val="nil"/>
              <w:right w:val="nil"/>
            </w:tcBorders>
            <w:shd w:val="clear" w:color="000000" w:fill="FFFFFF"/>
            <w:noWrap/>
            <w:vAlign w:val="center"/>
          </w:tcPr>
          <w:p w14:paraId="3340FDE4"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-2.244</w:t>
            </w:r>
          </w:p>
        </w:tc>
      </w:tr>
      <w:tr w:rsidR="00434D5D" w:rsidRPr="0007074F" w14:paraId="4AF9D0BD" w14:textId="77777777" w:rsidTr="00B349CD">
        <w:trPr>
          <w:trHeight w:val="20"/>
        </w:trPr>
        <w:tc>
          <w:tcPr>
            <w:tcW w:w="4124" w:type="dxa"/>
            <w:tcBorders>
              <w:top w:val="nil"/>
              <w:left w:val="nil"/>
              <w:bottom w:val="single" w:sz="8" w:space="0" w:color="203764"/>
              <w:right w:val="nil"/>
            </w:tcBorders>
            <w:shd w:val="clear" w:color="000000" w:fill="FFFFFF"/>
            <w:noWrap/>
            <w:vAlign w:val="center"/>
          </w:tcPr>
          <w:p w14:paraId="6F49C5D2" w14:textId="77777777" w:rsidR="00434D5D" w:rsidRPr="0007074F" w:rsidRDefault="00434D5D" w:rsidP="00B349CD">
            <w:pPr>
              <w:spacing w:after="0"/>
              <w:jc w:val="left"/>
              <w:rPr>
                <w:rFonts w:ascii="Calibri" w:hAnsi="Calibri" w:cs="Calibri"/>
                <w:bCs/>
                <w:color w:val="203764"/>
                <w:sz w:val="18"/>
                <w:szCs w:val="18"/>
                <w:lang w:val="sr-Cyrl-CS"/>
              </w:rPr>
            </w:pPr>
            <w:r w:rsidRPr="0007074F">
              <w:rPr>
                <w:rFonts w:ascii="Calibri" w:hAnsi="Calibri" w:cs="Calibri"/>
                <w:bCs/>
                <w:color w:val="203764"/>
                <w:sz w:val="18"/>
                <w:szCs w:val="18"/>
                <w:lang w:val="sr-Cyrl-CS"/>
              </w:rPr>
              <w:t>„Резерват Увац” д.о.о.</w:t>
            </w:r>
          </w:p>
        </w:tc>
        <w:tc>
          <w:tcPr>
            <w:tcW w:w="1259" w:type="dxa"/>
            <w:tcBorders>
              <w:top w:val="nil"/>
              <w:left w:val="nil"/>
              <w:bottom w:val="single" w:sz="8" w:space="0" w:color="203764"/>
              <w:right w:val="nil"/>
            </w:tcBorders>
            <w:shd w:val="clear" w:color="000000" w:fill="FFFFFF"/>
            <w:noWrap/>
            <w:vAlign w:val="center"/>
          </w:tcPr>
          <w:p w14:paraId="7C36F3FC"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-114</w:t>
            </w:r>
          </w:p>
        </w:tc>
        <w:tc>
          <w:tcPr>
            <w:tcW w:w="1894" w:type="dxa"/>
            <w:tcBorders>
              <w:top w:val="nil"/>
              <w:left w:val="nil"/>
              <w:bottom w:val="single" w:sz="8" w:space="0" w:color="203764"/>
              <w:right w:val="nil"/>
            </w:tcBorders>
            <w:shd w:val="clear" w:color="000000" w:fill="FFFFFF"/>
            <w:noWrap/>
            <w:vAlign w:val="center"/>
          </w:tcPr>
          <w:p w14:paraId="633AFD8F"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w:t>
            </w:r>
          </w:p>
        </w:tc>
        <w:tc>
          <w:tcPr>
            <w:tcW w:w="1894" w:type="dxa"/>
            <w:tcBorders>
              <w:top w:val="nil"/>
              <w:left w:val="nil"/>
              <w:bottom w:val="single" w:sz="8" w:space="0" w:color="203764"/>
              <w:right w:val="nil"/>
            </w:tcBorders>
            <w:shd w:val="clear" w:color="000000" w:fill="FFFFFF"/>
            <w:noWrap/>
            <w:vAlign w:val="center"/>
          </w:tcPr>
          <w:p w14:paraId="691E5042" w14:textId="77777777" w:rsidR="00434D5D" w:rsidRPr="0007074F" w:rsidRDefault="00434D5D" w:rsidP="00B349CD">
            <w:pPr>
              <w:spacing w:after="0"/>
              <w:jc w:val="right"/>
              <w:rPr>
                <w:rFonts w:ascii="Calibri" w:hAnsi="Calibri" w:cs="Calibri"/>
                <w:color w:val="203764"/>
                <w:sz w:val="18"/>
                <w:szCs w:val="18"/>
                <w:lang w:val="sr-Cyrl-CS"/>
              </w:rPr>
            </w:pPr>
            <w:r w:rsidRPr="0007074F">
              <w:rPr>
                <w:rFonts w:ascii="Calibri" w:hAnsi="Calibri" w:cs="Calibri"/>
                <w:color w:val="203764"/>
                <w:sz w:val="18"/>
                <w:szCs w:val="18"/>
                <w:lang w:val="sr-Cyrl-CS"/>
              </w:rPr>
              <w:t>-1.359</w:t>
            </w:r>
          </w:p>
        </w:tc>
      </w:tr>
      <w:tr w:rsidR="00434D5D" w:rsidRPr="0007074F" w14:paraId="36672CD8" w14:textId="77777777" w:rsidTr="00B349CD">
        <w:trPr>
          <w:trHeight w:val="144"/>
        </w:trPr>
        <w:tc>
          <w:tcPr>
            <w:tcW w:w="4124" w:type="dxa"/>
            <w:tcBorders>
              <w:top w:val="single" w:sz="8" w:space="0" w:color="203764"/>
              <w:left w:val="nil"/>
              <w:bottom w:val="single" w:sz="8" w:space="0" w:color="203764"/>
              <w:right w:val="nil"/>
            </w:tcBorders>
            <w:shd w:val="clear" w:color="000000" w:fill="FFFFFF"/>
            <w:noWrap/>
            <w:vAlign w:val="bottom"/>
          </w:tcPr>
          <w:p w14:paraId="6CC9B78D" w14:textId="77777777" w:rsidR="00434D5D" w:rsidRPr="0007074F" w:rsidRDefault="00434D5D" w:rsidP="00B349CD">
            <w:pPr>
              <w:spacing w:after="0"/>
              <w:jc w:val="left"/>
              <w:rPr>
                <w:rFonts w:ascii="Calibri" w:hAnsi="Calibri" w:cs="Calibri"/>
                <w:b/>
                <w:bCs/>
                <w:color w:val="203764"/>
                <w:sz w:val="18"/>
                <w:szCs w:val="18"/>
                <w:lang w:val="sr-Cyrl-CS"/>
              </w:rPr>
            </w:pPr>
            <w:r w:rsidRPr="0007074F">
              <w:rPr>
                <w:rFonts w:ascii="Calibri" w:hAnsi="Calibri" w:cs="Calibri"/>
                <w:b/>
                <w:bCs/>
                <w:color w:val="203764"/>
                <w:sz w:val="18"/>
                <w:szCs w:val="18"/>
                <w:lang w:val="sr-Cyrl-CS"/>
              </w:rPr>
              <w:t>Укупно</w:t>
            </w:r>
          </w:p>
        </w:tc>
        <w:tc>
          <w:tcPr>
            <w:tcW w:w="1259" w:type="dxa"/>
            <w:tcBorders>
              <w:top w:val="single" w:sz="8" w:space="0" w:color="203764"/>
              <w:left w:val="nil"/>
              <w:bottom w:val="single" w:sz="8" w:space="0" w:color="203764"/>
              <w:right w:val="nil"/>
            </w:tcBorders>
            <w:shd w:val="clear" w:color="000000" w:fill="FFFFFF"/>
            <w:noWrap/>
            <w:vAlign w:val="bottom"/>
          </w:tcPr>
          <w:p w14:paraId="119394B6" w14:textId="77777777" w:rsidR="00434D5D" w:rsidRPr="0007074F" w:rsidRDefault="00434D5D" w:rsidP="00B349CD">
            <w:pPr>
              <w:spacing w:after="0"/>
              <w:jc w:val="right"/>
              <w:rPr>
                <w:rFonts w:ascii="Calibri" w:hAnsi="Calibri" w:cs="Calibri"/>
                <w:b/>
                <w:bCs/>
                <w:color w:val="203764"/>
                <w:sz w:val="18"/>
                <w:szCs w:val="18"/>
                <w:lang w:val="sr-Cyrl-CS"/>
              </w:rPr>
            </w:pPr>
            <w:r w:rsidRPr="0007074F">
              <w:rPr>
                <w:rFonts w:ascii="Calibri" w:hAnsi="Calibri" w:cs="Calibri"/>
                <w:b/>
                <w:bCs/>
                <w:color w:val="203764"/>
                <w:sz w:val="18"/>
                <w:szCs w:val="18"/>
                <w:lang w:val="sr-Cyrl-CS"/>
              </w:rPr>
              <w:t>-3.758.164</w:t>
            </w:r>
          </w:p>
        </w:tc>
        <w:tc>
          <w:tcPr>
            <w:tcW w:w="1894" w:type="dxa"/>
            <w:tcBorders>
              <w:top w:val="single" w:sz="8" w:space="0" w:color="203764"/>
              <w:left w:val="nil"/>
              <w:bottom w:val="single" w:sz="8" w:space="0" w:color="203764"/>
              <w:right w:val="nil"/>
            </w:tcBorders>
            <w:shd w:val="clear" w:color="000000" w:fill="FFFFFF"/>
            <w:noWrap/>
            <w:vAlign w:val="bottom"/>
          </w:tcPr>
          <w:p w14:paraId="65BCC097" w14:textId="77777777" w:rsidR="00434D5D" w:rsidRPr="0007074F" w:rsidRDefault="00434D5D" w:rsidP="00B349CD">
            <w:pPr>
              <w:spacing w:after="0"/>
              <w:jc w:val="right"/>
              <w:rPr>
                <w:rFonts w:ascii="Calibri" w:hAnsi="Calibri" w:cs="Calibri"/>
                <w:b/>
                <w:bCs/>
                <w:color w:val="203764"/>
                <w:sz w:val="18"/>
                <w:szCs w:val="18"/>
                <w:lang w:val="sr-Cyrl-CS"/>
              </w:rPr>
            </w:pPr>
            <w:r w:rsidRPr="0007074F">
              <w:rPr>
                <w:rFonts w:ascii="Calibri" w:hAnsi="Calibri" w:cs="Calibri"/>
                <w:b/>
                <w:bCs/>
                <w:color w:val="203764"/>
                <w:sz w:val="18"/>
                <w:szCs w:val="18"/>
                <w:lang w:val="sr-Cyrl-CS"/>
              </w:rPr>
              <w:t>-1.730.089</w:t>
            </w:r>
          </w:p>
        </w:tc>
        <w:tc>
          <w:tcPr>
            <w:tcW w:w="1894" w:type="dxa"/>
            <w:tcBorders>
              <w:top w:val="single" w:sz="8" w:space="0" w:color="203764"/>
              <w:left w:val="nil"/>
              <w:bottom w:val="single" w:sz="8" w:space="0" w:color="203764"/>
              <w:right w:val="nil"/>
            </w:tcBorders>
            <w:shd w:val="clear" w:color="000000" w:fill="FFFFFF"/>
            <w:noWrap/>
            <w:vAlign w:val="bottom"/>
          </w:tcPr>
          <w:p w14:paraId="15353CB8" w14:textId="77777777" w:rsidR="00434D5D" w:rsidRPr="0007074F" w:rsidRDefault="00434D5D" w:rsidP="00B349CD">
            <w:pPr>
              <w:spacing w:after="0"/>
              <w:jc w:val="right"/>
              <w:rPr>
                <w:rFonts w:ascii="Calibri" w:hAnsi="Calibri" w:cs="Calibri"/>
                <w:b/>
                <w:bCs/>
                <w:color w:val="203764"/>
                <w:sz w:val="18"/>
                <w:szCs w:val="18"/>
                <w:lang w:val="sr-Cyrl-CS"/>
              </w:rPr>
            </w:pPr>
            <w:r w:rsidRPr="0007074F">
              <w:rPr>
                <w:rFonts w:ascii="Calibri" w:hAnsi="Calibri" w:cs="Calibri"/>
                <w:b/>
                <w:bCs/>
                <w:color w:val="203764"/>
                <w:sz w:val="18"/>
                <w:szCs w:val="18"/>
                <w:lang w:val="sr-Cyrl-CS"/>
              </w:rPr>
              <w:t>-12.425.150</w:t>
            </w:r>
          </w:p>
        </w:tc>
      </w:tr>
    </w:tbl>
    <w:p w14:paraId="2F3037AE" w14:textId="77777777" w:rsidR="00434D5D" w:rsidRPr="0007074F" w:rsidRDefault="00434D5D" w:rsidP="00B349CD">
      <w:pPr>
        <w:spacing w:after="0" w:line="240" w:lineRule="auto"/>
        <w:rPr>
          <w:rFonts w:eastAsia="MS PGothic" w:cstheme="minorHAnsi"/>
          <w:sz w:val="16"/>
          <w:szCs w:val="16"/>
          <w:lang w:val="sr-Cyrl-CS" w:eastAsia="ja-JP"/>
        </w:rPr>
      </w:pPr>
      <w:r w:rsidRPr="0007074F">
        <w:rPr>
          <w:rFonts w:eastAsia="MS PGothic" w:cstheme="minorHAnsi"/>
          <w:sz w:val="16"/>
          <w:szCs w:val="16"/>
          <w:lang w:val="sr-Cyrl-CS" w:eastAsia="ja-JP"/>
        </w:rPr>
        <w:t>Извор: Квартални извештаји Министарства привреде за 2023. годину</w:t>
      </w:r>
    </w:p>
    <w:p w14:paraId="67D4E68D" w14:textId="77777777" w:rsidR="00434D5D" w:rsidRPr="0007074F" w:rsidRDefault="00434D5D" w:rsidP="00B349CD">
      <w:pPr>
        <w:spacing w:after="0" w:line="240" w:lineRule="auto"/>
        <w:rPr>
          <w:rFonts w:eastAsia="MS PGothic" w:cstheme="minorHAnsi"/>
          <w:sz w:val="16"/>
          <w:szCs w:val="16"/>
          <w:lang w:val="sr-Cyrl-CS" w:eastAsia="ja-JP"/>
        </w:rPr>
      </w:pPr>
      <w:r w:rsidRPr="0007074F">
        <w:rPr>
          <w:rFonts w:eastAsia="MS PGothic" w:cstheme="minorHAnsi"/>
          <w:sz w:val="16"/>
          <w:szCs w:val="16"/>
          <w:lang w:val="sr-Cyrl-CS" w:eastAsia="ja-JP"/>
        </w:rPr>
        <w:t>* Програм пословања за 2023. годину још увек није усвојен</w:t>
      </w:r>
    </w:p>
    <w:p w14:paraId="6D9D8EFB" w14:textId="77777777" w:rsidR="00434D5D" w:rsidRPr="0007074F" w:rsidRDefault="00434D5D" w:rsidP="00B349CD">
      <w:pPr>
        <w:spacing w:after="0" w:line="240" w:lineRule="auto"/>
        <w:rPr>
          <w:rFonts w:eastAsia="MS PGothic" w:cstheme="minorHAnsi"/>
          <w:sz w:val="16"/>
          <w:szCs w:val="16"/>
          <w:lang w:val="sr-Cyrl-CS" w:eastAsia="ja-JP"/>
        </w:rPr>
        <w:sectPr w:rsidR="00434D5D" w:rsidRPr="0007074F" w:rsidSect="00B349CD">
          <w:type w:val="continuous"/>
          <w:pgSz w:w="12240" w:h="15840"/>
          <w:pgMar w:top="1440" w:right="1440" w:bottom="1440" w:left="1440" w:header="720" w:footer="720" w:gutter="0"/>
          <w:cols w:space="720"/>
          <w:docGrid w:linePitch="360"/>
        </w:sectPr>
      </w:pPr>
    </w:p>
    <w:p w14:paraId="50831244" w14:textId="11E0183D"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lastRenderedPageBreak/>
        <w:t>У циљу умањења фискалних ризика повезаних са пословањем јавних предузећа у току су процеси реструктурирања највећих јавних предузећа (групе предузећа које се баве железничким саобраћајем – „Железнице Србије” а.д., „Инфраструктура железнице Србије” а.д., „Србија Воз” а.д., „Србија Карго” а.д.</w:t>
      </w:r>
      <w:r w:rsidR="00267FEF" w:rsidRPr="0007074F">
        <w:rPr>
          <w:rFonts w:eastAsia="MS PGothic" w:cstheme="minorHAnsi"/>
          <w:szCs w:val="20"/>
          <w:lang w:val="sr-Cyrl-CS" w:eastAsia="ja-JP"/>
        </w:rPr>
        <w:t xml:space="preserve">, ЕПС </w:t>
      </w:r>
      <w:r w:rsidRPr="0007074F">
        <w:rPr>
          <w:rFonts w:eastAsia="MS PGothic" w:cstheme="minorHAnsi"/>
          <w:szCs w:val="20"/>
          <w:lang w:val="sr-Cyrl-CS" w:eastAsia="ja-JP"/>
        </w:rPr>
        <w:t xml:space="preserve">а.д. и ЈП „Србијагас”). Целокупан процес се спроводи у сарадњи за водећим светским финансијским институцијама – ММФ, Светском банком и </w:t>
      </w:r>
      <w:r w:rsidR="008B113D" w:rsidRPr="0007074F">
        <w:rPr>
          <w:rFonts w:eastAsia="MS PGothic" w:cstheme="minorHAnsi"/>
          <w:szCs w:val="20"/>
          <w:lang w:val="sr-Cyrl-CS" w:eastAsia="ja-JP"/>
        </w:rPr>
        <w:t>ЕБРД</w:t>
      </w:r>
      <w:r w:rsidRPr="0007074F">
        <w:rPr>
          <w:rFonts w:eastAsia="MS PGothic" w:cstheme="minorHAnsi"/>
          <w:szCs w:val="20"/>
          <w:lang w:val="sr-Cyrl-CS" w:eastAsia="ja-JP"/>
        </w:rPr>
        <w:t>, како би се ова предузећа поставила на здраве основе и почела да функционишу по тржишном принципу, те умањили потенцијални фискални трошкови који могу проистећи из њиховог пословања.</w:t>
      </w:r>
    </w:p>
    <w:p w14:paraId="4F60A7DF" w14:textId="527C1521"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Сектор за праћење фискалних ризика врши процену фискалних ризика јавних предузећа и применом модела предвиђеног Јединственом мето</w:t>
      </w:r>
      <w:r w:rsidR="000933A1" w:rsidRPr="0007074F">
        <w:rPr>
          <w:rFonts w:eastAsia="MS PGothic" w:cstheme="minorHAnsi"/>
          <w:szCs w:val="20"/>
          <w:lang w:val="sr-Cyrl-CS" w:eastAsia="ja-JP"/>
        </w:rPr>
        <w:t>до</w:t>
      </w:r>
      <w:r w:rsidRPr="0007074F">
        <w:rPr>
          <w:rFonts w:eastAsia="MS PGothic" w:cstheme="minorHAnsi"/>
          <w:szCs w:val="20"/>
          <w:lang w:val="sr-Cyrl-CS" w:eastAsia="ja-JP"/>
        </w:rPr>
        <w:t>логијом за праћење фискалних ризика у Републици Србији, тзв. Алтманов З-скор. Применом овог модела, за свако ЈП обрачунава се композитни индекс различитих финансијских показатеља ризика пословања јавних предузећа.</w:t>
      </w:r>
    </w:p>
    <w:p w14:paraId="4A1508CD" w14:textId="510F7CC3"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Према подацима из финансијских извештаја достављених на 31. децембар 2022. године, од 36 јавних предузећа која прати Сектор за праћење фискалних ризика, применом овог модела идентификовано је 14 јавних предузећа (38,9%) који имају висок ризик</w:t>
      </w:r>
      <w:r w:rsidR="000933A1" w:rsidRPr="0007074F">
        <w:rPr>
          <w:rFonts w:eastAsia="MS PGothic" w:cstheme="minorHAnsi"/>
          <w:szCs w:val="20"/>
          <w:lang w:val="sr-Cyrl-CS" w:eastAsia="ja-JP"/>
        </w:rPr>
        <w:t>, док преостала 22 јавна предуз</w:t>
      </w:r>
      <w:r w:rsidRPr="0007074F">
        <w:rPr>
          <w:rFonts w:eastAsia="MS PGothic" w:cstheme="minorHAnsi"/>
          <w:szCs w:val="20"/>
          <w:lang w:val="sr-Cyrl-CS" w:eastAsia="ja-JP"/>
        </w:rPr>
        <w:t>ећа (61,1%) имају низак ризик у пословању. Јавна предузећа код којих је идентификован висок ризик пословања су углавном из енергетског сектора, који је захватила глобална енергетска криза, као и предузећа која су у процесу реструктурирања. Над овим предузећима, Сектор за праћење фискалних ризика врши појачан надзор.</w:t>
      </w:r>
    </w:p>
    <w:p w14:paraId="23FF84CE"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Сектор за праћење фискалних ризика ће у наредном периоду радити на унапређењу овог модела, са додатним квалитативним информацијама које могу бити од значаја за процену ризика пословања јавних предузећа.</w:t>
      </w:r>
    </w:p>
    <w:p w14:paraId="1C968EA2" w14:textId="77777777" w:rsidR="00434D5D" w:rsidRPr="0007074F" w:rsidRDefault="00434D5D" w:rsidP="00B349CD">
      <w:pPr>
        <w:rPr>
          <w:rFonts w:cstheme="minorHAnsi"/>
          <w:b/>
          <w:bCs/>
          <w:color w:val="2F5496" w:themeColor="accent1" w:themeShade="BF"/>
          <w:sz w:val="22"/>
          <w:szCs w:val="20"/>
          <w:lang w:val="sr-Cyrl-CS"/>
        </w:rPr>
      </w:pPr>
      <w:r w:rsidRPr="0007074F">
        <w:rPr>
          <w:rFonts w:cstheme="minorHAnsi"/>
          <w:b/>
          <w:bCs/>
          <w:color w:val="2F5496" w:themeColor="accent1" w:themeShade="BF"/>
          <w:sz w:val="22"/>
          <w:szCs w:val="20"/>
          <w:lang w:val="sr-Cyrl-CS"/>
        </w:rPr>
        <w:t>Уплата добити</w:t>
      </w:r>
    </w:p>
    <w:p w14:paraId="56EA8E61" w14:textId="77777777" w:rsidR="00434D5D" w:rsidRPr="0007074F" w:rsidRDefault="00434D5D" w:rsidP="00B349CD">
      <w:pPr>
        <w:rPr>
          <w:rFonts w:eastAsia="MS PGothic" w:cstheme="minorHAnsi"/>
          <w:bCs/>
          <w:szCs w:val="20"/>
          <w:lang w:val="sr-Cyrl-CS" w:eastAsia="ja-JP"/>
        </w:rPr>
      </w:pPr>
      <w:r w:rsidRPr="0007074F">
        <w:rPr>
          <w:rFonts w:eastAsia="MS PGothic" w:cstheme="minorHAnsi"/>
          <w:szCs w:val="20"/>
          <w:lang w:val="sr-Cyrl-CS" w:eastAsia="ja-JP"/>
        </w:rPr>
        <w:t xml:space="preserve">Уплата добити од стране јавних предузећа и дивиденди друштава капитала у којима држава има власништво представљају значајан део </w:t>
      </w:r>
      <w:r w:rsidRPr="0007074F">
        <w:rPr>
          <w:rFonts w:eastAsia="MS PGothic" w:cstheme="minorHAnsi"/>
          <w:szCs w:val="20"/>
          <w:lang w:val="sr-Cyrl-CS" w:eastAsia="ja-JP"/>
        </w:rPr>
        <w:t>непореских прихода. Од успешности пословања ових предузећа зависи и висина прихода</w:t>
      </w:r>
      <w:r w:rsidRPr="0007074F">
        <w:rPr>
          <w:rFonts w:eastAsia="MS PGothic" w:cstheme="minorHAnsi"/>
          <w:bCs/>
          <w:szCs w:val="20"/>
          <w:lang w:val="sr-Cyrl-CS" w:eastAsia="ja-JP"/>
        </w:rPr>
        <w:t xml:space="preserve"> буџета по овом основу. Уплата редовне добити и дивиденди је редован буџетски непорески приход, док се уплате из нераспоређене добити третирају као приход са једнократним карактером и не представљају трајни извор прихода.</w:t>
      </w:r>
    </w:p>
    <w:p w14:paraId="7F64FB8C"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Привредна друштва чији је оснивач Република Србија или у којима Република Србија има учешће у власништву дужна су да најкасније до 30. новембра текуће буџетске године у буџет Републике Србије уплате најмање 50% сразмерног дела добити по завршном рачуну за 2022. годину, који у складу са законом који уређује привредна друштва припада Републици Србији као члану друштва.</w:t>
      </w:r>
    </w:p>
    <w:p w14:paraId="601321AB"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Изузетно, уз сагласност Владе, обавезу по основу уплате добити нема субјекат који донесе одлуку да из добити покрије губитак или повећа капитал или средства употреби за финансирање инвестиција.</w:t>
      </w:r>
    </w:p>
    <w:p w14:paraId="58FF880B"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У току 2022. године по овом основу уплаћено је 4,3 млрд динара у буџет Републике.</w:t>
      </w:r>
    </w:p>
    <w:p w14:paraId="5E12EF8D" w14:textId="77777777" w:rsidR="00434D5D" w:rsidRPr="0007074F" w:rsidRDefault="00434D5D">
      <w:pPr>
        <w:spacing w:after="120"/>
        <w:rPr>
          <w:rFonts w:eastAsia="MS PGothic" w:cstheme="minorHAnsi"/>
          <w:bCs/>
          <w:szCs w:val="20"/>
          <w:lang w:val="sr-Cyrl-CS" w:eastAsia="ja-JP"/>
        </w:rPr>
      </w:pPr>
      <w:r w:rsidRPr="0007074F">
        <w:rPr>
          <w:rFonts w:eastAsia="MS PGothic" w:cstheme="minorHAnsi"/>
          <w:szCs w:val="20"/>
          <w:lang w:val="sr-Cyrl-CS" w:eastAsia="ja-JP"/>
        </w:rPr>
        <w:t>Ублажавање потенцијалних ризика, који настају као последица пословања јавних предузећа, обухвата низ мера везаних за одговорност, профитабилност и транспарентност у пословању ових предузећа. Процеси реструктурирања</w:t>
      </w:r>
      <w:r w:rsidRPr="0007074F">
        <w:rPr>
          <w:rFonts w:eastAsia="MS PGothic" w:cstheme="minorHAnsi"/>
          <w:bCs/>
          <w:szCs w:val="20"/>
          <w:lang w:val="sr-Cyrl-CS" w:eastAsia="ja-JP"/>
        </w:rPr>
        <w:t xml:space="preserve"> покренути су у ЕПС а.д., ЈП „Србијагас</w:t>
      </w:r>
      <w:r w:rsidRPr="0007074F">
        <w:rPr>
          <w:rFonts w:eastAsia="MS PGothic" w:cstheme="minorHAnsi"/>
          <w:szCs w:val="20"/>
          <w:lang w:val="sr-Cyrl-CS" w:eastAsia="ja-JP"/>
        </w:rPr>
        <w:t>”</w:t>
      </w:r>
      <w:r w:rsidRPr="0007074F">
        <w:rPr>
          <w:rFonts w:eastAsia="MS PGothic" w:cstheme="minorHAnsi"/>
          <w:bCs/>
          <w:szCs w:val="20"/>
          <w:lang w:val="sr-Cyrl-CS" w:eastAsia="ja-JP"/>
        </w:rPr>
        <w:t xml:space="preserve"> и „Железнице Србије” а.д., при чему ће од успешности самог процеса реструктурирања и брзине спровођења усвојених мера зависити ефикасност пословања у будућности.</w:t>
      </w:r>
    </w:p>
    <w:p w14:paraId="177CE119" w14:textId="77777777" w:rsidR="00434D5D" w:rsidRPr="0007074F" w:rsidRDefault="00434D5D" w:rsidP="00B349CD">
      <w:pPr>
        <w:jc w:val="left"/>
        <w:rPr>
          <w:rFonts w:ascii="Calibri" w:eastAsia="Calibri" w:hAnsi="Calibri" w:cs="Calibri"/>
          <w:b/>
          <w:bCs/>
          <w:color w:val="2F5496" w:themeColor="accent1" w:themeShade="BF"/>
          <w:sz w:val="22"/>
          <w:szCs w:val="20"/>
          <w:lang w:val="sr-Cyrl-CS"/>
        </w:rPr>
      </w:pPr>
      <w:r w:rsidRPr="0007074F">
        <w:rPr>
          <w:rFonts w:ascii="Calibri" w:eastAsia="Calibri" w:hAnsi="Calibri" w:cs="Calibri"/>
          <w:b/>
          <w:bCs/>
          <w:color w:val="2F5496" w:themeColor="accent1" w:themeShade="BF"/>
          <w:sz w:val="22"/>
          <w:szCs w:val="20"/>
          <w:lang w:val="sr-Cyrl-CS"/>
        </w:rPr>
        <w:t>Државне финансијске институције, банкарски систем и осигурање депозита</w:t>
      </w:r>
    </w:p>
    <w:p w14:paraId="2CD42CA3"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Пре периода фискалне консолидације Република Србија имала је значајне фискалне трошкове спашавања државних банака. Укупни трошкови државних интервенција у банкарском сектору у периоду 2012–2015.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банака успешнијим, укључујући и исплату осигураних и неосигураних депозита (за шта су </w:t>
      </w:r>
      <w:r w:rsidRPr="0007074F">
        <w:rPr>
          <w:rFonts w:ascii="Calibri" w:eastAsia="MS PGothic" w:hAnsi="Calibri" w:cs="Calibri"/>
          <w:color w:val="44546A"/>
          <w:szCs w:val="20"/>
          <w:lang w:val="sr-Cyrl-CS" w:eastAsia="ja-JP"/>
        </w:rPr>
        <w:lastRenderedPageBreak/>
        <w:t>коришћена и средства Фонда за осигурање депозита).</w:t>
      </w:r>
    </w:p>
    <w:p w14:paraId="62C137AA" w14:textId="77777777" w:rsidR="00434D5D" w:rsidRPr="0007074F" w:rsidRDefault="00434D5D" w:rsidP="00B349CD">
      <w:pPr>
        <w:spacing w:after="80"/>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Република Србија данас у банкарском сектору земље има директан удео у капиталу:</w:t>
      </w:r>
    </w:p>
    <w:p w14:paraId="2981556B" w14:textId="2411EF26" w:rsidR="00434D5D" w:rsidRPr="0007074F" w:rsidRDefault="00434D5D" w:rsidP="00434D5D">
      <w:pPr>
        <w:numPr>
          <w:ilvl w:val="0"/>
          <w:numId w:val="14"/>
        </w:numPr>
        <w:spacing w:line="254" w:lineRule="auto"/>
        <w:ind w:left="454" w:hanging="227"/>
        <w:contextualSpacing/>
        <w:jc w:val="left"/>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Банке Поштанск</w:t>
      </w:r>
      <w:r w:rsidR="00B95D3B" w:rsidRPr="0007074F">
        <w:rPr>
          <w:rFonts w:ascii="Calibri" w:eastAsia="MS PGothic" w:hAnsi="Calibri" w:cs="Calibri"/>
          <w:color w:val="44546A"/>
          <w:szCs w:val="20"/>
          <w:lang w:val="sr-Cyrl-CS" w:eastAsia="ja-JP"/>
        </w:rPr>
        <w:t>а штедионица а.д. Београд (72,75</w:t>
      </w:r>
      <w:r w:rsidRPr="0007074F">
        <w:rPr>
          <w:rFonts w:ascii="Calibri" w:eastAsia="MS PGothic" w:hAnsi="Calibri" w:cs="Calibri"/>
          <w:color w:val="44546A"/>
          <w:szCs w:val="20"/>
          <w:lang w:val="sr-Cyrl-CS" w:eastAsia="ja-JP"/>
        </w:rPr>
        <w:t>%),</w:t>
      </w:r>
    </w:p>
    <w:p w14:paraId="61B6A97C" w14:textId="77777777" w:rsidR="00434D5D" w:rsidRPr="0007074F" w:rsidRDefault="00434D5D" w:rsidP="00434D5D">
      <w:pPr>
        <w:numPr>
          <w:ilvl w:val="0"/>
          <w:numId w:val="14"/>
        </w:numPr>
        <w:spacing w:line="254" w:lineRule="auto"/>
        <w:ind w:left="454" w:hanging="227"/>
        <w:jc w:val="left"/>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Српске банке а.д. Београд (76,69%).</w:t>
      </w:r>
    </w:p>
    <w:p w14:paraId="3790DC0E"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У циљу доследног спровођења излазне стратегије и смањења фискалних ризика по овом основу настављају се реформске активности у области државних финансијских институција започете 2012. године, односно 2015. године.</w:t>
      </w:r>
    </w:p>
    <w:p w14:paraId="4B56CF0A"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Банка Поштанска штедионица (БПШ). Пословну стратегију за период 2023 – 2025. усвојила је Скупштина БПШ у децембру 2022. године. Према пословној стратегији, БПШ ће наставити са реализацијом активности са акцентом на даље унапређење и развој у следећим областима: пословање са физичким лицима, предузетницима, микро, малим и средњим правним лицима, јединицама локалне самоуправе, јавним предузећима чији је оснивач Република Србија или аутономна покрајина или јединица локалне самоуправе и привредним друштвима у којима Република Србија или аутономна покрајина или јединица локалне самоуправе има власништво; побољшање интерне организације банке, корпоративног управљања и управљања ризиком; јачање ИТ инфраструктуре.</w:t>
      </w:r>
    </w:p>
    <w:p w14:paraId="5C51972F"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Како би се омогућило ублажавање економских и финансијских последица, насталих услед пандемије болести COVID-19 изазване вирусом SARS-CoV-2, Банка поступа у складу са Законом о утврђивању гарантне шеме као мере подршке привреди за ублажавање последица пандемије болести COVID-19 изазване вирусом SARS-CoV-2 и Законом о утврђивању друге гарантне шеме као мера додатне подршке привреди услед продуженог негативног утицаја пандемије болести COVID-19 изазване вирусом SARS-CoV-2.</w:t>
      </w:r>
    </w:p>
    <w:p w14:paraId="4121DD23" w14:textId="77777777" w:rsidR="00434D5D" w:rsidRPr="0007074F" w:rsidRDefault="00434D5D" w:rsidP="00B349CD">
      <w:pPr>
        <w:rPr>
          <w:rFonts w:ascii="Calibri" w:eastAsia="MS PGothic" w:hAnsi="Calibri" w:cs="Calibri"/>
          <w:color w:val="44546A"/>
          <w:spacing w:val="-2"/>
          <w:szCs w:val="20"/>
          <w:lang w:val="sr-Cyrl-CS" w:eastAsia="ja-JP"/>
        </w:rPr>
      </w:pPr>
      <w:r w:rsidRPr="0007074F">
        <w:rPr>
          <w:rFonts w:ascii="Calibri" w:eastAsia="MS PGothic" w:hAnsi="Calibri" w:cs="Calibri"/>
          <w:color w:val="44546A"/>
          <w:szCs w:val="20"/>
          <w:lang w:val="sr-Cyrl-CS" w:eastAsia="ja-JP"/>
        </w:rPr>
        <w:t>Српска банка. У складу са Владином стратегијом за државне банке, формирана је Стручна радна група</w:t>
      </w:r>
      <w:r w:rsidRPr="0007074F">
        <w:rPr>
          <w:rFonts w:ascii="Calibri" w:eastAsia="MS PGothic" w:hAnsi="Calibri" w:cs="Calibri"/>
          <w:color w:val="44546A"/>
          <w:spacing w:val="-2"/>
          <w:szCs w:val="20"/>
          <w:lang w:val="sr-Cyrl-CS" w:eastAsia="ja-JP"/>
        </w:rPr>
        <w:t xml:space="preserve"> </w:t>
      </w:r>
      <w:r w:rsidRPr="0007074F">
        <w:rPr>
          <w:rFonts w:ascii="Calibri" w:eastAsia="MS PGothic" w:hAnsi="Calibri" w:cs="Calibri"/>
          <w:color w:val="44546A"/>
          <w:spacing w:val="-2"/>
          <w:szCs w:val="20"/>
          <w:lang w:val="sr-Cyrl-CS" w:eastAsia="ja-JP"/>
        </w:rPr>
        <w:t>за трансформацију Српске банке у специјализовану финансијску институцију за пружање свих врста финансијских услуга и подршке наменској индустрији Републике Србије дана 21. јануара 2019. године и почела је са формалним радом у марту 2019. године када је одржана конститутивна седница. Због наставка пандемије болести COVID-19 изазване вирусом SARS-CoV-2, као и кризе изазване ратом у Украјини и текућих активности у оквиру Министарства финансија током кризе, очекује се да ће активности усмерене на трансформацију Српске банке бити настављене током 2023. године.</w:t>
      </w:r>
    </w:p>
    <w:p w14:paraId="4B2D533E"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Реформа прописа који уређују српски финансијски систем</w:t>
      </w:r>
      <w:r w:rsidRPr="0007074F">
        <w:rPr>
          <w:rFonts w:ascii="Calibri" w:eastAsia="MS PGothic" w:hAnsi="Calibri" w:cs="Calibri"/>
          <w:color w:val="44546A"/>
          <w:szCs w:val="20"/>
          <w:vertAlign w:val="superscript"/>
          <w:lang w:val="sr-Cyrl-CS" w:eastAsia="ja-JP"/>
        </w:rPr>
        <w:footnoteReference w:id="10"/>
      </w:r>
      <w:r w:rsidRPr="0007074F">
        <w:rPr>
          <w:rFonts w:ascii="Calibri" w:eastAsia="MS PGothic" w:hAnsi="Calibri" w:cs="Calibri"/>
          <w:color w:val="44546A"/>
          <w:szCs w:val="20"/>
          <w:vertAlign w:val="superscript"/>
          <w:lang w:val="sr-Cyrl-CS" w:eastAsia="ja-JP"/>
        </w:rPr>
        <w:t xml:space="preserve"> </w:t>
      </w:r>
      <w:r w:rsidRPr="0007074F">
        <w:rPr>
          <w:rFonts w:ascii="Calibri" w:eastAsia="MS PGothic" w:hAnsi="Calibri" w:cs="Calibri"/>
          <w:color w:val="44546A"/>
          <w:szCs w:val="20"/>
          <w:lang w:val="sr-Cyrl-CS" w:eastAsia="ja-JP"/>
        </w:rPr>
        <w:t>спроведена је фебруара 2015. године. 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АОД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07074F">
        <w:rPr>
          <w:rFonts w:ascii="Calibri" w:eastAsia="MS PGothic" w:hAnsi="Calibri" w:cs="Calibri"/>
          <w:i/>
          <w:color w:val="44546A"/>
          <w:szCs w:val="20"/>
          <w:lang w:val="sr-Cyrl-CS" w:eastAsia="ja-JP"/>
        </w:rPr>
        <w:t>Bank Recovery and Resolution Directive</w:t>
      </w:r>
      <w:r w:rsidRPr="0007074F">
        <w:rPr>
          <w:rFonts w:ascii="Calibri" w:eastAsia="MS PGothic" w:hAnsi="Calibri" w:cs="Calibri"/>
          <w:color w:val="44546A"/>
          <w:szCs w:val="20"/>
          <w:lang w:val="sr-Cyrl-CS" w:eastAsia="ja-JP"/>
        </w:rPr>
        <w:t xml:space="preserve"> – BRRD)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ЕУ у овој области, а током 2017. године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w:t>
      </w:r>
      <w:r w:rsidRPr="0007074F">
        <w:rPr>
          <w:rFonts w:ascii="Calibri" w:eastAsia="MS PGothic" w:hAnsi="Calibri" w:cs="Calibri"/>
          <w:color w:val="44546A"/>
          <w:szCs w:val="20"/>
          <w:lang w:val="sr-Cyrl-CS" w:eastAsia="ja-JP"/>
        </w:rPr>
        <w:lastRenderedPageBreak/>
        <w:t>прилагођавање извештајног система новим регулаторним решењима.</w:t>
      </w:r>
    </w:p>
    <w:p w14:paraId="24DF4EF6"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трогодишња акциона плана, један припремљен од стране Владе и други 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вредности средстава обезбеђења, развој тржишта проблематичних кредита и др.</w:t>
      </w:r>
    </w:p>
    <w:p w14:paraId="25E4FA40" w14:textId="77777777" w:rsidR="00434D5D" w:rsidRPr="0007074F" w:rsidRDefault="00434D5D" w:rsidP="00B349CD">
      <w:pPr>
        <w:rPr>
          <w:rFonts w:ascii="Calibri" w:eastAsia="MS PGothic" w:hAnsi="Calibri" w:cs="Calibri"/>
          <w:color w:val="44546A"/>
          <w:spacing w:val="-2"/>
          <w:szCs w:val="20"/>
          <w:lang w:val="sr-Cyrl-CS" w:eastAsia="ja-JP"/>
        </w:rPr>
      </w:pPr>
      <w:r w:rsidRPr="0007074F">
        <w:rPr>
          <w:rFonts w:ascii="Calibri" w:eastAsia="MS PGothic" w:hAnsi="Calibri" w:cs="Calibri"/>
          <w:color w:val="44546A"/>
          <w:spacing w:val="-2"/>
          <w:szCs w:val="20"/>
          <w:lang w:val="sr-Cyrl-CS" w:eastAsia="ja-JP"/>
        </w:rPr>
        <w:t>На иницијативу Народне банке Србије, 2014. године усвојен је нови Закон о осигурању на основу кога је током 2014. и 2015. године извршена регулаторна реформа у сектору осигурања, које представља други најважнији сегмент на домаћем финансијском тржишту. Регулаторном реформом створени су предуслови за даљи развој тржишта осигурања кроз имплементацију модерних стандарда прилагођених потребама домаћег тржишта. Нови регулаторни оквир омогућио је, између осталог, позитивне резултате који се огледају у расту укупне премије осигурања на тржишту Републике Србије и даљем развоју финансијског тржишта. Исто тако, реформа прописа у овој области је омогућила увођење квалитетнијих услуга друштава за осигурање и бољу заштиту грађана и привредних субјеката који те услуге користе. У току 2021. усвојене су измене и допуна Закона о осигурању, којима је уређена промена власничких права на друштвеном капиталу у друштвима за осигурање. Постојећим прописима којима се уређује делатност осигурања у Републици Србији створени су предуслови за даљу конвергенцију сектора осигурања у Републици Србији на ниво развијености тог сектора у ЕУ. Значајне промене регулаторног оквира у области надзора делатности осигурања тек се очекују с пуним усклађивањем прописа с Директивом о дистрибуцији осигурања (</w:t>
      </w:r>
      <w:r w:rsidRPr="0007074F">
        <w:rPr>
          <w:rFonts w:ascii="Calibri" w:eastAsia="MS PGothic" w:hAnsi="Calibri" w:cs="Calibri"/>
          <w:i/>
          <w:iCs/>
          <w:color w:val="44546A"/>
          <w:spacing w:val="-2"/>
          <w:szCs w:val="20"/>
          <w:lang w:val="sr-Cyrl-CS" w:eastAsia="ja-JP"/>
        </w:rPr>
        <w:t>Directive (EU) 2016/97 — the Insurance Distribution Directive - IDD</w:t>
      </w:r>
      <w:r w:rsidRPr="0007074F">
        <w:rPr>
          <w:rFonts w:ascii="Calibri" w:eastAsia="MS PGothic" w:hAnsi="Calibri" w:cs="Calibri"/>
          <w:color w:val="44546A"/>
          <w:spacing w:val="-2"/>
          <w:szCs w:val="20"/>
          <w:lang w:val="sr-Cyrl-CS" w:eastAsia="ja-JP"/>
        </w:rPr>
        <w:t>) и применом Солвентности II (</w:t>
      </w:r>
      <w:r w:rsidRPr="0007074F">
        <w:rPr>
          <w:rFonts w:ascii="Calibri" w:eastAsia="MS PGothic" w:hAnsi="Calibri" w:cs="Calibri"/>
          <w:i/>
          <w:iCs/>
          <w:color w:val="44546A"/>
          <w:spacing w:val="-2"/>
          <w:szCs w:val="20"/>
          <w:lang w:val="sr-Cyrl-CS" w:eastAsia="ja-JP"/>
        </w:rPr>
        <w:t xml:space="preserve">Directive 2009/138/EC of the European Parliament and of the Council on taking-up </w:t>
      </w:r>
      <w:r w:rsidRPr="0007074F">
        <w:rPr>
          <w:rFonts w:ascii="Calibri" w:eastAsia="MS PGothic" w:hAnsi="Calibri" w:cs="Calibri"/>
          <w:i/>
          <w:iCs/>
          <w:color w:val="44546A"/>
          <w:spacing w:val="-2"/>
          <w:szCs w:val="20"/>
          <w:lang w:val="sr-Cyrl-CS" w:eastAsia="ja-JP"/>
        </w:rPr>
        <w:t>and pursuit of the business of Insurance and Reinsurance</w:t>
      </w:r>
      <w:r w:rsidRPr="0007074F">
        <w:rPr>
          <w:rFonts w:ascii="Calibri" w:eastAsia="MS PGothic" w:hAnsi="Calibri" w:cs="Calibri"/>
          <w:color w:val="44546A"/>
          <w:spacing w:val="-2"/>
          <w:szCs w:val="20"/>
          <w:lang w:val="sr-Cyrl-CS" w:eastAsia="ja-JP"/>
        </w:rPr>
        <w:t>).</w:t>
      </w:r>
    </w:p>
    <w:p w14:paraId="5C613CA5"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и то: усвајањем Закона о изменама и допунама Закона о хипотеци (2015. године) чија решења су омогућила реафирмацију вансудског поступка намирења из вредности добијене продајом хипотековане непокретности, али и довела до вишег степена правне и економске сигурности учесника у пословима који подразумевају успостављање хипотеке, као средства обезбеђења потраживања; кроз доношење Закона о проценитељима вредности непокретности (почетак примене закона – јун 2017. године) који је, између осталог, увео нову професију – лиценциране проценитеље вредности непокретности и прописао обавезну процену која се спроводи у случајевима који се односе на Закон о хипотеци и Закон о стечају, као и приликом вршења процена за потребе кредитних послова који су обезбеђени хипотеком; образовање Стручног одбора (стручно тело које треба да допринесе уређењу и унапређењу професије проценитеља вредности непокретности) и доношење Националних стандарда, кодекса етике и правила професионалног понашања лиценцираног проценитеља (у јулу 2017. године) који, између осталог, дефинишу основе процене вредности непокретности, поступак вршења процене, претпоставке и чињенице од значаја које се морају узети у обзир приликом израде извештаја процене, минимални садржај извештаја o процени и правила професионалног понашања лиценцираног проценитеља; усвајање измена и допуна Закона о порезу на добит правних лица и Закона о порезу на доходак грађана што је омогућило релаксиранију пореску политику за одобравање и отпис банкарских потраживања (крај 2017. године); усвајање амандмана на Закон о стечају којима је скраћен стечајни поступак и побољшан положај осигураних поверилаца (децембра 2017. године); припрему студије о могућностима увођења банкрота приватних појединаца и предузетника у Републици Србији, </w:t>
      </w:r>
      <w:r w:rsidRPr="0007074F">
        <w:rPr>
          <w:rFonts w:ascii="Calibri" w:eastAsia="MS PGothic" w:hAnsi="Calibri" w:cs="Calibri"/>
          <w:color w:val="44546A"/>
          <w:szCs w:val="20"/>
          <w:lang w:val="sr-Cyrl-CS" w:eastAsia="ja-JP"/>
        </w:rPr>
        <w:lastRenderedPageBreak/>
        <w:t>усвојен је Закон о изменама Закона о парничном поступку и друго. На основу Закона о проценитељима вредности непокретности и Одлуке о садржају, роковима и начину достављања извештаја о проценама вредности непокретности које су предмет хипотеке и кредитима обезбеђеним хипотеком, НБС од 2015. године води базу података о проценама вредности непокретности које су предмет хипотеке. У складу с поменутим законом и одлуком, банке и лиценцирани проценитељи могу остварити увид у одређене податке о проценама вредности непокретности које су предмет хипотеке. Крајем 2018. године НБС је усвојила сет подзаконских аката реагујући проактивно на све учесталију појаву ненаменског кредитирања становништва по неоправдано дугим роковима. Ови прописи имају за циљ да допринесу спречавању настанка проблематичних кредита у банкарском сектору и подстакну опрезно преузимање ризика од стране банака њиховим усмеравањем на одрживо кредитирање и избегавање прекомерне изложености одређеним врстама кредитних производа, не нарушавајући тренд раста кредитне активности и водећи рачуна о правима и интересима корисника услуга које пружају банке, а све ради очувања и јачања финансијске стабилности у Републици Србији.</w:t>
      </w:r>
    </w:p>
    <w:p w14:paraId="19606627"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Влада је 27. децембра 2018. године донела Програм за решавање проблематичних кредита за период 2018–2020. године (у даљем тексту: Програм) заједно са Акционим планом за спровођење тог програма чиме је успешно испуњен и реформски циљ унутар програма сарадње са ММФ и зацртан пут за даљи успешан рад на решавању питања проблематичних потраживања.</w:t>
      </w:r>
    </w:p>
    <w:p w14:paraId="223BA256"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Главни фокус поменутог документа јавне политике представља решавање питања проблематичних пласмана банака у стечају и пласмана у име и за рачун Републике Србије, којима управља АОД. У складу са тим, усвојени су стратешки и годишњи оперативни планови за АОД, Резолуција портфеља проблематичних пласмана, и развијени су унутрашњи капацитети за њихово решавање. У јуну 2019. године, АОД успешно је окончала продају првог, „пилот портфеља”, номиналне вредности од око 242 милиона евра. Дана 30. </w:t>
      </w:r>
      <w:r w:rsidRPr="0007074F">
        <w:rPr>
          <w:rFonts w:ascii="Calibri" w:eastAsia="MS PGothic" w:hAnsi="Calibri" w:cs="Calibri"/>
          <w:color w:val="44546A"/>
          <w:szCs w:val="20"/>
          <w:lang w:val="sr-Cyrl-CS" w:eastAsia="ja-JP"/>
        </w:rPr>
        <w:t>септембра 2019. године АОД објавила је оглас за уступање другог, „великог портфеља”, номиналне вредности од 1,82 милијарде евра и исти је успешно продат у априлу 2021. године.</w:t>
      </w:r>
    </w:p>
    <w:p w14:paraId="64CF919C" w14:textId="77777777" w:rsidR="00434D5D" w:rsidRPr="0007074F" w:rsidRDefault="00434D5D" w:rsidP="00B349CD">
      <w:pPr>
        <w:rPr>
          <w:rFonts w:eastAsia="Times New Roman"/>
          <w:lang w:val="sr-Cyrl-CS"/>
        </w:rPr>
      </w:pPr>
      <w:r w:rsidRPr="0007074F">
        <w:rPr>
          <w:rFonts w:eastAsia="Times New Roman"/>
          <w:lang w:val="sr-Cyrl-CS"/>
        </w:rPr>
        <w:t>Након успешно спроведена два поступка уступања потраживања, започете су активности на решавању „преосталог портфеља”. у складу са тачком 2.3.3. Програма и Акционог плана.</w:t>
      </w:r>
    </w:p>
    <w:p w14:paraId="0A11FBBF" w14:textId="77777777" w:rsidR="00434D5D" w:rsidRPr="0007074F" w:rsidRDefault="00434D5D" w:rsidP="00B349CD">
      <w:pPr>
        <w:rPr>
          <w:rFonts w:eastAsia="Times New Roman"/>
          <w:lang w:val="sr-Cyrl-CS"/>
        </w:rPr>
      </w:pPr>
      <w:r w:rsidRPr="0007074F">
        <w:rPr>
          <w:rFonts w:eastAsia="Times New Roman"/>
          <w:bCs/>
          <w:lang w:val="sr-Cyrl-CS"/>
        </w:rPr>
        <w:t xml:space="preserve">Преостали портфељ који је предмет уступања укупне </w:t>
      </w:r>
      <w:r w:rsidRPr="0007074F">
        <w:rPr>
          <w:rFonts w:ascii="Calibri" w:eastAsia="MS PGothic" w:hAnsi="Calibri" w:cs="Calibri"/>
          <w:color w:val="44546A"/>
          <w:szCs w:val="20"/>
          <w:lang w:val="sr-Cyrl-CS" w:eastAsia="ja-JP"/>
        </w:rPr>
        <w:t xml:space="preserve">номиналне вредности од </w:t>
      </w:r>
      <w:r w:rsidRPr="0007074F">
        <w:rPr>
          <w:rFonts w:eastAsia="Times New Roman"/>
          <w:bCs/>
          <w:lang w:val="sr-Cyrl-CS"/>
        </w:rPr>
        <w:t>317,8 милиона евра чине потраживања АОД у име и за рачун државе и 7 финансијских институција у стечају.</w:t>
      </w:r>
    </w:p>
    <w:p w14:paraId="6EF37B57" w14:textId="77777777" w:rsidR="00434D5D" w:rsidRPr="0007074F" w:rsidRDefault="00434D5D" w:rsidP="00B349CD">
      <w:pPr>
        <w:rPr>
          <w:rFonts w:eastAsia="Times New Roman"/>
          <w:lang w:val="sr-Cyrl-CS"/>
        </w:rPr>
      </w:pPr>
      <w:r w:rsidRPr="0007074F">
        <w:rPr>
          <w:rFonts w:eastAsia="Times New Roman"/>
          <w:lang w:val="sr-Cyrl-CS"/>
        </w:rPr>
        <w:t>Оглас о уступању преосталог портфеља потраживања објављен је 20. децембра 2022. године, а предвиђени рок за достављање обавезујуће понуде је 20.4.2023. године. Отварање обавезујућих понуда извршено је 27. априла 2023. године. У наредном периоду Тендерска комисија ће размотрити достављене понуде и сачинити Записник, са ранг листом достављених понуда и исти проследити надлежним органима Агенције, на разматрање и доношење Одлуке о резултатима поступка.</w:t>
      </w:r>
    </w:p>
    <w:p w14:paraId="0DCFB836" w14:textId="3C0E0D8E"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szCs w:val="20"/>
          <w:lang w:val="sr-Cyrl-CS" w:eastAsia="ja-JP"/>
        </w:rPr>
        <w:t xml:space="preserve">Имплементација других мера за решавање проблематичних кредита, како из Стратегије </w:t>
      </w:r>
      <w:r w:rsidRPr="0007074F">
        <w:rPr>
          <w:rFonts w:ascii="Calibri" w:eastAsia="MS PGothic" w:hAnsi="Calibri" w:cs="Calibri"/>
          <w:color w:val="44546A"/>
          <w:szCs w:val="20"/>
          <w:lang w:val="sr-Cyrl-CS" w:eastAsia="ja-JP"/>
        </w:rPr>
        <w:t xml:space="preserve">за решавање проблематичних кредита, тако и из горепоменутог Програма, наставља да даје резултате. </w:t>
      </w:r>
      <w:r w:rsidR="00A30822" w:rsidRPr="0007074F">
        <w:rPr>
          <w:rFonts w:ascii="Calibri" w:eastAsia="Calibri" w:hAnsi="Calibri" w:cs="Times New Roman"/>
          <w:color w:val="44546A"/>
          <w:lang w:val="sr-Cyrl-CS"/>
        </w:rPr>
        <w:t xml:space="preserve">Смањење проблематичних кредита у периоду август 2015 – март 2023. године износи 328 млрд динара, док се резултат Стратегије за решавање проблематичних кредита огледа кроз историјски најнижи удео проблематичних кредита на крају марта 2023. године од 3,00%. У поређењу са тим показатељем пре примене Стратегије (22,25%) бележи се импресивно смањење за 19,25 п.п. </w:t>
      </w:r>
      <w:r w:rsidRPr="0007074F">
        <w:rPr>
          <w:rFonts w:ascii="Calibri" w:eastAsia="MS PGothic" w:hAnsi="Calibri" w:cs="Calibri"/>
          <w:color w:val="44546A"/>
          <w:szCs w:val="20"/>
          <w:lang w:val="sr-Cyrl-CS" w:eastAsia="ja-JP"/>
        </w:rPr>
        <w:t>То је конкретна потврда да су мере добро дефинисане и да су дале одличне ефекте.</w:t>
      </w:r>
    </w:p>
    <w:p w14:paraId="74DAAFFA"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НБС је деловала и изван оквира Стратегије, попут доношења Одлуке о рачуноводственом отпису билансне активе банке, што је употпунило регулаторне активности. И покривеност проблематичних кредита припадајућим исправкама вредности у складу са међународним рачуноводственим стандардима, која је на нивоу од 57%, недвосмислено, уз све друге показатеље </w:t>
      </w:r>
      <w:r w:rsidRPr="0007074F">
        <w:rPr>
          <w:rFonts w:ascii="Calibri" w:eastAsia="MS PGothic" w:hAnsi="Calibri" w:cs="Calibri"/>
          <w:color w:val="44546A"/>
          <w:szCs w:val="20"/>
          <w:lang w:val="sr-Cyrl-CS" w:eastAsia="ja-JP"/>
        </w:rPr>
        <w:lastRenderedPageBreak/>
        <w:t>здравља финансијског система, потврђује стабилност нашег банкарског сектора.</w:t>
      </w:r>
    </w:p>
    <w:p w14:paraId="049E0B27"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Стварањем стабилних услова пословања, наша економија је ушла у инвестициони циклус 2015. године, и од тада инвестиције по обиму представљају добар део раста економије. Профитабилност привреде расте у условима ниске и стабилне инфлације и релативно</w:t>
      </w:r>
      <w:r w:rsidRPr="0007074F">
        <w:rPr>
          <w:rFonts w:ascii="Calibri" w:eastAsia="Calibri" w:hAnsi="Calibri" w:cs="Calibri"/>
          <w:color w:val="auto"/>
          <w:szCs w:val="20"/>
          <w:lang w:val="sr-Cyrl-CS" w:eastAsia="ja-JP"/>
        </w:rPr>
        <w:t xml:space="preserve"> </w:t>
      </w:r>
      <w:r w:rsidRPr="0007074F">
        <w:rPr>
          <w:rFonts w:ascii="Calibri" w:eastAsia="MS PGothic" w:hAnsi="Calibri" w:cs="Calibri"/>
          <w:color w:val="44546A"/>
          <w:szCs w:val="20"/>
          <w:lang w:val="sr-Cyrl-CS" w:eastAsia="ja-JP"/>
        </w:rPr>
        <w:t>стабилног курса. Све су то били кључни фактори за одрживо решавање питања проблематичних кредита. То се јасно види и из чињенице да је у гранама које су и носиоци нашег раста, забележен и највећи пад проблематичних кредита – што је евидентно у прерађивачкој индустрији и грађевинарству.</w:t>
      </w:r>
    </w:p>
    <w:p w14:paraId="3E1E7810"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Осигурање депозита је механизам који доприноси очувању финансијске стабилности и обезбеђује заштиту депонената. Систем осигурања депозита обезбеђује да се сваком заштићеном депоненту</w:t>
      </w:r>
      <w:r w:rsidRPr="0007074F">
        <w:rPr>
          <w:rFonts w:ascii="Calibri" w:eastAsia="MS PGothic" w:hAnsi="Calibri" w:cs="Calibri"/>
          <w:color w:val="44546A"/>
          <w:szCs w:val="20"/>
          <w:vertAlign w:val="superscript"/>
          <w:lang w:val="sr-Cyrl-CS" w:eastAsia="ja-JP"/>
        </w:rPr>
        <w:footnoteReference w:id="11"/>
      </w:r>
      <w:r w:rsidRPr="0007074F">
        <w:rPr>
          <w:rFonts w:ascii="Calibri" w:eastAsia="MS PGothic" w:hAnsi="Calibri" w:cs="Calibri"/>
          <w:color w:val="44546A"/>
          <w:sz w:val="12"/>
          <w:szCs w:val="12"/>
          <w:lang w:val="sr-Cyrl-CS" w:eastAsia="ja-JP"/>
        </w:rPr>
        <w:t xml:space="preserve"> </w:t>
      </w:r>
      <w:r w:rsidRPr="0007074F">
        <w:rPr>
          <w:rFonts w:ascii="Calibri" w:eastAsia="MS PGothic" w:hAnsi="Calibri" w:cs="Calibri"/>
          <w:color w:val="44546A"/>
          <w:szCs w:val="20"/>
          <w:lang w:val="sr-Cyrl-CS" w:eastAsia="ja-JP"/>
        </w:rPr>
        <w:t>исплати целокупан износ улога у свакој банци до осигураног износа од 50.000 евра у случају стечаја или ликвидације банке. Осигурање депозита регулисано је Законом о осигурању депозита.</w:t>
      </w:r>
    </w:p>
    <w:p w14:paraId="31F0CDB0"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У октобру 2019. године, усвојен је Закон о изменама и допунама Закона о осигурању депозита из 2019. године, којим се настојало да се систем осигурања депозита додатно усклади са најбољом међународном праксом и стандардима, као и правним тековинама ЕУ и то у погледу: метода обрачуна премије (увођење могућности обрачуна премије на основу нивоа ризика у пословању банака), основице за обрачун премије, висине ванредне премије, заштите депонената спојених или припојених банака, циљног износа фонда за осигурање депозита и др, све са циљем доприноса финансијској стабилности кроз подстицај смањењу ризика у пословању банака, јачање поверења јавности у финансијски систем и повећање ефикасности система осигурања депозита.</w:t>
      </w:r>
    </w:p>
    <w:p w14:paraId="7E0FA489"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Уважавајући одредбе Закона о изменама и допунама Закона о осигурању депозита, премија осигурања депозита се почев од наплате премије за први квартал 2020. године обрачунава на измењену основицу, односно на основу просечног </w:t>
      </w:r>
      <w:r w:rsidRPr="0007074F">
        <w:rPr>
          <w:rFonts w:ascii="Calibri" w:eastAsia="MS PGothic" w:hAnsi="Calibri" w:cs="Calibri"/>
          <w:color w:val="44546A"/>
          <w:szCs w:val="20"/>
          <w:lang w:val="sr-Cyrl-CS" w:eastAsia="ja-JP"/>
        </w:rPr>
        <w:t>стања укупних осигураних износа до 50.000 евра (осигурањем покривени износ депозита) у банци у претходном тромесечју, уместо на основу просечног стања укупних осигураних депозита. Овом изменом, смањене су обавезе банака по основу плаћања премије осигурања депозита у просеку за око 30%, чиме се посредно омогућила већа инвестициона активност банака.</w:t>
      </w:r>
    </w:p>
    <w:p w14:paraId="3928268A"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Како је законом уведена и могућност обрачуна премије на основу нивоа ризика у пословању банака, прописана је обавеза Агенцији да донесе Методологију за обрачун премије осигурања депозита на основу нивоа ризика у пословању банака у року од годину дана од дана ступања на снагу овог закона. Управни одбор Агенције усвојио је текст Методологије 15. октобра 2020. године уз претходну сагласност НБС, чиме је испуњена законска обавеза у прописаном року, а посебном одлуком Управног одбора Агенције ће се одлучити о почетку примене Методологије.</w:t>
      </w:r>
    </w:p>
    <w:p w14:paraId="545B3EE5"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У систему осигурања депозита Република Србија је ултимативни гарант исплате осигураних депозита. У сврху обезбеђивања средстава за осигурање депозита АОД наплаћује премију осигурања депозита од банака за рачун Фонда за осигурање депозита, управља имовином фонда и исплаћује депозите до осигураног износа у случају стечаја или ликвидације банке. Додатно, средства фонда се могу користити и за финансирање поступка реструктурирања банака у обиму и под условима утврђеним законом којим се уређују банке. У случају недостајућих средстава у фонду за осигурање депозита, Република Србија обезбеђује исплату било средствима из буџета, било давањем гаранције за задуживање АОД.</w:t>
      </w:r>
    </w:p>
    <w:p w14:paraId="4B88AAF6"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Влада је дана 24. марта 2020. године донела Уредбу о улагању за време ванредног стања девизних средстава којима управља Агенција за осигурање депозита, којом је прописано да за време ванредног стања насталог услед болести COVID-19 изазване вирусом SARS-CoV-2 Агенција може улагати више од четвртине девизних средстава Фонда у девизне дужничке хартије од вредности које издаје Република Србија. У складу </w:t>
      </w:r>
      <w:r w:rsidRPr="0007074F">
        <w:rPr>
          <w:rFonts w:ascii="Calibri" w:eastAsia="MS PGothic" w:hAnsi="Calibri" w:cs="Calibri"/>
          <w:color w:val="44546A"/>
          <w:szCs w:val="20"/>
          <w:lang w:val="sr-Cyrl-CS" w:eastAsia="ja-JP"/>
        </w:rPr>
        <w:lastRenderedPageBreak/>
        <w:t>с Уредбом, Агенција је у року од годину дана од дана престанка ванредног стања (до 6. маја 2021. године) износ девизних средстава Фонда уложених у девизне дужничке хартије од вредности које издаје Република Србија, ускладила на ниво законског лимита од 1/4 укупних девизних средстава Фонда.</w:t>
      </w:r>
    </w:p>
    <w:p w14:paraId="55137C0D"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Гаранција исплате осигураних депозита од стране државе, било директно средствима из буџета, или индиректно издавањем гаранција за задуживање АОД,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фонда за осигурање депозита, нити државе по основу исплата осигураних износа депозита.</w:t>
      </w:r>
    </w:p>
    <w:p w14:paraId="678AF302"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Умањење фискалних ризика по овом основу зависи од стабилности и одрживости банкарског система. Надзор над банкарским системом, обазривост у пласирању средстава и унапређење квалитета имовине банака су основни стубови стабилног банкарског система.</w:t>
      </w:r>
    </w:p>
    <w:p w14:paraId="58999055" w14:textId="59BEA0AA"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Остварени резултати банкарског сектора Републике Србије у 2021. години приказују растућу профитабилност банака. </w:t>
      </w:r>
      <w:r w:rsidR="00C93D64" w:rsidRPr="0007074F">
        <w:rPr>
          <w:rFonts w:ascii="Calibri" w:eastAsia="MS PGothic" w:hAnsi="Calibri" w:cs="Calibri"/>
          <w:color w:val="44546A"/>
          <w:szCs w:val="20"/>
          <w:lang w:val="sr-Cyrl-CS" w:eastAsia="ja-JP"/>
        </w:rPr>
        <w:t>Банкарски сектор Републике Србије је у 2022. години пословао профитабилно, са нето добитком пре опорезивања у износу од 99,6 милијарди динара, што је за 85% више од резултата оствареног у 2021. години када је нето добитак пре опорезивања износио 53,9 милијарди динара.</w:t>
      </w:r>
    </w:p>
    <w:p w14:paraId="1642E958" w14:textId="60BE85B1"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Банкарски сектор Републике Србије адекватно је капитализован како са становишта оствареног нивоа показатеља адекватности капитала тако и са становишта структуре регулаторног капитала. </w:t>
      </w:r>
      <w:r w:rsidR="00C93D64" w:rsidRPr="0007074F">
        <w:rPr>
          <w:rFonts w:ascii="Calibri" w:eastAsia="MS PGothic" w:hAnsi="Calibri" w:cs="Calibri"/>
          <w:color w:val="44546A"/>
          <w:szCs w:val="20"/>
          <w:lang w:val="sr-Cyrl-CS" w:eastAsia="ja-JP"/>
        </w:rPr>
        <w:t xml:space="preserve">На крају 2020. и 2021. године, просечна вредност показатеља адекватности капитала на нивоу банкарског сектора Републике Србије износила је 22,42%, односно 21,77%. Током 2022. године и у првом тромесечју 2023. године очувана је висока адекватност капитала банкарског сектора (показатељ адекватности капитала је на крају децембра 2022. износио је 20,15%, а на крају марта 2023. 20,52%), уз повољну структуру капитала (93% чини најквалитетнији основни </w:t>
      </w:r>
      <w:r w:rsidR="00C93D64" w:rsidRPr="0007074F">
        <w:rPr>
          <w:rFonts w:ascii="Calibri" w:eastAsia="MS PGothic" w:hAnsi="Calibri" w:cs="Calibri"/>
          <w:color w:val="44546A"/>
          <w:szCs w:val="20"/>
          <w:lang w:val="sr-Cyrl-CS" w:eastAsia="ja-JP"/>
        </w:rPr>
        <w:t>акцијски капитал)</w:t>
      </w:r>
      <w:r w:rsidRPr="0007074F">
        <w:rPr>
          <w:rFonts w:ascii="Calibri" w:eastAsia="MS PGothic" w:hAnsi="Calibri" w:cs="Calibri"/>
          <w:color w:val="44546A"/>
          <w:szCs w:val="20"/>
          <w:lang w:val="sr-Cyrl-CS" w:eastAsia="ja-JP"/>
        </w:rPr>
        <w:t>, што је значајно изнад прописаног регулаторног минимума од 8% и више него довољно за покриће свих ризика којима је сектор изложен, што потврђују и макропруденцијални стрес тестови које НБС редовно спроводи. Имајући у виду ситуацију насталу проглашењем ванредног стања у Републици Србији, како би се омогућило ублажавање економских и финансијских последица насталих услед пандемије болести COVID-19 изазване вирусом SARS-CoV-2 предузете су мере подршке привреди које су имале за циљ повећање ликвидности привредних субјеката. Једна од мера јесте била и доношење Уредбе о утврђивању гарантне шеме као мера подршке привреди за ублажавање последица пандемије болести COVID-19 изазване вирусом SARS-CоV-2. Овом уредбом је конституисано утврђивање националне гарантне шеме. Повећање ликвидности привредних субјеката кроз механизам гарантовања Републике Србије за кредите које банке одобравају привредним субјектима за финансирање ликвидности и обртних средстава, а које се омогућава закључењем Уговора о гаранцији Републике Србије за кредитирање привреде с циљем ублажавања негативних последица пандемије болести COVID-19 изазване вирусом SARS-CoV-2, јесте мера која у себи сублимира изузетно важан и нужан механизам ефеката за сва лица са седиштем у Републици Србији укључујући и пољопривредна газдинства.</w:t>
      </w:r>
    </w:p>
    <w:p w14:paraId="1FFE8DFE"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С обзиром на чињеницу да је преко пословних банака, до краја новембра 2020. године, привреди пласирано око 1,5 милијарди евра, од укупно расположиве 2 (две) милијарде евра, јавила се потреба за продужењем рока до када уговор о кредиту мора бити закључен, односно до када уговор o кредиту мора бити пуштен у течај.</w:t>
      </w:r>
    </w:p>
    <w:p w14:paraId="039A0585" w14:textId="44B1DCDB" w:rsidR="00434D5D" w:rsidRPr="0007074F" w:rsidRDefault="00434D5D" w:rsidP="00B349CD">
      <w:pPr>
        <w:rPr>
          <w:rFonts w:ascii="Calibri" w:eastAsia="MS PGothic" w:hAnsi="Calibri" w:cs="Calibri"/>
          <w:szCs w:val="20"/>
          <w:lang w:val="sr-Cyrl-CS" w:eastAsia="ja-JP"/>
        </w:rPr>
      </w:pPr>
      <w:r w:rsidRPr="0007074F">
        <w:rPr>
          <w:rFonts w:ascii="Calibri" w:eastAsia="MS PGothic" w:hAnsi="Calibri" w:cs="Calibri"/>
          <w:color w:val="44546A"/>
          <w:szCs w:val="20"/>
          <w:lang w:val="sr-Cyrl-CS" w:eastAsia="ja-JP"/>
        </w:rPr>
        <w:t>У складу са тим, Народној скупштини предложено је доношење Закона о утврђивању гарантне шеме као мере подршке привреди за ублажавање последица пандемије болести COVID-19 изазване вирусом SARS-CoV-2, који је донет на седници одржаној дана 17. децембра</w:t>
      </w:r>
      <w:r w:rsidR="004047FA" w:rsidRPr="0007074F">
        <w:rPr>
          <w:rFonts w:ascii="Calibri" w:eastAsia="MS PGothic" w:hAnsi="Calibri" w:cs="Calibri"/>
          <w:color w:val="44546A"/>
          <w:szCs w:val="20"/>
          <w:lang w:val="sr-Cyrl-CS" w:eastAsia="ja-JP"/>
        </w:rPr>
        <w:t xml:space="preserve"> 2020. године.</w:t>
      </w:r>
      <w:r w:rsidRPr="0007074F">
        <w:rPr>
          <w:rFonts w:ascii="Calibri" w:eastAsia="MS PGothic" w:hAnsi="Calibri" w:cs="Calibri"/>
          <w:color w:val="44546A"/>
          <w:szCs w:val="20"/>
          <w:lang w:val="sr-Cyrl-CS" w:eastAsia="ja-JP"/>
        </w:rPr>
        <w:t xml:space="preserve"> Република Србија је препознала потребу за одобравањем додатних 500 милиона евра помоћи, у циљу одржавања ликвидности чиме ће </w:t>
      </w:r>
      <w:r w:rsidRPr="0007074F">
        <w:rPr>
          <w:rFonts w:ascii="Calibri" w:eastAsia="MS PGothic" w:hAnsi="Calibri" w:cs="Calibri"/>
          <w:color w:val="44546A"/>
          <w:szCs w:val="20"/>
          <w:lang w:val="sr-Cyrl-CS" w:eastAsia="ja-JP"/>
        </w:rPr>
        <w:lastRenderedPageBreak/>
        <w:t>укупан износ средстава пласираних путем I гарантне шеме достићи износ од 2,5 милијарде евра. С тим у вези, донет је Закон о изменама Закона о утврђивању гарантне шеме као мера подршке привреди за ублажавање последица пандемије болести COVID-19 изазване вирусом SARS-CoV-2.</w:t>
      </w:r>
    </w:p>
    <w:p w14:paraId="46D2744A" w14:textId="77777777" w:rsidR="00434D5D" w:rsidRPr="0007074F" w:rsidRDefault="00434D5D" w:rsidP="00B349CD">
      <w:pPr>
        <w:rPr>
          <w:rFonts w:eastAsia="Times New Roman"/>
          <w:lang w:val="sr-Cyrl-CS"/>
        </w:rPr>
      </w:pPr>
      <w:r w:rsidRPr="0007074F">
        <w:rPr>
          <w:rFonts w:ascii="Calibri" w:eastAsia="MS PGothic" w:hAnsi="Calibri" w:cs="Calibri"/>
          <w:szCs w:val="20"/>
          <w:lang w:val="sr-Cyrl-CS" w:eastAsia="ja-JP"/>
        </w:rPr>
        <w:t xml:space="preserve">Република Србија је пласирала Банкама предвиђених 2,5 милијарди евра, док су Банке, до 31. јула 2022. године, пласирале клијентима око 2,4 милијарде евра. Истовремено, Република Србија је препознала потребу за додатну помоћ најугроженијим предузећима која имају пад пословних прихода већи од 20% у 2020. години, у односу на исти период у 2019. години, те је 22. априла 2021. године донет Закон о утврђивању друге гарантне шеме као мере додатне подршке привреди услед продуженог негативног утицаја пандемије болести COVID-19 изазване вирусом SARS-CoV-2 чиме је одобрено додатних 500 милиона евра помоћи. </w:t>
      </w:r>
      <w:r w:rsidRPr="0007074F">
        <w:rPr>
          <w:rFonts w:eastAsia="Times New Roman"/>
          <w:lang w:val="sr-Cyrl-CS"/>
        </w:rPr>
        <w:t>У децембру 2021. године донет је Закон о измени и допуни Закона о утврђивању друге гарантне шеме као мера додатне подршке привреди услед продуженог негативног утицаја пандемије болести COVID-19 изазване вирусом SARS-CоV-2, којим је предвиђен изузетак да кориснику кредита који спада у предузетнике, микро, мала и средња предузећа која послују у секторима путничког транспорта, угоститељства, туристичких агенција и хотелијерства у градовима, може бити одобрен кредит обезбеђен гаранцијом.</w:t>
      </w:r>
    </w:p>
    <w:p w14:paraId="12C424D6" w14:textId="77777777" w:rsidR="00434D5D" w:rsidRPr="0007074F" w:rsidRDefault="00434D5D" w:rsidP="00B349CD">
      <w:pPr>
        <w:rPr>
          <w:rFonts w:eastAsia="Times New Roman"/>
          <w:bCs/>
          <w:lang w:val="sr-Cyrl-CS"/>
        </w:rPr>
      </w:pPr>
      <w:r w:rsidRPr="0007074F">
        <w:rPr>
          <w:rFonts w:eastAsia="Times New Roman"/>
          <w:bCs/>
          <w:lang w:val="sr-Cyrl-CS"/>
        </w:rPr>
        <w:t xml:space="preserve">Услед смањеног одобравања кредита у оквиру друге гарантне шеме, као и евидентно продуженог негативног утицаја пандемије болести COVID-19 изазване вирусом SARS-CoV-2, те да је, услед ратних дешавања у Украјини, дошло до промене околности које се нису могле предвидети избијањем пандемије болести COVID-19 изазване вирусом SARS-CoV-2, а које паралелно негативно утичу на привредну активност, </w:t>
      </w:r>
      <w:r w:rsidRPr="0007074F">
        <w:rPr>
          <w:rFonts w:eastAsia="Times New Roman"/>
          <w:lang w:val="sr-Cyrl-CS"/>
        </w:rPr>
        <w:t>предвиђена је могућност рефинансирања кредита из прве гаранте шеме кредитима из друге гарантне шеме, привредним субјектима код којих је дошло до смањења или обуставе пословних активности везаних за извоз и увоз роба и услуга на тржишта Украјине, Русије или Белорусије.</w:t>
      </w:r>
    </w:p>
    <w:p w14:paraId="09C5D314"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szCs w:val="20"/>
          <w:lang w:val="sr-Cyrl-CS" w:eastAsia="ja-JP"/>
        </w:rPr>
        <w:t xml:space="preserve">У складу са изнетим, пројекције фискалних бруто одлива буџета Републике Србије по основу предметне националне Гарантне шеме износе 89 милиона </w:t>
      </w:r>
      <w:r w:rsidRPr="0007074F">
        <w:rPr>
          <w:rFonts w:ascii="Calibri" w:eastAsia="MS PGothic" w:hAnsi="Calibri" w:cs="Calibri"/>
          <w:color w:val="44546A"/>
          <w:szCs w:val="20"/>
          <w:lang w:val="sr-Cyrl-CS" w:eastAsia="ja-JP"/>
        </w:rPr>
        <w:t>евра за 2022. годину, 60 милиона евра за 2023. годину, 5 милион евра за 2024. годину и 3 милиона евра за 2025. годину. Такође, извршена је и пројекција прилива по основу наплате проблематичних потраживања по основу предметне Гарантне шеме Републике Србије која износи 14 милиона евра за 2022. годину, 14 милиона евра за 2023. годину, 9 милиона евра за 2024. годину и 5 милиона евра за 2025. годину. Пројекција фискалног бруто одлива буџета Републике Србије по основу друге Гарантне шеме износи 1,8 милиона евра за 2024. годину, и 1,4 милиона евра за 2025. годину, а пројекција прилива износи 10,9 хиљада евра за 2024. годину и 103 хиљаде евра за 2025. годину. По основу обе гарантне шеме реализовано је 2,45 милијарде евра кредита, док је на име активираних гаранција исплаћено 50,36 милиона евра.</w:t>
      </w:r>
    </w:p>
    <w:p w14:paraId="053F55A0" w14:textId="55C55852"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Што се тиче других финансијских институција, Република Србија има директан удео у капиталу Компаније Дунав осигурање а.д.о. Београд (у даљем тексту: Дунав осигурање) и Дунав Ре а.д.о. Београд (у даљем тексту</w:t>
      </w:r>
      <w:r w:rsidR="004047FA" w:rsidRPr="0007074F">
        <w:rPr>
          <w:rFonts w:ascii="Calibri" w:eastAsia="MS PGothic" w:hAnsi="Calibri" w:cs="Calibri"/>
          <w:color w:val="44546A"/>
          <w:szCs w:val="20"/>
          <w:lang w:val="sr-Cyrl-CS" w:eastAsia="ja-JP"/>
        </w:rPr>
        <w:t>:</w:t>
      </w:r>
      <w:r w:rsidRPr="0007074F">
        <w:rPr>
          <w:rFonts w:ascii="Calibri" w:eastAsia="MS PGothic" w:hAnsi="Calibri" w:cs="Calibri"/>
          <w:color w:val="44546A"/>
          <w:szCs w:val="20"/>
          <w:lang w:val="sr-Cyrl-CS" w:eastAsia="ja-JP"/>
        </w:rPr>
        <w:t xml:space="preserve"> Дунав Ре</w:t>
      </w:r>
      <w:r w:rsidR="004047FA" w:rsidRPr="0007074F">
        <w:rPr>
          <w:rFonts w:ascii="Calibri" w:eastAsia="MS PGothic" w:hAnsi="Calibri" w:cs="Calibri"/>
          <w:color w:val="44546A"/>
          <w:szCs w:val="20"/>
          <w:lang w:val="sr-Cyrl-CS" w:eastAsia="ja-JP"/>
        </w:rPr>
        <w:t>)</w:t>
      </w:r>
      <w:r w:rsidRPr="0007074F">
        <w:rPr>
          <w:rFonts w:ascii="Calibri" w:eastAsia="MS PGothic" w:hAnsi="Calibri" w:cs="Calibri"/>
          <w:color w:val="44546A"/>
          <w:szCs w:val="20"/>
          <w:lang w:val="sr-Cyrl-CS" w:eastAsia="ja-JP"/>
        </w:rPr>
        <w:t>, као и у Националној корпорацији за осигурање стамбених кредита (у даљем тексту: Корпорација).</w:t>
      </w:r>
    </w:p>
    <w:p w14:paraId="69C486CE"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Успешним и ефикасним спровођењем одредаба закона који је усвојен крајем априла 2021. године – Закона о измени и допунама Закона о осигурању, а који је био основ за промену власничких права на друштвеном капиталу у друштвима за осигурање, директно учешће Републике Србије у капиталу Дунав је порасло на 76,70%. Такође, како је и у укупном капиталу Дунав Ре постојало мање учешће друштвеног капитала, након промене власничких права у складу са наведеним законом Република Србија је стекла директно учешће од око 4,76% у Дунав Ре.</w:t>
      </w:r>
    </w:p>
    <w:p w14:paraId="33748911"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Иначе, до краја 2014. године учешће друштвеног капитала у укупном капиталу Дунав осигурања је износило 94,61%, што је имало неповољан утицај на пословање Дунав осигурања (пре свега кроз компликовану управљачку структуру), на шта су указивали и ревизорски извештаји за 2012. и 2013. годину у којима је изражено мишљење ревизора </w:t>
      </w:r>
      <w:r w:rsidRPr="0007074F">
        <w:rPr>
          <w:rFonts w:ascii="Calibri" w:eastAsia="MS PGothic" w:hAnsi="Calibri" w:cs="Calibri"/>
          <w:color w:val="44546A"/>
          <w:szCs w:val="20"/>
          <w:lang w:val="sr-Cyrl-CS" w:eastAsia="ja-JP"/>
        </w:rPr>
        <w:lastRenderedPageBreak/>
        <w:t>са резервом. Имајући у виду значај Дунав осигурања на тржишту осигурања (највећа осигуравајућа компанија), Република Србија је у децембру 2014. године извршила докапитализацију Дунав осигурања са 4,8 милијарди динара, чиме је учешће друштвеног капитала сведено на 51,86%. Последњих година пословање Дунав осигурања је стабилно, уз константно побољшање већине показатеља. Приметан је тренд раста добити из године у годину (и редовна исплата дивиденди). Дунав осигурање није имало негативних последица у пословању (гледајући кроз најзначајније показатеље) због болести COVID-19 изазване вирусом SARS-CoV-2. Као највећи изазов у предстојећем периоду истиче се усклађивање (организационо, управљачки, капитално итд.) са новим регулаторним стандардом Солвентност 2 које очекује све учеснике на тржишту осигурања у Републици Србији.</w:t>
      </w:r>
    </w:p>
    <w:p w14:paraId="18BB3129"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Законом о Националној корпорацији за осигурање стамбених кредита основана је Корпорација, као правно лице специјализовано за осигурање потраживања по основу стамбених кредита које одобравају банке и друге финансијске организације, која су обезбеђена хипотеком, као и за обављање других послова у вези са тим осигурањем. Оснивач Корпорације је Република Србија која има директно учешће од 100% у капиталу Корпорације (законом је остављена могућност да се Корпорација организује као акционарско друштво, с тим да вредност државног капитала у укупном капиталу Корпорације не може да буде мање од 51%). Законом је, такође, утврђено да укупан номинални износ обавеза Корпорације које произилазе из обављања делатности Корпорације може бити највише до 16 пута већи од износа капитала Корпорације, али и да Влада може да, на образложен захтев Корпорације, да сагласност за повећање обима обавеза Корпорације које произилазе из обављања делатности Корпорације и за преко 16 пута од капитала Корпорације, за одређени временски период.</w:t>
      </w:r>
    </w:p>
    <w:p w14:paraId="6059BF85"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 xml:space="preserve">Од самог оснивања, Корпорација је имала значајан утицај у креирању тржишних услова и стандарда кредитирања, што је било нужно да би се хипотекарно тржиште уопште развило. То је </w:t>
      </w:r>
      <w:r w:rsidRPr="0007074F">
        <w:rPr>
          <w:rFonts w:ascii="Calibri" w:eastAsia="MS PGothic" w:hAnsi="Calibri" w:cs="Calibri"/>
          <w:color w:val="44546A"/>
          <w:szCs w:val="20"/>
          <w:lang w:val="sr-Cyrl-CS" w:eastAsia="ja-JP"/>
        </w:rPr>
        <w:t>довело до смањења ризика и обезбеђења интереса, како кредитора, тако и зајмотражилаца, кроз снижавање каматних стопа, што је довело да раста тражње за стамбеним непокретностима (са позитивним ефектом на грађевинску индустрију) и тиме допринело повећању броја станова купљених на кредит.</w:t>
      </w:r>
    </w:p>
    <w:p w14:paraId="6E15320C"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У протеклом периоду, није вршена докапитализација Корпорације из средстава буџета Републике Србије, већ је повећање капитала вршено из остварене добити Корпорације. Међутим, како повећање капитала није пратило раст осигураних кредита, Влада је, у складу са законом, сваке године давала сагласност за повећање обима обавеза Корпорације које произилазе из обављања делатности Корпорације и за преко 16 пута од капитала Корпорације. Ово повећање се из године у годину смањује (нпр. за 2015. годину обим обавеза Корпорације које произилазе из обављања делатности Корпорације је могао да буде до 30 пута већи од капитала Корпорације, док за 2022. годину може да износи до 20 пута више од капитала Корпорације).</w:t>
      </w:r>
    </w:p>
    <w:p w14:paraId="3E2DE34E" w14:textId="77777777" w:rsidR="00434D5D" w:rsidRPr="0007074F" w:rsidRDefault="00434D5D" w:rsidP="00B349CD">
      <w:pPr>
        <w:rPr>
          <w:rFonts w:ascii="Calibri" w:eastAsia="MS PGothic" w:hAnsi="Calibri" w:cs="Calibri"/>
          <w:color w:val="44546A"/>
          <w:szCs w:val="20"/>
          <w:lang w:val="sr-Cyrl-CS" w:eastAsia="ja-JP"/>
        </w:rPr>
      </w:pPr>
      <w:r w:rsidRPr="0007074F">
        <w:rPr>
          <w:rFonts w:ascii="Calibri" w:eastAsia="MS PGothic" w:hAnsi="Calibri" w:cs="Calibri"/>
          <w:color w:val="44546A"/>
          <w:szCs w:val="20"/>
          <w:lang w:val="sr-Cyrl-CS" w:eastAsia="ja-JP"/>
        </w:rPr>
        <w:t>Као потенцијални ризик се појављује велики број тужби клијената против банака у вези са плаћањем премије осигурања Корпорацији. Иако Корпорација није тужена страна, нити Република Србија гарантује за обавезе Корпорације (Корпорација гарантује за своје обавезе до висине свог капитала), потенцијално негативан исход ових спорова може да утиче на евентуалну потребу одређених издатака из буџета. Такође, услед промењених тржишних услова дошло је до спорова са одређеним бројем банака (отказ уговора са Корпорацијом од стране банака), што доводи до значајног смањења осигураних кредита, а тиме и до смањења прихода Корпорације. Имајући у виду дугорочност потенцијалних обавеза које Корпорација преузима (осигурање потраживања по основу стамбених кредита који се одобравају на период и од 30 година), наставак тренда значајног смањења осигураних кредита исто може да утиче на евентуалну потребу одређених издатака из буџета у будућности.</w:t>
      </w:r>
    </w:p>
    <w:p w14:paraId="01760560" w14:textId="77777777" w:rsidR="00434D5D" w:rsidRPr="0007074F" w:rsidRDefault="00434D5D" w:rsidP="00B349CD">
      <w:pPr>
        <w:rPr>
          <w:rFonts w:cstheme="minorHAnsi"/>
          <w:b/>
          <w:bCs/>
          <w:color w:val="2F5496" w:themeColor="accent1" w:themeShade="BF"/>
          <w:sz w:val="22"/>
          <w:szCs w:val="20"/>
          <w:lang w:val="sr-Cyrl-CS"/>
        </w:rPr>
      </w:pPr>
      <w:r w:rsidRPr="0007074F">
        <w:rPr>
          <w:rFonts w:cstheme="minorHAnsi"/>
          <w:b/>
          <w:bCs/>
          <w:color w:val="2F5496" w:themeColor="accent1" w:themeShade="BF"/>
          <w:sz w:val="22"/>
          <w:szCs w:val="20"/>
          <w:lang w:val="sr-Cyrl-CS"/>
        </w:rPr>
        <w:t>Судски поступци</w:t>
      </w:r>
    </w:p>
    <w:p w14:paraId="27B8E5C7"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lastRenderedPageBreak/>
        <w:t>Услед бројних судских поступака, пред домаћим и међународним судовима, где је терет плаћања на Републици Србији као туженој страни, идентификовани су различити фискални ризици који постоје услед неизвесности у вези са процесима (парнични, ванпарнични, извршни и други поступци), посебно имајући у виду и тзв. „масовне” поступке.</w:t>
      </w:r>
    </w:p>
    <w:p w14:paraId="7B53DC15" w14:textId="31D4B396"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Република Србија је по основу новчаних казни и пенала по решењу судова (економска класификација 483), као и накнаде штете за повреде или штету нанету од стране државних органа (економска кл</w:t>
      </w:r>
      <w:r w:rsidR="00872FF0" w:rsidRPr="0007074F">
        <w:rPr>
          <w:rFonts w:eastAsia="MS PGothic" w:cstheme="minorHAnsi"/>
          <w:szCs w:val="20"/>
          <w:lang w:val="sr-Cyrl-CS" w:eastAsia="ja-JP"/>
        </w:rPr>
        <w:t>асификација 485) у периоду 2009</w:t>
      </w:r>
      <w:r w:rsidRPr="0007074F">
        <w:rPr>
          <w:rFonts w:eastAsia="MS PGothic" w:cstheme="minorHAnsi"/>
          <w:szCs w:val="20"/>
          <w:lang w:val="sr-Cyrl-CS" w:eastAsia="ja-JP"/>
        </w:rPr>
        <w:t>–2020.</w:t>
      </w:r>
      <w:r w:rsidR="00872FF0" w:rsidRPr="0007074F">
        <w:rPr>
          <w:rFonts w:eastAsia="MS PGothic" w:cstheme="minorHAnsi"/>
          <w:szCs w:val="20"/>
          <w:lang w:val="sr-Cyrl-CS" w:eastAsia="ja-JP"/>
        </w:rPr>
        <w:t xml:space="preserve"> године </w:t>
      </w:r>
      <w:r w:rsidRPr="0007074F">
        <w:rPr>
          <w:rFonts w:eastAsia="MS PGothic" w:cstheme="minorHAnsi"/>
          <w:szCs w:val="20"/>
          <w:lang w:val="sr-Cyrl-CS" w:eastAsia="ja-JP"/>
        </w:rPr>
        <w:t xml:space="preserve">укупно платила 121 млрд динара. У 2021. години из буџета Републике Србије је по том основу плаћено 16,6 млрд динара, у 2022. години ови трошкови су износили 26,6 млрд </w:t>
      </w:r>
      <w:r w:rsidR="00F51AA9" w:rsidRPr="0007074F">
        <w:rPr>
          <w:rFonts w:eastAsia="MS PGothic" w:cstheme="minorHAnsi"/>
          <w:szCs w:val="20"/>
          <w:lang w:val="sr-Cyrl-CS" w:eastAsia="ja-JP"/>
        </w:rPr>
        <w:t>динара, док су за период 1.</w:t>
      </w:r>
      <w:r w:rsidR="001371F1" w:rsidRPr="0007074F">
        <w:rPr>
          <w:rFonts w:eastAsia="MS PGothic" w:cstheme="minorHAnsi"/>
          <w:szCs w:val="20"/>
          <w:lang w:val="sr-Cyrl-CS" w:eastAsia="ja-JP"/>
        </w:rPr>
        <w:t>1.–</w:t>
      </w:r>
      <w:r w:rsidR="00F51AA9" w:rsidRPr="0007074F">
        <w:rPr>
          <w:rFonts w:eastAsia="MS PGothic" w:cstheme="minorHAnsi"/>
          <w:szCs w:val="20"/>
          <w:lang w:val="sr-Cyrl-CS" w:eastAsia="ja-JP"/>
        </w:rPr>
        <w:t>31.</w:t>
      </w:r>
      <w:r w:rsidRPr="0007074F">
        <w:rPr>
          <w:rFonts w:eastAsia="MS PGothic" w:cstheme="minorHAnsi"/>
          <w:szCs w:val="20"/>
          <w:lang w:val="sr-Cyrl-CS" w:eastAsia="ja-JP"/>
        </w:rPr>
        <w:t>3.2023. године достигли ниво од 10,1 млрд динара.</w:t>
      </w:r>
    </w:p>
    <w:p w14:paraId="5B2F0056"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У циљу смањења трошкова у тзв. „буџетским” поступцима, у току 2019. године дошло је до измена Закона о извршењу и обезбеђењу („Службени гласник РС”, бр. 106/15, 106/15 – аутентично тумачење, 113/17 – аутентично тумачење и 54/19), који је ступио на снагу 1. јануара 2020. године. Чланом 300. наведеног закона, између осталог, прописано је да је извршни поверилац дужан да о намери подношења предлога за извршење писменим путем обавести министарство надлежно за финансије најкасније 30 дана пре подношења предлога за извршење, уколико се као извршни дужник појављује Република Србија, аутономна покрајна, јединица локалне самоуправе, директни или индиректни корисник буџетских средстава.</w:t>
      </w:r>
    </w:p>
    <w:p w14:paraId="352CB849"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Намера је била да се наведеном мером подстакне добровољно плаћање обавезе од стране надлежног органа, како би се избегли трошкови принудне наплате. Министарству финансија - Управи за трезор, је у 2020. години поднето 51.757 обавештења о намери подношења предлога за извршење, у 2021. години 54.270 ових обавештења, у 2022. години 49.080, а у 1. кварталу 2023. године 11.746 ових обавештења.</w:t>
      </w:r>
    </w:p>
    <w:p w14:paraId="0FA6A895"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 xml:space="preserve">Када је принудна наплата у питању, највеће учешће у овим извршењима на дан 31.12.2022. </w:t>
      </w:r>
      <w:r w:rsidRPr="0007074F">
        <w:rPr>
          <w:rFonts w:eastAsia="MS PGothic" w:cstheme="minorHAnsi"/>
          <w:szCs w:val="20"/>
          <w:lang w:val="sr-Cyrl-CS" w:eastAsia="ja-JP"/>
        </w:rPr>
        <w:t>године имају: Министарство одбране 20,5%, Министарство правде 7,9% и Министарство унутрашњих послова 7,7%.</w:t>
      </w:r>
    </w:p>
    <w:p w14:paraId="079E0A5D"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У 2023. години и даље се ради на унапређењу система за праћење фискалних ризика по основу судских поступака, пре свега у погледу унапређења прикупљања и анализе података из постојећих евиденција.</w:t>
      </w:r>
    </w:p>
    <w:p w14:paraId="55004808" w14:textId="77777777" w:rsidR="00434D5D" w:rsidRPr="0007074F" w:rsidRDefault="00434D5D" w:rsidP="00B349CD">
      <w:pPr>
        <w:rPr>
          <w:rFonts w:cstheme="minorHAnsi"/>
          <w:b/>
          <w:bCs/>
          <w:color w:val="2F5496" w:themeColor="accent1" w:themeShade="BF"/>
          <w:sz w:val="22"/>
          <w:szCs w:val="20"/>
          <w:lang w:val="sr-Cyrl-CS"/>
        </w:rPr>
      </w:pPr>
      <w:r w:rsidRPr="0007074F">
        <w:rPr>
          <w:rFonts w:cstheme="minorHAnsi"/>
          <w:b/>
          <w:bCs/>
          <w:color w:val="2F5496" w:themeColor="accent1" w:themeShade="BF"/>
          <w:sz w:val="22"/>
          <w:szCs w:val="20"/>
          <w:lang w:val="sr-Cyrl-CS"/>
        </w:rPr>
        <w:t>Остали фискални ризици</w:t>
      </w:r>
    </w:p>
    <w:p w14:paraId="06D8483B"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Поред наведених фискалних ризика постоје и друге околности које, уколико се реализују, могу довести до фискалних трошкова. Њихово идентификовање помаже сагледавању могућих утицаја на фискалну позицију земље у одређеном периоду.</w:t>
      </w:r>
    </w:p>
    <w:p w14:paraId="3257B36F" w14:textId="77777777" w:rsidR="00434D5D" w:rsidRPr="0007074F" w:rsidRDefault="00434D5D" w:rsidP="00B349CD">
      <w:pPr>
        <w:rPr>
          <w:lang w:val="sr-Cyrl-CS" w:eastAsia="ja-JP"/>
        </w:rPr>
      </w:pPr>
      <w:r w:rsidRPr="0007074F">
        <w:rPr>
          <w:lang w:val="sr-Cyrl-CS" w:eastAsia="ja-JP"/>
        </w:rPr>
        <w:t>Пословање јединица локалне самоуправе може имати фискалне импликације на буџет сектора државе. Посебним фискалним правилима за локалне самоуправе постављено је тзв. „златно правило” да је дефицит могућ само за реализацију капиталних инвестиција. Постоје и правила о висини задужености јединица локалне самоуправе, чија би доследна примена одржала стабилност јавних финансија на локалном нивоу. У пракси се дешавало да нереалним планирањем како прихода, тако и расхода дође до кумулације доспелих, а неизмирених обавеза које угрожавају функционисање појединих градова и општина.</w:t>
      </w:r>
    </w:p>
    <w:p w14:paraId="698B8569"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Како би се избегла реализација фискалних ризика по овом основу, Министарство финансија унапређује систем контроле јавних финансија локалних самоуправа у циљу поштовања постављених правила – од планирања до реализације буџета на локалном нивоу.</w:t>
      </w:r>
    </w:p>
    <w:p w14:paraId="2889F00D"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На основу Методологије за праћење фискалних ризика по буџет Републике Србије који произлазе из вршења надлежности јединица локалне самоуправе, Министарство финансија је израдило радни модел за анализу, оцену и праћење фискалних ризика, чија се примена очекује у 2023. години.</w:t>
      </w:r>
    </w:p>
    <w:p w14:paraId="4ECAF392"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 xml:space="preserve">Стално присутан ризик од елементарних непогода и природних катастрофа налаже улагања у програме превенције, како би се умањили </w:t>
      </w:r>
      <w:r w:rsidRPr="0007074F">
        <w:rPr>
          <w:rFonts w:eastAsia="MS PGothic" w:cstheme="minorHAnsi"/>
          <w:szCs w:val="20"/>
          <w:lang w:val="sr-Cyrl-CS" w:eastAsia="ja-JP"/>
        </w:rPr>
        <w:lastRenderedPageBreak/>
        <w:t>потенцијални фискални трошкови за отклањање штета насталих по том основу. Један од видова превенције је комбиновање ширег спектра финансијских инструмената, као што су резервни фондови, потенцијалне кредитне линије и осигурање имовине.</w:t>
      </w:r>
    </w:p>
    <w:p w14:paraId="5AEF0181"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Република Србија се у 2014. години суочила са катастрофалним последицама поплава, чија је укупна штета (са губицима) процењена на више од 1,7 млрд евра. Влада Републике Србије је у децембру 2014. године усвојила Национални програм за управљање ризицима од елементарних непогода, који се спроводи у сарадњи са Светском банком, Уједињеним нацијама и Европском унијом. У складу са наведеним програмом, новембра 2018. године донет је Закон о смањењу ризика од катастрофа и управљању ванредним ситуацијама („Службени гласник РС”, број 87/18). У току 2022. године Посебна радна група отпочела је процес ревидирања Стратегије смањења ризика од катастрофа и управљања ванредним ситуацијама у Републици Србији, са циљем израде новог Акционог плана за период 2022–2027. године.</w:t>
      </w:r>
    </w:p>
    <w:p w14:paraId="1E19870F" w14:textId="77777777" w:rsidR="00434D5D" w:rsidRPr="0007074F" w:rsidRDefault="00434D5D" w:rsidP="00B349CD">
      <w:pPr>
        <w:rPr>
          <w:rFonts w:eastAsia="MS PGothic" w:cstheme="minorHAnsi"/>
          <w:szCs w:val="20"/>
          <w:lang w:val="sr-Cyrl-CS" w:eastAsia="ja-JP"/>
        </w:rPr>
      </w:pPr>
      <w:r w:rsidRPr="0007074F">
        <w:rPr>
          <w:rFonts w:eastAsia="MS PGothic" w:cstheme="minorHAnsi"/>
          <w:szCs w:val="20"/>
          <w:lang w:val="sr-Cyrl-CS" w:eastAsia="ja-JP"/>
        </w:rPr>
        <w:t xml:space="preserve">Република Србија је у 2019. години платила из буџета 4,22 млрд динара на име накнаде штете за </w:t>
      </w:r>
      <w:r w:rsidRPr="0007074F">
        <w:rPr>
          <w:rFonts w:eastAsia="MS PGothic" w:cstheme="minorHAnsi"/>
          <w:szCs w:val="20"/>
          <w:lang w:val="sr-Cyrl-CS" w:eastAsia="ja-JP"/>
        </w:rPr>
        <w:t>повреде или штете настале услед елементарних непогода или других природних узрока. У току 2020. године за ову намену (економска класификација 484) издвојено је 2,87 млрд динара, док је за 2021. годину износ потрошен на ове намене смањен и износио је 520,29 милиона динара. Издвојена средства за ову намену током 2022. године износила су 263,88 милиона динара, а у првом кварталу 2023. године, за ове намене је издвојено 33,27 милиона динара (без интервенцијских средстава за ублажавање последица болести COVID-19).</w:t>
      </w:r>
    </w:p>
    <w:p w14:paraId="545F1214" w14:textId="77777777" w:rsidR="00434D5D" w:rsidRPr="0007074F" w:rsidRDefault="00434D5D" w:rsidP="00B349CD">
      <w:pPr>
        <w:rPr>
          <w:lang w:val="sr-Cyrl-CS"/>
        </w:rPr>
      </w:pPr>
      <w:r w:rsidRPr="0007074F">
        <w:rPr>
          <w:rFonts w:eastAsia="MS PGothic" w:cstheme="minorHAnsi"/>
          <w:szCs w:val="20"/>
          <w:lang w:val="sr-Cyrl-CS" w:eastAsia="ja-JP"/>
        </w:rPr>
        <w:t xml:space="preserve">Закључком Владе 05 Број: 40-9575/2021 од 21. октобра 2021. године усвојена је Јединствена методологија за праћење фискалних ризика у Републици Србији која, између осталог, обухвата и Методологију за праћење фискалних ризика који се јављају као последица елементарних непогода. У току 2022. године је, у сарадњи са Светском банком, развијен модел за процену фискалних ризика од елементарних непогода </w:t>
      </w:r>
      <w:r w:rsidRPr="0007074F">
        <w:rPr>
          <w:lang w:val="sr-Cyrl-CS"/>
        </w:rPr>
        <w:t>који процењује утицај потенцијалне елементарне непогоде на смањење пројектованог раста БДП-а, раст фискалног дефицита и последично, повећање јавног дуга.</w:t>
      </w:r>
    </w:p>
    <w:p w14:paraId="5E457BFB" w14:textId="77777777" w:rsidR="00434D5D" w:rsidRPr="0007074F" w:rsidRDefault="00434D5D" w:rsidP="00B349CD">
      <w:pPr>
        <w:rPr>
          <w:lang w:val="sr-Cyrl-CS"/>
        </w:rPr>
        <w:sectPr w:rsidR="00434D5D" w:rsidRPr="0007074F" w:rsidSect="00B349CD">
          <w:headerReference w:type="even" r:id="rId162"/>
          <w:footerReference w:type="even" r:id="rId163"/>
          <w:footerReference w:type="default" r:id="rId164"/>
          <w:headerReference w:type="first" r:id="rId165"/>
          <w:type w:val="continuous"/>
          <w:pgSz w:w="12240" w:h="15840"/>
          <w:pgMar w:top="1440" w:right="1440" w:bottom="1440" w:left="1440" w:header="720" w:footer="720" w:gutter="0"/>
          <w:cols w:num="2" w:space="720"/>
          <w:docGrid w:linePitch="360"/>
          <w15:footnoteColumns w:val="1"/>
        </w:sectPr>
      </w:pPr>
    </w:p>
    <w:p w14:paraId="2AB2298C" w14:textId="77777777" w:rsidR="00434D5D" w:rsidRPr="0007074F" w:rsidRDefault="00434D5D" w:rsidP="00B349CD">
      <w:pPr>
        <w:jc w:val="left"/>
        <w:rPr>
          <w:lang w:val="sr-Cyrl-CS"/>
        </w:rPr>
      </w:pPr>
    </w:p>
    <w:p w14:paraId="469141AB" w14:textId="77777777" w:rsidR="00434D5D" w:rsidRPr="0007074F" w:rsidRDefault="00434D5D" w:rsidP="00434D5D">
      <w:pPr>
        <w:rPr>
          <w:lang w:val="sr-Cyrl-CS" w:eastAsia="ja-JP"/>
        </w:rPr>
      </w:pPr>
      <w:r w:rsidRPr="0007074F">
        <w:rPr>
          <w:lang w:val="sr-Cyrl-CS" w:eastAsia="ja-JP"/>
        </w:rPr>
        <w:br w:type="page"/>
      </w:r>
    </w:p>
    <w:p w14:paraId="7A9C0B64" w14:textId="68042EB1" w:rsidR="00844DC9" w:rsidRPr="0007074F" w:rsidRDefault="007912B6" w:rsidP="000D3688">
      <w:pPr>
        <w:pStyle w:val="Heading2"/>
        <w:spacing w:before="0" w:after="240"/>
        <w:jc w:val="center"/>
        <w:rPr>
          <w:rFonts w:asciiTheme="minorHAnsi" w:eastAsia="MS PGothic" w:hAnsiTheme="minorHAnsi" w:cstheme="minorHAnsi"/>
          <w:b/>
          <w:sz w:val="24"/>
          <w:lang w:val="sr-Cyrl-CS" w:eastAsia="ja-JP"/>
        </w:rPr>
        <w:sectPr w:rsidR="00844DC9" w:rsidRPr="0007074F" w:rsidSect="000D3688">
          <w:headerReference w:type="even" r:id="rId166"/>
          <w:footerReference w:type="even" r:id="rId167"/>
          <w:footerReference w:type="default" r:id="rId168"/>
          <w:headerReference w:type="first" r:id="rId169"/>
          <w:type w:val="continuous"/>
          <w:pgSz w:w="12240" w:h="15840" w:code="1"/>
          <w:pgMar w:top="1440" w:right="1440" w:bottom="1440" w:left="1440" w:header="720" w:footer="720" w:gutter="0"/>
          <w:cols w:space="720"/>
          <w:titlePg/>
          <w:docGrid w:linePitch="360"/>
        </w:sectPr>
      </w:pPr>
      <w:bookmarkStart w:id="46" w:name="_Toc119654148"/>
      <w:bookmarkStart w:id="47" w:name="_Toc135994505"/>
      <w:bookmarkEnd w:id="45"/>
      <w:r w:rsidRPr="0007074F">
        <w:rPr>
          <w:rFonts w:asciiTheme="minorHAnsi" w:eastAsia="Times New Roman" w:hAnsiTheme="minorHAnsi" w:cstheme="minorHAnsi"/>
          <w:b/>
          <w:sz w:val="24"/>
          <w:lang w:val="sr-Cyrl-CS"/>
        </w:rPr>
        <w:lastRenderedPageBreak/>
        <w:t>6</w:t>
      </w:r>
      <w:r w:rsidR="00844DC9" w:rsidRPr="0007074F">
        <w:rPr>
          <w:rFonts w:asciiTheme="minorHAnsi" w:eastAsia="Times New Roman" w:hAnsiTheme="minorHAnsi" w:cstheme="minorHAnsi"/>
          <w:b/>
          <w:sz w:val="24"/>
          <w:lang w:val="sr-Cyrl-CS"/>
        </w:rPr>
        <w:t xml:space="preserve">. </w:t>
      </w:r>
      <w:r w:rsidR="00844DC9" w:rsidRPr="0007074F">
        <w:rPr>
          <w:rFonts w:asciiTheme="minorHAnsi" w:eastAsia="MS PGothic" w:hAnsiTheme="minorHAnsi" w:cstheme="minorHAnsi"/>
          <w:b/>
          <w:sz w:val="24"/>
          <w:lang w:val="sr-Cyrl-CS" w:eastAsia="ja-JP"/>
        </w:rPr>
        <w:t>Циклично прилагођени и структурни фискални биланс</w:t>
      </w:r>
      <w:bookmarkEnd w:id="46"/>
      <w:bookmarkEnd w:id="47"/>
    </w:p>
    <w:p w14:paraId="4F6DF550" w14:textId="77777777" w:rsidR="00844DC9" w:rsidRPr="0007074F" w:rsidRDefault="00844DC9" w:rsidP="00E124CF">
      <w:pPr>
        <w:spacing w:after="120"/>
        <w:rPr>
          <w:rFonts w:ascii="Calibri" w:eastAsia="MS PGothic" w:hAnsi="Calibri" w:cs="Calibri"/>
          <w:szCs w:val="20"/>
          <w:lang w:val="sr-Cyrl-CS" w:eastAsia="ja-JP"/>
        </w:rPr>
      </w:pPr>
      <w:bookmarkStart w:id="48" w:name="_Toc499650054"/>
      <w:bookmarkStart w:id="49" w:name="_Toc530635110"/>
      <w:bookmarkStart w:id="50" w:name="_Toc11155996"/>
      <w:r w:rsidRPr="0007074F">
        <w:rPr>
          <w:rFonts w:eastAsia="MS PGothic" w:cstheme="minorHAnsi"/>
          <w:szCs w:val="20"/>
          <w:lang w:val="sr-Cyrl-CS" w:eastAsia="ja-JP"/>
        </w:rPr>
        <w:t>Циклично прилагођени фискални биланс је фискални биланс из кога је искључен изоловани утицај привредног циклуса, а</w:t>
      </w:r>
      <w:r w:rsidRPr="0007074F">
        <w:rPr>
          <w:rFonts w:ascii="Calibri" w:eastAsia="MS PGothic" w:hAnsi="Calibri" w:cs="Calibri"/>
          <w:szCs w:val="20"/>
          <w:lang w:val="sr-Cyrl-CS" w:eastAsia="ja-JP"/>
        </w:rPr>
        <w:t xml:space="preserve"> идентитет од кога се полази је следећи</w:t>
      </w:r>
      <w:r w:rsidRPr="0007074F">
        <w:rPr>
          <w:rFonts w:ascii="Calibri" w:eastAsia="MS PGothic" w:hAnsi="Calibri" w:cs="Calibri"/>
          <w:szCs w:val="20"/>
          <w:vertAlign w:val="superscript"/>
          <w:lang w:val="sr-Cyrl-CS" w:eastAsia="ja-JP"/>
        </w:rPr>
        <w:footnoteReference w:id="12"/>
      </w:r>
      <w:r w:rsidRPr="0007074F">
        <w:rPr>
          <w:rFonts w:ascii="Calibri" w:eastAsia="MS PGothic" w:hAnsi="Calibri" w:cs="Calibri"/>
          <w:szCs w:val="20"/>
          <w:lang w:val="sr-Cyrl-CS" w:eastAsia="ja-JP"/>
        </w:rPr>
        <w:t>:</w:t>
      </w:r>
    </w:p>
    <w:p w14:paraId="4868CCD0" w14:textId="77777777" w:rsidR="00844DC9" w:rsidRPr="0007074F" w:rsidRDefault="00844DC9" w:rsidP="00E124CF">
      <w:pPr>
        <w:spacing w:after="120"/>
        <w:jc w:val="center"/>
        <w:rPr>
          <w:rFonts w:ascii="Calibri" w:eastAsia="MS PGothic" w:hAnsi="Calibri" w:cs="Calibri"/>
          <w:szCs w:val="20"/>
          <w:lang w:val="sr-Cyrl-CS" w:eastAsia="ja-JP"/>
        </w:rPr>
      </w:pPr>
      <w:r w:rsidRPr="0007074F">
        <w:rPr>
          <w:rFonts w:ascii="Calibri" w:eastAsia="MS PGothic" w:hAnsi="Calibri" w:cs="Calibri"/>
          <w:szCs w:val="20"/>
          <w:lang w:val="sr-Cyrl-CS" w:eastAsia="ja-JP"/>
        </w:rPr>
        <w:t>FB = CB + CAB</w:t>
      </w:r>
    </w:p>
    <w:p w14:paraId="77861DBA" w14:textId="77777777" w:rsidR="00844DC9" w:rsidRPr="0007074F" w:rsidRDefault="00844DC9" w:rsidP="00E124CF">
      <w:pPr>
        <w:spacing w:after="120"/>
        <w:rPr>
          <w:rFonts w:eastAsia="MS PGothic" w:cstheme="minorHAnsi"/>
          <w:szCs w:val="20"/>
          <w:lang w:val="sr-Cyrl-CS" w:eastAsia="ja-JP"/>
        </w:rPr>
      </w:pPr>
      <w:r w:rsidRPr="0007074F">
        <w:rPr>
          <w:rFonts w:ascii="Calibri" w:eastAsia="MS PGothic" w:hAnsi="Calibri" w:cs="Calibri"/>
          <w:szCs w:val="20"/>
          <w:lang w:val="sr-Cyrl-CS" w:eastAsia="ja-JP"/>
        </w:rPr>
        <w:t>Део фискалног биланса (FB)</w:t>
      </w:r>
      <w:r w:rsidRPr="0007074F">
        <w:rPr>
          <w:rFonts w:ascii="Calibri" w:eastAsia="MS PGothic" w:hAnsi="Calibri" w:cs="Calibri"/>
          <w:i/>
          <w:szCs w:val="20"/>
          <w:lang w:val="sr-Cyrl-CS" w:eastAsia="ja-JP"/>
        </w:rPr>
        <w:t xml:space="preserve"> </w:t>
      </w:r>
      <w:r w:rsidRPr="0007074F">
        <w:rPr>
          <w:rFonts w:ascii="Calibri" w:eastAsia="MS PGothic" w:hAnsi="Calibri" w:cs="Calibri"/>
          <w:szCs w:val="20"/>
          <w:lang w:val="sr-Cyrl-CS" w:eastAsia="ja-JP"/>
        </w:rPr>
        <w:t>који није под утицајем цикличних флуктуација назива се циклично прилагођени фискални биланс (CAB),</w:t>
      </w:r>
      <w:r w:rsidRPr="0007074F">
        <w:rPr>
          <w:rFonts w:ascii="Calibri" w:eastAsia="MS PGothic" w:hAnsi="Calibri" w:cs="Calibri"/>
          <w:i/>
          <w:szCs w:val="20"/>
          <w:lang w:val="sr-Cyrl-CS" w:eastAsia="ja-JP"/>
        </w:rPr>
        <w:t xml:space="preserve"> </w:t>
      </w:r>
      <w:r w:rsidRPr="0007074F">
        <w:rPr>
          <w:rFonts w:ascii="Calibri" w:eastAsia="MS PGothic" w:hAnsi="Calibri" w:cs="Calibri"/>
          <w:szCs w:val="20"/>
          <w:lang w:val="sr-Cyrl-CS" w:eastAsia="ja-JP"/>
        </w:rPr>
        <w:t xml:space="preserve">а циљ ове процедуре је изоловање цикличне компоненте </w:t>
      </w:r>
      <w:r w:rsidRPr="0007074F">
        <w:rPr>
          <w:rFonts w:eastAsia="MS PGothic" w:cstheme="minorHAnsi"/>
          <w:szCs w:val="20"/>
          <w:lang w:val="sr-Cyrl-CS" w:eastAsia="ja-JP"/>
        </w:rPr>
        <w:t>фискалног биланса (CB) која је резултат дејства производног јаза. Стварни фискални биланс биће једнак циклично прилагођеном у случају да је производни јаз једнак нули, тј. ако је стопа раста реалног БДП једнака потенцијалној. Структурни фискални биланс се даље рачунски добија елиминацијом једнократних ефеката на приходној и расходној страни, и тако показује структурну (трајну) фискалну позицију.</w:t>
      </w:r>
    </w:p>
    <w:p w14:paraId="6F2F646D" w14:textId="77777777" w:rsidR="00844DC9" w:rsidRPr="0007074F" w:rsidRDefault="00844DC9" w:rsidP="00E124CF">
      <w:pPr>
        <w:spacing w:after="120"/>
        <w:rPr>
          <w:rFonts w:eastAsia="MS PGothic" w:cstheme="minorHAnsi"/>
          <w:szCs w:val="20"/>
          <w:lang w:val="sr-Cyrl-CS" w:eastAsia="ja-JP"/>
        </w:rPr>
      </w:pPr>
      <w:r w:rsidRPr="0007074F">
        <w:rPr>
          <w:rFonts w:ascii="Calibri" w:eastAsia="MS PGothic" w:hAnsi="Calibri" w:cs="Calibri"/>
          <w:szCs w:val="20"/>
          <w:lang w:val="sr-Cyrl-CS" w:eastAsia="ja-JP"/>
        </w:rPr>
        <w:t>Ф</w:t>
      </w:r>
      <w:r w:rsidRPr="0007074F">
        <w:rPr>
          <w:rFonts w:eastAsia="MS PGothic" w:cstheme="minorHAnsi"/>
          <w:szCs w:val="20"/>
          <w:lang w:val="sr-Cyrl-CS" w:eastAsia="ja-JP"/>
        </w:rPr>
        <w:t>искални простор креиран у претходном периоду и значајно структурно унапређена фискална позиција земље, омогућили су релаксацију фискалне политике у кризним временима.</w:t>
      </w:r>
    </w:p>
    <w:p w14:paraId="082C8D2E" w14:textId="6F5A2ED7" w:rsidR="00844DC9" w:rsidRPr="0007074F" w:rsidRDefault="00844DC9" w:rsidP="000D3688">
      <w:pPr>
        <w:spacing w:after="120"/>
        <w:rPr>
          <w:rFonts w:ascii="Calibri" w:eastAsia="Calibri" w:hAnsi="Calibri" w:cs="Calibri"/>
          <w:szCs w:val="20"/>
          <w:lang w:val="sr-Cyrl-CS"/>
        </w:rPr>
      </w:pPr>
      <w:r w:rsidRPr="0007074F">
        <w:rPr>
          <w:rFonts w:ascii="Calibri" w:eastAsia="MS PGothic" w:hAnsi="Calibri" w:cs="Calibri"/>
          <w:spacing w:val="-2"/>
          <w:szCs w:val="20"/>
          <w:lang w:val="sr-Cyrl-CS" w:eastAsia="ja-JP"/>
        </w:rPr>
        <w:t xml:space="preserve">Избијањем пандемије COVID-19 почетком 2020. године и увођењем мера за здравствену заштиту становништва, глобална економија је ушла у кризу без преседана. </w:t>
      </w:r>
      <w:r w:rsidRPr="0007074F">
        <w:rPr>
          <w:rFonts w:ascii="Calibri" w:eastAsia="Calibri" w:hAnsi="Calibri" w:cs="Calibri"/>
          <w:szCs w:val="20"/>
          <w:lang w:val="sr-Cyrl-CS"/>
        </w:rPr>
        <w:t>Утицај на фискалну позицију је био видљив кроз смањене прихода буџета, који су последица успоравања економске активности услед пандемије, и драматично већих расхода условљених већим трошковима здравствене заштите и доношењем обимног пакета помоћи привреди и грађанима. У таквој ситуацији, уобичајена анализа привредног циклуса, квантификација фискалних мултипликатора и оцена еластичности фискалног баланса у односу на производни јаз не даје сасвим коректне оцене фискалне позиције земље.</w:t>
      </w:r>
      <w:r w:rsidRPr="0007074F">
        <w:rPr>
          <w:rFonts w:ascii="Calibri" w:eastAsia="Calibri" w:hAnsi="Calibri" w:cs="Calibri"/>
          <w:spacing w:val="-2"/>
          <w:szCs w:val="20"/>
          <w:lang w:val="sr-Cyrl-CS"/>
        </w:rPr>
        <w:t xml:space="preserve"> </w:t>
      </w:r>
      <w:r w:rsidRPr="0007074F">
        <w:rPr>
          <w:rFonts w:ascii="Calibri" w:eastAsia="Calibri" w:hAnsi="Calibri" w:cs="Calibri"/>
          <w:szCs w:val="20"/>
          <w:lang w:val="sr-Cyrl-CS"/>
        </w:rPr>
        <w:t>Одговор фискалне политике на сложену економску ситуацију узроковану пандемијом коронавируса у 2020. и 2021. години, представљен је опсежним пакетом мера помоћи привреди. У случају одсуства мера подршке привреди и становништву</w:t>
      </w:r>
      <w:r w:rsidR="00E43688" w:rsidRPr="0007074F">
        <w:rPr>
          <w:rFonts w:ascii="Calibri" w:eastAsia="Calibri" w:hAnsi="Calibri" w:cs="Calibri"/>
          <w:szCs w:val="20"/>
          <w:lang w:val="sr-Cyrl-CS"/>
        </w:rPr>
        <w:t xml:space="preserve"> благ</w:t>
      </w:r>
      <w:r w:rsidRPr="0007074F">
        <w:rPr>
          <w:rFonts w:ascii="Calibri" w:eastAsia="Calibri" w:hAnsi="Calibri" w:cs="Calibri"/>
          <w:szCs w:val="20"/>
          <w:lang w:val="sr-Cyrl-CS"/>
        </w:rPr>
        <w:t xml:space="preserve"> пад БДП у 2020. години и снажан опоравак током 2021. године би изостао, а већа контракција привреде би утицала на знатно спорији опоравак у наредном средњорочном периоду.</w:t>
      </w:r>
    </w:p>
    <w:p w14:paraId="3030E0A0" w14:textId="77777777" w:rsidR="00844DC9" w:rsidRPr="0007074F" w:rsidRDefault="00844DC9" w:rsidP="00E124CF">
      <w:pPr>
        <w:spacing w:after="120"/>
        <w:rPr>
          <w:rFonts w:ascii="Calibri" w:eastAsia="Calibri" w:hAnsi="Calibri" w:cs="Calibri"/>
          <w:szCs w:val="20"/>
          <w:lang w:val="sr-Cyrl-CS"/>
        </w:rPr>
        <w:sectPr w:rsidR="00844DC9" w:rsidRPr="0007074F" w:rsidSect="000D3688">
          <w:type w:val="continuous"/>
          <w:pgSz w:w="12240" w:h="15840" w:code="1"/>
          <w:pgMar w:top="1417" w:right="1417" w:bottom="1417" w:left="1417" w:header="720" w:footer="720" w:gutter="0"/>
          <w:cols w:num="2" w:space="720"/>
          <w15:footnoteColumns w:val="1"/>
        </w:sectPr>
      </w:pPr>
    </w:p>
    <w:p w14:paraId="5E261577" w14:textId="77777777" w:rsidR="00844DC9" w:rsidRPr="0007074F" w:rsidRDefault="00844DC9" w:rsidP="00E124CF">
      <w:pPr>
        <w:jc w:val="left"/>
        <w:rPr>
          <w:rFonts w:ascii="Calibri" w:eastAsia="MS PGothic" w:hAnsi="Calibri" w:cs="Calibri"/>
          <w:b/>
          <w:bCs/>
          <w:lang w:val="sr-Cyrl-CS"/>
        </w:rPr>
      </w:pPr>
    </w:p>
    <w:p w14:paraId="76127109" w14:textId="77777777" w:rsidR="00844DC9" w:rsidRPr="0007074F" w:rsidRDefault="00844DC9" w:rsidP="000D3688">
      <w:pPr>
        <w:rPr>
          <w:lang w:val="sr-Cyrl-CS"/>
        </w:rPr>
      </w:pPr>
      <w:r w:rsidRPr="0007074F">
        <w:rPr>
          <w:lang w:val="sr-Cyrl-CS"/>
        </w:rPr>
        <w:br w:type="page"/>
      </w:r>
    </w:p>
    <w:p w14:paraId="3C875B4F" w14:textId="77777777" w:rsidR="00844DC9" w:rsidRPr="0007074F" w:rsidRDefault="00844DC9" w:rsidP="00E124CF">
      <w:pPr>
        <w:jc w:val="center"/>
        <w:rPr>
          <w:rFonts w:ascii="Calibri" w:eastAsia="MS PGothic" w:hAnsi="Calibri" w:cs="Calibri"/>
          <w:b/>
          <w:bCs/>
          <w:color w:val="002060"/>
          <w:lang w:val="sr-Cyrl-CS"/>
        </w:rPr>
      </w:pPr>
      <w:r w:rsidRPr="0007074F">
        <w:rPr>
          <w:rFonts w:ascii="Calibri" w:eastAsia="MS PGothic" w:hAnsi="Calibri" w:cs="Calibri"/>
          <w:b/>
          <w:bCs/>
          <w:color w:val="002060"/>
          <w:lang w:val="sr-Cyrl-CS"/>
        </w:rPr>
        <w:lastRenderedPageBreak/>
        <w:t xml:space="preserve">Табела 19. Фискални биланс и компоненте за обрачун циклично прилагођеног биланса </w:t>
      </w:r>
      <w:r w:rsidRPr="0007074F">
        <w:rPr>
          <w:rFonts w:ascii="Calibri" w:eastAsia="MS PGothic" w:hAnsi="Calibri" w:cs="Calibri"/>
          <w:b/>
          <w:bCs/>
          <w:color w:val="002060"/>
          <w:lang w:val="sr-Cyrl-CS"/>
        </w:rPr>
        <w:br w:type="textWrapping" w:clear="all"/>
        <w:t>у периоду 2005–2026. године, % БДП*</w:t>
      </w:r>
    </w:p>
    <w:tbl>
      <w:tblPr>
        <w:tblStyle w:val="LightShading-Accent337"/>
        <w:tblpPr w:leftFromText="180" w:rightFromText="180" w:vertAnchor="text" w:horzAnchor="margin" w:tblpXSpec="center" w:tblpY="28"/>
        <w:tblW w:w="4914" w:type="pct"/>
        <w:tblLook w:val="04A0" w:firstRow="1" w:lastRow="0" w:firstColumn="1" w:lastColumn="0" w:noHBand="0" w:noVBand="1"/>
      </w:tblPr>
      <w:tblGrid>
        <w:gridCol w:w="683"/>
        <w:gridCol w:w="1061"/>
        <w:gridCol w:w="1056"/>
        <w:gridCol w:w="1058"/>
        <w:gridCol w:w="1106"/>
        <w:gridCol w:w="1106"/>
        <w:gridCol w:w="1058"/>
        <w:gridCol w:w="1058"/>
        <w:gridCol w:w="1058"/>
      </w:tblGrid>
      <w:tr w:rsidR="00844DC9" w:rsidRPr="0007074F" w14:paraId="7F32C431" w14:textId="77777777" w:rsidTr="000D3688">
        <w:trPr>
          <w:cnfStyle w:val="100000000000" w:firstRow="1" w:lastRow="0" w:firstColumn="0" w:lastColumn="0" w:oddVBand="0" w:evenVBand="0" w:oddHBand="0" w:evenHBand="0" w:firstRowFirstColumn="0" w:firstRowLastColumn="0" w:lastRowFirstColumn="0" w:lastRowLastColumn="0"/>
          <w:trHeight w:val="731"/>
        </w:trPr>
        <w:tc>
          <w:tcPr>
            <w:cnfStyle w:val="001000000000" w:firstRow="0" w:lastRow="0" w:firstColumn="1" w:lastColumn="0" w:oddVBand="0" w:evenVBand="0" w:oddHBand="0" w:evenHBand="0" w:firstRowFirstColumn="0" w:firstRowLastColumn="0" w:lastRowFirstColumn="0" w:lastRowLastColumn="0"/>
            <w:tcW w:w="369" w:type="pct"/>
            <w:tcBorders>
              <w:top w:val="single" w:sz="4" w:space="0" w:color="002060"/>
              <w:bottom w:val="single" w:sz="4" w:space="0" w:color="002060"/>
            </w:tcBorders>
            <w:noWrap/>
            <w:hideMark/>
          </w:tcPr>
          <w:p w14:paraId="2FC6B50D" w14:textId="77777777" w:rsidR="00844DC9" w:rsidRPr="0007074F" w:rsidRDefault="00844DC9" w:rsidP="00E124CF">
            <w:pPr>
              <w:spacing w:line="256" w:lineRule="auto"/>
              <w:rPr>
                <w:rFonts w:ascii="Calibri" w:eastAsia="MS PGothic" w:hAnsi="Calibri" w:cs="Calibri"/>
                <w:color w:val="002060"/>
                <w:sz w:val="18"/>
                <w:szCs w:val="18"/>
                <w:lang w:val="sr-Cyrl-CS" w:eastAsia="ja-JP"/>
              </w:rPr>
            </w:pPr>
          </w:p>
        </w:tc>
        <w:tc>
          <w:tcPr>
            <w:tcW w:w="574" w:type="pct"/>
            <w:tcBorders>
              <w:top w:val="single" w:sz="4" w:space="0" w:color="002060"/>
              <w:bottom w:val="single" w:sz="4" w:space="0" w:color="002060"/>
            </w:tcBorders>
          </w:tcPr>
          <w:p w14:paraId="751C74E8" w14:textId="77777777" w:rsidR="00844DC9" w:rsidRPr="0007074F" w:rsidRDefault="00844DC9"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Производни јаз</w:t>
            </w:r>
          </w:p>
        </w:tc>
        <w:tc>
          <w:tcPr>
            <w:tcW w:w="571" w:type="pct"/>
            <w:tcBorders>
              <w:top w:val="single" w:sz="4" w:space="0" w:color="002060"/>
              <w:bottom w:val="single" w:sz="4" w:space="0" w:color="002060"/>
            </w:tcBorders>
            <w:hideMark/>
          </w:tcPr>
          <w:p w14:paraId="5FBDE988" w14:textId="77777777" w:rsidR="00844DC9" w:rsidRPr="0007074F" w:rsidRDefault="00844DC9"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 xml:space="preserve">Фискални </w:t>
            </w:r>
            <w:r w:rsidRPr="0007074F">
              <w:rPr>
                <w:rFonts w:ascii="Calibri" w:hAnsi="Calibri" w:cs="Calibri"/>
                <w:b w:val="0"/>
                <w:color w:val="002060"/>
                <w:sz w:val="16"/>
                <w:szCs w:val="16"/>
                <w:lang w:val="sr-Cyrl-CS"/>
              </w:rPr>
              <w:br/>
              <w:t>биланс</w:t>
            </w:r>
          </w:p>
        </w:tc>
        <w:tc>
          <w:tcPr>
            <w:tcW w:w="572" w:type="pct"/>
            <w:tcBorders>
              <w:top w:val="single" w:sz="4" w:space="0" w:color="002060"/>
              <w:bottom w:val="single" w:sz="4" w:space="0" w:color="002060"/>
            </w:tcBorders>
            <w:hideMark/>
          </w:tcPr>
          <w:p w14:paraId="13B4ECFC" w14:textId="77777777" w:rsidR="00844DC9" w:rsidRPr="0007074F" w:rsidRDefault="00844DC9"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Примарни фискални биланс</w:t>
            </w:r>
          </w:p>
        </w:tc>
        <w:tc>
          <w:tcPr>
            <w:tcW w:w="598" w:type="pct"/>
            <w:tcBorders>
              <w:top w:val="single" w:sz="4" w:space="0" w:color="002060"/>
              <w:bottom w:val="single" w:sz="4" w:space="0" w:color="002060"/>
            </w:tcBorders>
            <w:hideMark/>
          </w:tcPr>
          <w:p w14:paraId="1EF44C93" w14:textId="77777777" w:rsidR="00844DC9" w:rsidRPr="0007074F" w:rsidRDefault="00844DC9"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 xml:space="preserve">Циклично </w:t>
            </w:r>
            <w:r w:rsidRPr="0007074F">
              <w:rPr>
                <w:rFonts w:ascii="Calibri" w:hAnsi="Calibri" w:cs="Calibri"/>
                <w:b w:val="0"/>
                <w:color w:val="002060"/>
                <w:sz w:val="16"/>
                <w:szCs w:val="16"/>
                <w:lang w:val="sr-Cyrl-CS"/>
              </w:rPr>
              <w:br/>
              <w:t>прилагођени фискални биланс</w:t>
            </w:r>
          </w:p>
        </w:tc>
        <w:tc>
          <w:tcPr>
            <w:tcW w:w="598" w:type="pct"/>
            <w:tcBorders>
              <w:top w:val="single" w:sz="4" w:space="0" w:color="002060"/>
              <w:bottom w:val="single" w:sz="4" w:space="0" w:color="002060"/>
            </w:tcBorders>
            <w:hideMark/>
          </w:tcPr>
          <w:p w14:paraId="1D2A72C1" w14:textId="77777777" w:rsidR="00844DC9" w:rsidRPr="0007074F" w:rsidRDefault="00844DC9"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 xml:space="preserve">Циклично </w:t>
            </w:r>
            <w:r w:rsidRPr="0007074F">
              <w:rPr>
                <w:rFonts w:ascii="Calibri" w:hAnsi="Calibri" w:cs="Calibri"/>
                <w:b w:val="0"/>
                <w:color w:val="002060"/>
                <w:sz w:val="16"/>
                <w:szCs w:val="16"/>
                <w:lang w:val="sr-Cyrl-CS"/>
              </w:rPr>
              <w:br/>
              <w:t>прилагођени примарни фискални биланс</w:t>
            </w:r>
          </w:p>
        </w:tc>
        <w:tc>
          <w:tcPr>
            <w:tcW w:w="572" w:type="pct"/>
            <w:tcBorders>
              <w:top w:val="single" w:sz="4" w:space="0" w:color="002060"/>
              <w:bottom w:val="single" w:sz="4" w:space="0" w:color="002060"/>
            </w:tcBorders>
          </w:tcPr>
          <w:p w14:paraId="0081174E" w14:textId="77777777" w:rsidR="00844DC9" w:rsidRPr="0007074F" w:rsidRDefault="00844DC9"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Структурни фискални биланс</w:t>
            </w:r>
          </w:p>
        </w:tc>
        <w:tc>
          <w:tcPr>
            <w:tcW w:w="572" w:type="pct"/>
            <w:tcBorders>
              <w:top w:val="single" w:sz="4" w:space="0" w:color="002060"/>
              <w:bottom w:val="single" w:sz="4" w:space="0" w:color="002060"/>
            </w:tcBorders>
            <w:hideMark/>
          </w:tcPr>
          <w:p w14:paraId="7367BFDC" w14:textId="77777777" w:rsidR="00844DC9" w:rsidRPr="0007074F" w:rsidRDefault="00844DC9"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Структурни примарни фискални биланс**</w:t>
            </w:r>
          </w:p>
        </w:tc>
        <w:tc>
          <w:tcPr>
            <w:tcW w:w="572" w:type="pct"/>
            <w:tcBorders>
              <w:top w:val="single" w:sz="4" w:space="0" w:color="002060"/>
              <w:bottom w:val="single" w:sz="4" w:space="0" w:color="002060"/>
            </w:tcBorders>
            <w:hideMark/>
          </w:tcPr>
          <w:p w14:paraId="6E38416C" w14:textId="77777777" w:rsidR="00844DC9" w:rsidRPr="0007074F" w:rsidRDefault="00844DC9"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Фискални импулс</w:t>
            </w:r>
          </w:p>
        </w:tc>
      </w:tr>
      <w:tr w:rsidR="00844DC9" w:rsidRPr="0007074F" w14:paraId="172FE860"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single" w:sz="4" w:space="0" w:color="002060"/>
              <w:bottom w:val="nil"/>
            </w:tcBorders>
            <w:shd w:val="clear" w:color="auto" w:fill="FFFFFF" w:themeFill="background1"/>
            <w:noWrap/>
            <w:hideMark/>
          </w:tcPr>
          <w:p w14:paraId="599D84A9"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2005</w:t>
            </w:r>
          </w:p>
        </w:tc>
        <w:tc>
          <w:tcPr>
            <w:tcW w:w="574" w:type="pct"/>
            <w:tcBorders>
              <w:top w:val="single" w:sz="4" w:space="0" w:color="002060"/>
              <w:bottom w:val="nil"/>
            </w:tcBorders>
            <w:shd w:val="clear" w:color="auto" w:fill="FFFFFF" w:themeFill="background1"/>
          </w:tcPr>
          <w:p w14:paraId="0AF720CA"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0,0</w:t>
            </w:r>
          </w:p>
        </w:tc>
        <w:tc>
          <w:tcPr>
            <w:tcW w:w="571" w:type="pct"/>
            <w:tcBorders>
              <w:top w:val="single" w:sz="4" w:space="0" w:color="002060"/>
              <w:bottom w:val="nil"/>
            </w:tcBorders>
            <w:shd w:val="clear" w:color="auto" w:fill="FFFFFF" w:themeFill="background1"/>
            <w:hideMark/>
          </w:tcPr>
          <w:p w14:paraId="45B18D3F"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c>
          <w:tcPr>
            <w:tcW w:w="572" w:type="pct"/>
            <w:tcBorders>
              <w:top w:val="single" w:sz="4" w:space="0" w:color="002060"/>
              <w:bottom w:val="nil"/>
            </w:tcBorders>
            <w:shd w:val="clear" w:color="auto" w:fill="FFFFFF" w:themeFill="background1"/>
            <w:hideMark/>
          </w:tcPr>
          <w:p w14:paraId="478475A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2,0</w:t>
            </w:r>
          </w:p>
        </w:tc>
        <w:tc>
          <w:tcPr>
            <w:tcW w:w="598" w:type="pct"/>
            <w:tcBorders>
              <w:top w:val="single" w:sz="4" w:space="0" w:color="002060"/>
              <w:bottom w:val="nil"/>
            </w:tcBorders>
            <w:shd w:val="clear" w:color="auto" w:fill="FFFFFF" w:themeFill="background1"/>
            <w:noWrap/>
            <w:hideMark/>
          </w:tcPr>
          <w:p w14:paraId="3FA1E08E"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c>
          <w:tcPr>
            <w:tcW w:w="598" w:type="pct"/>
            <w:tcBorders>
              <w:top w:val="single" w:sz="4" w:space="0" w:color="002060"/>
              <w:bottom w:val="nil"/>
            </w:tcBorders>
            <w:shd w:val="clear" w:color="auto" w:fill="FFFFFF" w:themeFill="background1"/>
            <w:noWrap/>
            <w:hideMark/>
          </w:tcPr>
          <w:p w14:paraId="40308878"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2,0</w:t>
            </w:r>
          </w:p>
        </w:tc>
        <w:tc>
          <w:tcPr>
            <w:tcW w:w="572" w:type="pct"/>
            <w:tcBorders>
              <w:top w:val="single" w:sz="4" w:space="0" w:color="002060"/>
              <w:bottom w:val="nil"/>
            </w:tcBorders>
            <w:shd w:val="clear" w:color="auto" w:fill="FFFFFF" w:themeFill="background1"/>
          </w:tcPr>
          <w:p w14:paraId="20F0381D"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1,3</w:t>
            </w:r>
          </w:p>
        </w:tc>
        <w:tc>
          <w:tcPr>
            <w:tcW w:w="572" w:type="pct"/>
            <w:tcBorders>
              <w:top w:val="single" w:sz="4" w:space="0" w:color="002060"/>
              <w:bottom w:val="nil"/>
            </w:tcBorders>
            <w:shd w:val="clear" w:color="auto" w:fill="FFFFFF" w:themeFill="background1"/>
            <w:noWrap/>
            <w:hideMark/>
          </w:tcPr>
          <w:p w14:paraId="3AA5862E"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2,2</w:t>
            </w:r>
          </w:p>
        </w:tc>
        <w:tc>
          <w:tcPr>
            <w:tcW w:w="572" w:type="pct"/>
            <w:tcBorders>
              <w:top w:val="single" w:sz="4" w:space="0" w:color="002060"/>
              <w:bottom w:val="nil"/>
            </w:tcBorders>
            <w:shd w:val="clear" w:color="auto" w:fill="FFFFFF" w:themeFill="background1"/>
            <w:noWrap/>
            <w:hideMark/>
          </w:tcPr>
          <w:p w14:paraId="7B195DC9"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p>
        </w:tc>
      </w:tr>
      <w:tr w:rsidR="00844DC9" w:rsidRPr="0007074F" w14:paraId="6BD223B3"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hideMark/>
          </w:tcPr>
          <w:p w14:paraId="23F26432"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2006</w:t>
            </w:r>
          </w:p>
        </w:tc>
        <w:tc>
          <w:tcPr>
            <w:tcW w:w="574" w:type="pct"/>
            <w:tcBorders>
              <w:top w:val="nil"/>
              <w:left w:val="nil"/>
              <w:bottom w:val="nil"/>
              <w:right w:val="nil"/>
            </w:tcBorders>
            <w:shd w:val="clear" w:color="auto" w:fill="FFFFFF" w:themeFill="background1"/>
          </w:tcPr>
          <w:p w14:paraId="24FAAA48"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-2,7</w:t>
            </w:r>
          </w:p>
        </w:tc>
        <w:tc>
          <w:tcPr>
            <w:tcW w:w="571" w:type="pct"/>
            <w:tcBorders>
              <w:top w:val="nil"/>
              <w:left w:val="nil"/>
              <w:bottom w:val="nil"/>
              <w:right w:val="nil"/>
            </w:tcBorders>
            <w:shd w:val="clear" w:color="auto" w:fill="FFFFFF" w:themeFill="background1"/>
            <w:hideMark/>
          </w:tcPr>
          <w:p w14:paraId="3F635703"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-1,4</w:t>
            </w:r>
          </w:p>
        </w:tc>
        <w:tc>
          <w:tcPr>
            <w:tcW w:w="572" w:type="pct"/>
            <w:tcBorders>
              <w:top w:val="nil"/>
              <w:left w:val="nil"/>
              <w:bottom w:val="nil"/>
              <w:right w:val="nil"/>
            </w:tcBorders>
            <w:shd w:val="clear" w:color="auto" w:fill="FFFFFF" w:themeFill="background1"/>
            <w:hideMark/>
          </w:tcPr>
          <w:p w14:paraId="610DD32C"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-0,1</w:t>
            </w:r>
          </w:p>
        </w:tc>
        <w:tc>
          <w:tcPr>
            <w:tcW w:w="598" w:type="pct"/>
            <w:tcBorders>
              <w:top w:val="nil"/>
              <w:left w:val="nil"/>
              <w:bottom w:val="nil"/>
              <w:right w:val="nil"/>
            </w:tcBorders>
            <w:shd w:val="clear" w:color="auto" w:fill="FFFFFF" w:themeFill="background1"/>
            <w:noWrap/>
            <w:hideMark/>
          </w:tcPr>
          <w:p w14:paraId="6A6B2AF4"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-0,5</w:t>
            </w:r>
          </w:p>
        </w:tc>
        <w:tc>
          <w:tcPr>
            <w:tcW w:w="598" w:type="pct"/>
            <w:tcBorders>
              <w:top w:val="nil"/>
              <w:left w:val="nil"/>
              <w:bottom w:val="nil"/>
              <w:right w:val="nil"/>
            </w:tcBorders>
            <w:shd w:val="clear" w:color="auto" w:fill="FFFFFF" w:themeFill="background1"/>
            <w:noWrap/>
            <w:hideMark/>
          </w:tcPr>
          <w:p w14:paraId="2C5BC907"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0,8</w:t>
            </w:r>
          </w:p>
        </w:tc>
        <w:tc>
          <w:tcPr>
            <w:tcW w:w="572" w:type="pct"/>
            <w:tcBorders>
              <w:top w:val="nil"/>
              <w:left w:val="nil"/>
              <w:bottom w:val="nil"/>
              <w:right w:val="nil"/>
            </w:tcBorders>
            <w:shd w:val="clear" w:color="auto" w:fill="FFFFFF" w:themeFill="background1"/>
          </w:tcPr>
          <w:p w14:paraId="583BEB1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0,2</w:t>
            </w:r>
          </w:p>
        </w:tc>
        <w:tc>
          <w:tcPr>
            <w:tcW w:w="572" w:type="pct"/>
            <w:tcBorders>
              <w:top w:val="nil"/>
              <w:left w:val="nil"/>
              <w:bottom w:val="nil"/>
              <w:right w:val="nil"/>
            </w:tcBorders>
            <w:shd w:val="clear" w:color="auto" w:fill="FFFFFF" w:themeFill="background1"/>
            <w:noWrap/>
            <w:hideMark/>
          </w:tcPr>
          <w:p w14:paraId="0DB660CB"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1,5</w:t>
            </w:r>
          </w:p>
        </w:tc>
        <w:tc>
          <w:tcPr>
            <w:tcW w:w="572" w:type="pct"/>
            <w:tcBorders>
              <w:top w:val="nil"/>
              <w:left w:val="nil"/>
              <w:bottom w:val="nil"/>
              <w:right w:val="nil"/>
            </w:tcBorders>
            <w:shd w:val="clear" w:color="auto" w:fill="FFFFFF" w:themeFill="background1"/>
            <w:noWrap/>
            <w:hideMark/>
          </w:tcPr>
          <w:p w14:paraId="28AC0F42"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r>
      <w:tr w:rsidR="00844DC9" w:rsidRPr="0007074F" w14:paraId="2566F405"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77B08A3A"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2007</w:t>
            </w:r>
          </w:p>
        </w:tc>
        <w:tc>
          <w:tcPr>
            <w:tcW w:w="574" w:type="pct"/>
            <w:tcBorders>
              <w:top w:val="nil"/>
              <w:bottom w:val="nil"/>
            </w:tcBorders>
            <w:shd w:val="clear" w:color="auto" w:fill="FFFFFF" w:themeFill="background1"/>
          </w:tcPr>
          <w:p w14:paraId="4AB3CB2E"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0,8</w:t>
            </w:r>
          </w:p>
        </w:tc>
        <w:tc>
          <w:tcPr>
            <w:tcW w:w="571" w:type="pct"/>
            <w:tcBorders>
              <w:top w:val="nil"/>
              <w:bottom w:val="nil"/>
            </w:tcBorders>
            <w:shd w:val="clear" w:color="auto" w:fill="FFFFFF" w:themeFill="background1"/>
            <w:hideMark/>
          </w:tcPr>
          <w:p w14:paraId="6E86842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-1,8</w:t>
            </w:r>
          </w:p>
        </w:tc>
        <w:tc>
          <w:tcPr>
            <w:tcW w:w="572" w:type="pct"/>
            <w:tcBorders>
              <w:top w:val="nil"/>
              <w:bottom w:val="nil"/>
            </w:tcBorders>
            <w:shd w:val="clear" w:color="auto" w:fill="FFFFFF" w:themeFill="background1"/>
            <w:hideMark/>
          </w:tcPr>
          <w:p w14:paraId="3988508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c>
          <w:tcPr>
            <w:tcW w:w="598" w:type="pct"/>
            <w:tcBorders>
              <w:top w:val="nil"/>
              <w:bottom w:val="nil"/>
            </w:tcBorders>
            <w:shd w:val="clear" w:color="auto" w:fill="FFFFFF" w:themeFill="background1"/>
            <w:hideMark/>
          </w:tcPr>
          <w:p w14:paraId="3D85A01C"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-2,1</w:t>
            </w:r>
          </w:p>
        </w:tc>
        <w:tc>
          <w:tcPr>
            <w:tcW w:w="598" w:type="pct"/>
            <w:tcBorders>
              <w:top w:val="nil"/>
              <w:bottom w:val="nil"/>
            </w:tcBorders>
            <w:shd w:val="clear" w:color="auto" w:fill="FFFFFF" w:themeFill="background1"/>
            <w:noWrap/>
            <w:hideMark/>
          </w:tcPr>
          <w:p w14:paraId="4A5C28F0"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-1,5</w:t>
            </w:r>
          </w:p>
        </w:tc>
        <w:tc>
          <w:tcPr>
            <w:tcW w:w="572" w:type="pct"/>
            <w:tcBorders>
              <w:top w:val="nil"/>
              <w:bottom w:val="nil"/>
            </w:tcBorders>
            <w:shd w:val="clear" w:color="auto" w:fill="FFFFFF" w:themeFill="background1"/>
          </w:tcPr>
          <w:p w14:paraId="4C9B6610"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-1,7</w:t>
            </w:r>
          </w:p>
        </w:tc>
        <w:tc>
          <w:tcPr>
            <w:tcW w:w="572" w:type="pct"/>
            <w:tcBorders>
              <w:top w:val="nil"/>
              <w:bottom w:val="nil"/>
            </w:tcBorders>
            <w:shd w:val="clear" w:color="auto" w:fill="FFFFFF" w:themeFill="background1"/>
            <w:noWrap/>
            <w:hideMark/>
          </w:tcPr>
          <w:p w14:paraId="00A75CB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c>
          <w:tcPr>
            <w:tcW w:w="572" w:type="pct"/>
            <w:tcBorders>
              <w:top w:val="nil"/>
              <w:bottom w:val="nil"/>
            </w:tcBorders>
            <w:shd w:val="clear" w:color="auto" w:fill="FFFFFF" w:themeFill="background1"/>
            <w:noWrap/>
            <w:hideMark/>
          </w:tcPr>
          <w:p w14:paraId="2F9C9759"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2,3</w:t>
            </w:r>
          </w:p>
        </w:tc>
      </w:tr>
      <w:tr w:rsidR="00844DC9" w:rsidRPr="0007074F" w14:paraId="751AFDCA"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hideMark/>
          </w:tcPr>
          <w:p w14:paraId="79AC3C1E"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2008</w:t>
            </w:r>
          </w:p>
        </w:tc>
        <w:tc>
          <w:tcPr>
            <w:tcW w:w="574" w:type="pct"/>
            <w:tcBorders>
              <w:top w:val="nil"/>
              <w:left w:val="nil"/>
              <w:bottom w:val="nil"/>
              <w:right w:val="nil"/>
            </w:tcBorders>
            <w:shd w:val="clear" w:color="auto" w:fill="FFFFFF" w:themeFill="background1"/>
          </w:tcPr>
          <w:p w14:paraId="5F8B3A5A"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4,1</w:t>
            </w:r>
          </w:p>
        </w:tc>
        <w:tc>
          <w:tcPr>
            <w:tcW w:w="571" w:type="pct"/>
            <w:tcBorders>
              <w:top w:val="nil"/>
              <w:left w:val="nil"/>
              <w:bottom w:val="nil"/>
              <w:right w:val="nil"/>
            </w:tcBorders>
            <w:shd w:val="clear" w:color="auto" w:fill="FFFFFF" w:themeFill="background1"/>
            <w:hideMark/>
          </w:tcPr>
          <w:p w14:paraId="7B4A830E"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-2,5</w:t>
            </w:r>
          </w:p>
        </w:tc>
        <w:tc>
          <w:tcPr>
            <w:tcW w:w="572" w:type="pct"/>
            <w:tcBorders>
              <w:top w:val="nil"/>
              <w:left w:val="nil"/>
              <w:bottom w:val="nil"/>
              <w:right w:val="nil"/>
            </w:tcBorders>
            <w:shd w:val="clear" w:color="auto" w:fill="FFFFFF" w:themeFill="background1"/>
            <w:hideMark/>
          </w:tcPr>
          <w:p w14:paraId="7492B3A8"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-1,9</w:t>
            </w:r>
          </w:p>
        </w:tc>
        <w:tc>
          <w:tcPr>
            <w:tcW w:w="598" w:type="pct"/>
            <w:tcBorders>
              <w:top w:val="nil"/>
              <w:left w:val="nil"/>
              <w:bottom w:val="nil"/>
              <w:right w:val="nil"/>
            </w:tcBorders>
            <w:shd w:val="clear" w:color="auto" w:fill="FFFFFF" w:themeFill="background1"/>
            <w:hideMark/>
          </w:tcPr>
          <w:p w14:paraId="3B0332BC"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-3,9</w:t>
            </w:r>
          </w:p>
        </w:tc>
        <w:tc>
          <w:tcPr>
            <w:tcW w:w="598" w:type="pct"/>
            <w:tcBorders>
              <w:top w:val="nil"/>
              <w:left w:val="nil"/>
              <w:bottom w:val="nil"/>
              <w:right w:val="nil"/>
            </w:tcBorders>
            <w:shd w:val="clear" w:color="auto" w:fill="FFFFFF" w:themeFill="background1"/>
            <w:noWrap/>
            <w:hideMark/>
          </w:tcPr>
          <w:p w14:paraId="04BE3622"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-3,4</w:t>
            </w:r>
          </w:p>
        </w:tc>
        <w:tc>
          <w:tcPr>
            <w:tcW w:w="572" w:type="pct"/>
            <w:tcBorders>
              <w:top w:val="nil"/>
              <w:left w:val="nil"/>
              <w:bottom w:val="nil"/>
              <w:right w:val="nil"/>
            </w:tcBorders>
            <w:shd w:val="clear" w:color="auto" w:fill="FFFFFF" w:themeFill="background1"/>
          </w:tcPr>
          <w:p w14:paraId="102F760B"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-4,0</w:t>
            </w:r>
          </w:p>
        </w:tc>
        <w:tc>
          <w:tcPr>
            <w:tcW w:w="572" w:type="pct"/>
            <w:tcBorders>
              <w:top w:val="nil"/>
              <w:left w:val="nil"/>
              <w:bottom w:val="nil"/>
              <w:right w:val="nil"/>
            </w:tcBorders>
            <w:shd w:val="clear" w:color="auto" w:fill="FFFFFF" w:themeFill="background1"/>
            <w:noWrap/>
            <w:hideMark/>
          </w:tcPr>
          <w:p w14:paraId="07D0469C"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-3,4</w:t>
            </w:r>
          </w:p>
        </w:tc>
        <w:tc>
          <w:tcPr>
            <w:tcW w:w="572" w:type="pct"/>
            <w:tcBorders>
              <w:top w:val="nil"/>
              <w:left w:val="nil"/>
              <w:bottom w:val="nil"/>
              <w:right w:val="nil"/>
            </w:tcBorders>
            <w:shd w:val="clear" w:color="auto" w:fill="FFFFFF" w:themeFill="background1"/>
            <w:noWrap/>
            <w:hideMark/>
          </w:tcPr>
          <w:p w14:paraId="5C319481"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1,9</w:t>
            </w:r>
          </w:p>
        </w:tc>
      </w:tr>
      <w:tr w:rsidR="00844DC9" w:rsidRPr="0007074F" w14:paraId="1A5AF32C"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278721ED"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2009</w:t>
            </w:r>
          </w:p>
        </w:tc>
        <w:tc>
          <w:tcPr>
            <w:tcW w:w="574" w:type="pct"/>
            <w:tcBorders>
              <w:top w:val="nil"/>
              <w:bottom w:val="nil"/>
            </w:tcBorders>
            <w:shd w:val="clear" w:color="auto" w:fill="FFFFFF" w:themeFill="background1"/>
          </w:tcPr>
          <w:p w14:paraId="062D382C"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-0,4</w:t>
            </w:r>
          </w:p>
        </w:tc>
        <w:tc>
          <w:tcPr>
            <w:tcW w:w="571" w:type="pct"/>
            <w:tcBorders>
              <w:top w:val="nil"/>
              <w:bottom w:val="nil"/>
            </w:tcBorders>
            <w:shd w:val="clear" w:color="auto" w:fill="FFFFFF" w:themeFill="background1"/>
            <w:hideMark/>
          </w:tcPr>
          <w:p w14:paraId="0FD0B6DF"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-4,2</w:t>
            </w:r>
          </w:p>
        </w:tc>
        <w:tc>
          <w:tcPr>
            <w:tcW w:w="572" w:type="pct"/>
            <w:tcBorders>
              <w:top w:val="nil"/>
              <w:bottom w:val="nil"/>
            </w:tcBorders>
            <w:shd w:val="clear" w:color="auto" w:fill="FFFFFF" w:themeFill="background1"/>
            <w:hideMark/>
          </w:tcPr>
          <w:p w14:paraId="5504360B"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-3,6</w:t>
            </w:r>
          </w:p>
        </w:tc>
        <w:tc>
          <w:tcPr>
            <w:tcW w:w="598" w:type="pct"/>
            <w:tcBorders>
              <w:top w:val="nil"/>
              <w:bottom w:val="nil"/>
            </w:tcBorders>
            <w:shd w:val="clear" w:color="auto" w:fill="FFFFFF" w:themeFill="background1"/>
            <w:hideMark/>
          </w:tcPr>
          <w:p w14:paraId="1D9A2435"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-4,0</w:t>
            </w:r>
          </w:p>
        </w:tc>
        <w:tc>
          <w:tcPr>
            <w:tcW w:w="598" w:type="pct"/>
            <w:tcBorders>
              <w:top w:val="nil"/>
              <w:bottom w:val="nil"/>
            </w:tcBorders>
            <w:shd w:val="clear" w:color="auto" w:fill="FFFFFF" w:themeFill="background1"/>
            <w:hideMark/>
          </w:tcPr>
          <w:p w14:paraId="3D6BC16C"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-3,4</w:t>
            </w:r>
          </w:p>
        </w:tc>
        <w:tc>
          <w:tcPr>
            <w:tcW w:w="572" w:type="pct"/>
            <w:tcBorders>
              <w:top w:val="nil"/>
              <w:bottom w:val="nil"/>
            </w:tcBorders>
            <w:shd w:val="clear" w:color="auto" w:fill="FFFFFF" w:themeFill="background1"/>
          </w:tcPr>
          <w:p w14:paraId="69E8209A"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-4,1</w:t>
            </w:r>
          </w:p>
        </w:tc>
        <w:tc>
          <w:tcPr>
            <w:tcW w:w="572" w:type="pct"/>
            <w:tcBorders>
              <w:top w:val="nil"/>
              <w:bottom w:val="nil"/>
            </w:tcBorders>
            <w:shd w:val="clear" w:color="auto" w:fill="FFFFFF" w:themeFill="background1"/>
            <w:noWrap/>
            <w:hideMark/>
          </w:tcPr>
          <w:p w14:paraId="0937A205"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-3,5</w:t>
            </w:r>
          </w:p>
        </w:tc>
        <w:tc>
          <w:tcPr>
            <w:tcW w:w="572" w:type="pct"/>
            <w:tcBorders>
              <w:top w:val="nil"/>
              <w:bottom w:val="nil"/>
            </w:tcBorders>
            <w:shd w:val="clear" w:color="auto" w:fill="FFFFFF" w:themeFill="background1"/>
            <w:noWrap/>
            <w:hideMark/>
          </w:tcPr>
          <w:p w14:paraId="364F46C6"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0,0</w:t>
            </w:r>
          </w:p>
        </w:tc>
      </w:tr>
      <w:tr w:rsidR="00844DC9" w:rsidRPr="0007074F" w14:paraId="6D260A92"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tcPr>
          <w:p w14:paraId="2E2F9F46"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2010</w:t>
            </w:r>
          </w:p>
          <w:p w14:paraId="73FE146C"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p>
        </w:tc>
        <w:tc>
          <w:tcPr>
            <w:tcW w:w="574" w:type="pct"/>
            <w:tcBorders>
              <w:top w:val="nil"/>
              <w:left w:val="nil"/>
              <w:bottom w:val="nil"/>
              <w:right w:val="nil"/>
            </w:tcBorders>
            <w:shd w:val="clear" w:color="auto" w:fill="FFFFFF" w:themeFill="background1"/>
          </w:tcPr>
          <w:p w14:paraId="756264D3"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-0,7</w:t>
            </w:r>
          </w:p>
        </w:tc>
        <w:tc>
          <w:tcPr>
            <w:tcW w:w="571" w:type="pct"/>
            <w:tcBorders>
              <w:top w:val="nil"/>
              <w:left w:val="nil"/>
              <w:bottom w:val="nil"/>
              <w:right w:val="nil"/>
            </w:tcBorders>
            <w:shd w:val="clear" w:color="auto" w:fill="FFFFFF" w:themeFill="background1"/>
            <w:hideMark/>
          </w:tcPr>
          <w:p w14:paraId="5AC2DA94"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-4,3</w:t>
            </w:r>
          </w:p>
        </w:tc>
        <w:tc>
          <w:tcPr>
            <w:tcW w:w="572" w:type="pct"/>
            <w:tcBorders>
              <w:top w:val="nil"/>
              <w:left w:val="nil"/>
              <w:bottom w:val="nil"/>
              <w:right w:val="nil"/>
            </w:tcBorders>
            <w:shd w:val="clear" w:color="auto" w:fill="FFFFFF" w:themeFill="background1"/>
            <w:hideMark/>
          </w:tcPr>
          <w:p w14:paraId="00483736"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-3,4</w:t>
            </w:r>
          </w:p>
        </w:tc>
        <w:tc>
          <w:tcPr>
            <w:tcW w:w="598" w:type="pct"/>
            <w:tcBorders>
              <w:top w:val="nil"/>
              <w:left w:val="nil"/>
              <w:bottom w:val="nil"/>
              <w:right w:val="nil"/>
            </w:tcBorders>
            <w:shd w:val="clear" w:color="auto" w:fill="FFFFFF" w:themeFill="background1"/>
            <w:hideMark/>
          </w:tcPr>
          <w:p w14:paraId="6D7AC51E"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-4,1</w:t>
            </w:r>
          </w:p>
        </w:tc>
        <w:tc>
          <w:tcPr>
            <w:tcW w:w="598" w:type="pct"/>
            <w:tcBorders>
              <w:top w:val="nil"/>
              <w:left w:val="nil"/>
              <w:bottom w:val="nil"/>
              <w:right w:val="nil"/>
            </w:tcBorders>
            <w:shd w:val="clear" w:color="auto" w:fill="FFFFFF" w:themeFill="background1"/>
            <w:hideMark/>
          </w:tcPr>
          <w:p w14:paraId="19E8FA13"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-3,1</w:t>
            </w:r>
          </w:p>
        </w:tc>
        <w:tc>
          <w:tcPr>
            <w:tcW w:w="572" w:type="pct"/>
            <w:tcBorders>
              <w:top w:val="nil"/>
              <w:left w:val="nil"/>
              <w:bottom w:val="nil"/>
              <w:right w:val="nil"/>
            </w:tcBorders>
            <w:shd w:val="clear" w:color="auto" w:fill="FFFFFF" w:themeFill="background1"/>
          </w:tcPr>
          <w:p w14:paraId="19CE7B9A"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-4,2</w:t>
            </w:r>
          </w:p>
        </w:tc>
        <w:tc>
          <w:tcPr>
            <w:tcW w:w="572" w:type="pct"/>
            <w:tcBorders>
              <w:top w:val="nil"/>
              <w:left w:val="nil"/>
              <w:bottom w:val="nil"/>
              <w:right w:val="nil"/>
            </w:tcBorders>
            <w:shd w:val="clear" w:color="auto" w:fill="FFFFFF" w:themeFill="background1"/>
            <w:noWrap/>
            <w:hideMark/>
          </w:tcPr>
          <w:p w14:paraId="21688E7A"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-3,2</w:t>
            </w:r>
          </w:p>
        </w:tc>
        <w:tc>
          <w:tcPr>
            <w:tcW w:w="572" w:type="pct"/>
            <w:tcBorders>
              <w:top w:val="nil"/>
              <w:left w:val="nil"/>
              <w:bottom w:val="nil"/>
              <w:right w:val="nil"/>
            </w:tcBorders>
            <w:shd w:val="clear" w:color="auto" w:fill="FFFFFF" w:themeFill="background1"/>
            <w:noWrap/>
            <w:hideMark/>
          </w:tcPr>
          <w:p w14:paraId="432E956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-0,3</w:t>
            </w:r>
          </w:p>
        </w:tc>
      </w:tr>
      <w:tr w:rsidR="00844DC9" w:rsidRPr="0007074F" w14:paraId="6DF7BF10"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67707CCC"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2011</w:t>
            </w:r>
          </w:p>
        </w:tc>
        <w:tc>
          <w:tcPr>
            <w:tcW w:w="574" w:type="pct"/>
            <w:tcBorders>
              <w:top w:val="nil"/>
              <w:bottom w:val="nil"/>
            </w:tcBorders>
            <w:shd w:val="clear" w:color="auto" w:fill="FFFFFF" w:themeFill="background1"/>
          </w:tcPr>
          <w:p w14:paraId="61707E6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0,5</w:t>
            </w:r>
          </w:p>
        </w:tc>
        <w:tc>
          <w:tcPr>
            <w:tcW w:w="571" w:type="pct"/>
            <w:tcBorders>
              <w:top w:val="nil"/>
              <w:bottom w:val="nil"/>
            </w:tcBorders>
            <w:shd w:val="clear" w:color="auto" w:fill="FFFFFF" w:themeFill="background1"/>
            <w:hideMark/>
          </w:tcPr>
          <w:p w14:paraId="33ADABD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-4,5</w:t>
            </w:r>
          </w:p>
        </w:tc>
        <w:tc>
          <w:tcPr>
            <w:tcW w:w="572" w:type="pct"/>
            <w:tcBorders>
              <w:top w:val="nil"/>
              <w:bottom w:val="nil"/>
            </w:tcBorders>
            <w:shd w:val="clear" w:color="auto" w:fill="FFFFFF" w:themeFill="background1"/>
            <w:hideMark/>
          </w:tcPr>
          <w:p w14:paraId="28A5B44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-3,4</w:t>
            </w:r>
          </w:p>
        </w:tc>
        <w:tc>
          <w:tcPr>
            <w:tcW w:w="598" w:type="pct"/>
            <w:tcBorders>
              <w:top w:val="nil"/>
              <w:bottom w:val="nil"/>
            </w:tcBorders>
            <w:shd w:val="clear" w:color="auto" w:fill="FFFFFF" w:themeFill="background1"/>
            <w:hideMark/>
          </w:tcPr>
          <w:p w14:paraId="78015CC8"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-4,7</w:t>
            </w:r>
          </w:p>
        </w:tc>
        <w:tc>
          <w:tcPr>
            <w:tcW w:w="598" w:type="pct"/>
            <w:tcBorders>
              <w:top w:val="nil"/>
              <w:bottom w:val="nil"/>
            </w:tcBorders>
            <w:shd w:val="clear" w:color="auto" w:fill="FFFFFF" w:themeFill="background1"/>
            <w:hideMark/>
          </w:tcPr>
          <w:p w14:paraId="67515AD1"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-3,6</w:t>
            </w:r>
          </w:p>
        </w:tc>
        <w:tc>
          <w:tcPr>
            <w:tcW w:w="572" w:type="pct"/>
            <w:tcBorders>
              <w:top w:val="nil"/>
              <w:bottom w:val="nil"/>
            </w:tcBorders>
            <w:shd w:val="clear" w:color="auto" w:fill="FFFFFF" w:themeFill="background1"/>
          </w:tcPr>
          <w:p w14:paraId="3715EF00"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-4,9</w:t>
            </w:r>
          </w:p>
        </w:tc>
        <w:tc>
          <w:tcPr>
            <w:tcW w:w="572" w:type="pct"/>
            <w:tcBorders>
              <w:top w:val="nil"/>
              <w:bottom w:val="nil"/>
            </w:tcBorders>
            <w:shd w:val="clear" w:color="auto" w:fill="FFFFFF" w:themeFill="background1"/>
            <w:noWrap/>
            <w:hideMark/>
          </w:tcPr>
          <w:p w14:paraId="5F7E9C21"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-3,8</w:t>
            </w:r>
          </w:p>
        </w:tc>
        <w:tc>
          <w:tcPr>
            <w:tcW w:w="572" w:type="pct"/>
            <w:tcBorders>
              <w:top w:val="nil"/>
              <w:bottom w:val="nil"/>
            </w:tcBorders>
            <w:shd w:val="clear" w:color="auto" w:fill="FFFFFF" w:themeFill="background1"/>
            <w:noWrap/>
            <w:hideMark/>
          </w:tcPr>
          <w:p w14:paraId="1738829F"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0,4</w:t>
            </w:r>
          </w:p>
        </w:tc>
      </w:tr>
      <w:tr w:rsidR="00844DC9" w:rsidRPr="0007074F" w14:paraId="03031835"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5469B695"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2012</w:t>
            </w:r>
          </w:p>
          <w:p w14:paraId="768E5003"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p>
        </w:tc>
        <w:tc>
          <w:tcPr>
            <w:tcW w:w="574" w:type="pct"/>
            <w:tcBorders>
              <w:top w:val="nil"/>
              <w:bottom w:val="nil"/>
            </w:tcBorders>
            <w:shd w:val="clear" w:color="auto" w:fill="FFFFFF" w:themeFill="background1"/>
          </w:tcPr>
          <w:p w14:paraId="4CA073C8"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-0,8</w:t>
            </w:r>
          </w:p>
        </w:tc>
        <w:tc>
          <w:tcPr>
            <w:tcW w:w="571" w:type="pct"/>
            <w:tcBorders>
              <w:top w:val="nil"/>
              <w:bottom w:val="nil"/>
            </w:tcBorders>
            <w:shd w:val="clear" w:color="auto" w:fill="FFFFFF" w:themeFill="background1"/>
          </w:tcPr>
          <w:p w14:paraId="4286A0B0"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-6,4</w:t>
            </w:r>
          </w:p>
        </w:tc>
        <w:tc>
          <w:tcPr>
            <w:tcW w:w="572" w:type="pct"/>
            <w:tcBorders>
              <w:top w:val="nil"/>
              <w:bottom w:val="nil"/>
            </w:tcBorders>
            <w:shd w:val="clear" w:color="auto" w:fill="FFFFFF" w:themeFill="background1"/>
          </w:tcPr>
          <w:p w14:paraId="41CF626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-4,7</w:t>
            </w:r>
          </w:p>
        </w:tc>
        <w:tc>
          <w:tcPr>
            <w:tcW w:w="598" w:type="pct"/>
            <w:tcBorders>
              <w:top w:val="nil"/>
              <w:bottom w:val="nil"/>
            </w:tcBorders>
            <w:shd w:val="clear" w:color="auto" w:fill="FFFFFF" w:themeFill="background1"/>
          </w:tcPr>
          <w:p w14:paraId="4BFE8A18"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-6,1</w:t>
            </w:r>
          </w:p>
        </w:tc>
        <w:tc>
          <w:tcPr>
            <w:tcW w:w="598" w:type="pct"/>
            <w:tcBorders>
              <w:top w:val="nil"/>
              <w:bottom w:val="nil"/>
            </w:tcBorders>
            <w:shd w:val="clear" w:color="auto" w:fill="FFFFFF" w:themeFill="background1"/>
          </w:tcPr>
          <w:p w14:paraId="7F04868B"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-4,4</w:t>
            </w:r>
          </w:p>
        </w:tc>
        <w:tc>
          <w:tcPr>
            <w:tcW w:w="572" w:type="pct"/>
            <w:tcBorders>
              <w:top w:val="nil"/>
              <w:bottom w:val="nil"/>
            </w:tcBorders>
            <w:shd w:val="clear" w:color="auto" w:fill="FFFFFF" w:themeFill="background1"/>
          </w:tcPr>
          <w:p w14:paraId="6BAA7BCD"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-6,1</w:t>
            </w:r>
          </w:p>
        </w:tc>
        <w:tc>
          <w:tcPr>
            <w:tcW w:w="572" w:type="pct"/>
            <w:tcBorders>
              <w:top w:val="nil"/>
              <w:bottom w:val="nil"/>
            </w:tcBorders>
            <w:shd w:val="clear" w:color="auto" w:fill="FFFFFF" w:themeFill="background1"/>
            <w:noWrap/>
          </w:tcPr>
          <w:p w14:paraId="065C6AAD"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-4,4</w:t>
            </w:r>
          </w:p>
        </w:tc>
        <w:tc>
          <w:tcPr>
            <w:tcW w:w="572" w:type="pct"/>
            <w:tcBorders>
              <w:top w:val="nil"/>
              <w:bottom w:val="nil"/>
            </w:tcBorders>
            <w:shd w:val="clear" w:color="auto" w:fill="FFFFFF" w:themeFill="background1"/>
            <w:noWrap/>
          </w:tcPr>
          <w:p w14:paraId="2275246C"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0,9</w:t>
            </w:r>
          </w:p>
        </w:tc>
      </w:tr>
      <w:tr w:rsidR="00844DC9" w:rsidRPr="0007074F" w14:paraId="521ADA8E"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28C45BFB"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2013</w:t>
            </w:r>
          </w:p>
        </w:tc>
        <w:tc>
          <w:tcPr>
            <w:tcW w:w="574" w:type="pct"/>
            <w:tcBorders>
              <w:top w:val="nil"/>
              <w:bottom w:val="nil"/>
            </w:tcBorders>
            <w:shd w:val="clear" w:color="auto" w:fill="FFFFFF" w:themeFill="background1"/>
          </w:tcPr>
          <w:p w14:paraId="100984E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c>
          <w:tcPr>
            <w:tcW w:w="571" w:type="pct"/>
            <w:tcBorders>
              <w:top w:val="nil"/>
              <w:bottom w:val="nil"/>
            </w:tcBorders>
            <w:shd w:val="clear" w:color="auto" w:fill="FFFFFF" w:themeFill="background1"/>
          </w:tcPr>
          <w:p w14:paraId="583C5ECB"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-5,1</w:t>
            </w:r>
          </w:p>
        </w:tc>
        <w:tc>
          <w:tcPr>
            <w:tcW w:w="572" w:type="pct"/>
            <w:tcBorders>
              <w:top w:val="nil"/>
              <w:bottom w:val="nil"/>
            </w:tcBorders>
            <w:shd w:val="clear" w:color="auto" w:fill="FFFFFF" w:themeFill="background1"/>
          </w:tcPr>
          <w:p w14:paraId="1F0D7986"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-3,0</w:t>
            </w:r>
          </w:p>
        </w:tc>
        <w:tc>
          <w:tcPr>
            <w:tcW w:w="598" w:type="pct"/>
            <w:tcBorders>
              <w:top w:val="nil"/>
              <w:bottom w:val="nil"/>
            </w:tcBorders>
            <w:shd w:val="clear" w:color="auto" w:fill="FFFFFF" w:themeFill="background1"/>
          </w:tcPr>
          <w:p w14:paraId="62FBD31C"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-5,6</w:t>
            </w:r>
          </w:p>
        </w:tc>
        <w:tc>
          <w:tcPr>
            <w:tcW w:w="598" w:type="pct"/>
            <w:tcBorders>
              <w:top w:val="nil"/>
              <w:bottom w:val="nil"/>
            </w:tcBorders>
            <w:shd w:val="clear" w:color="auto" w:fill="FFFFFF" w:themeFill="background1"/>
          </w:tcPr>
          <w:p w14:paraId="71DEB34F"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-3,4</w:t>
            </w:r>
          </w:p>
        </w:tc>
        <w:tc>
          <w:tcPr>
            <w:tcW w:w="572" w:type="pct"/>
            <w:tcBorders>
              <w:top w:val="nil"/>
              <w:bottom w:val="nil"/>
            </w:tcBorders>
            <w:shd w:val="clear" w:color="auto" w:fill="FFFFFF" w:themeFill="background1"/>
          </w:tcPr>
          <w:p w14:paraId="0791CB40"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-5,3</w:t>
            </w:r>
          </w:p>
        </w:tc>
        <w:tc>
          <w:tcPr>
            <w:tcW w:w="572" w:type="pct"/>
            <w:tcBorders>
              <w:top w:val="nil"/>
              <w:bottom w:val="nil"/>
            </w:tcBorders>
            <w:shd w:val="clear" w:color="auto" w:fill="FFFFFF" w:themeFill="background1"/>
            <w:noWrap/>
          </w:tcPr>
          <w:p w14:paraId="7F2EF8F0"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-3,1</w:t>
            </w:r>
          </w:p>
        </w:tc>
        <w:tc>
          <w:tcPr>
            <w:tcW w:w="572" w:type="pct"/>
            <w:tcBorders>
              <w:top w:val="nil"/>
              <w:bottom w:val="nil"/>
            </w:tcBorders>
            <w:shd w:val="clear" w:color="auto" w:fill="FFFFFF" w:themeFill="background1"/>
            <w:noWrap/>
          </w:tcPr>
          <w:p w14:paraId="48111336"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-1,0</w:t>
            </w:r>
          </w:p>
        </w:tc>
      </w:tr>
      <w:tr w:rsidR="00844DC9" w:rsidRPr="0007074F" w14:paraId="3D574B13"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6B3F4E8D"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2014</w:t>
            </w:r>
          </w:p>
        </w:tc>
        <w:tc>
          <w:tcPr>
            <w:tcW w:w="574" w:type="pct"/>
            <w:tcBorders>
              <w:top w:val="nil"/>
              <w:bottom w:val="nil"/>
            </w:tcBorders>
            <w:shd w:val="clear" w:color="auto" w:fill="FFFFFF" w:themeFill="background1"/>
          </w:tcPr>
          <w:p w14:paraId="76B576AC"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-1,4</w:t>
            </w:r>
          </w:p>
        </w:tc>
        <w:tc>
          <w:tcPr>
            <w:tcW w:w="571" w:type="pct"/>
            <w:tcBorders>
              <w:top w:val="nil"/>
              <w:bottom w:val="nil"/>
            </w:tcBorders>
            <w:shd w:val="clear" w:color="auto" w:fill="FFFFFF" w:themeFill="background1"/>
          </w:tcPr>
          <w:p w14:paraId="2A96A3A4"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-6,2</w:t>
            </w:r>
          </w:p>
        </w:tc>
        <w:tc>
          <w:tcPr>
            <w:tcW w:w="572" w:type="pct"/>
            <w:tcBorders>
              <w:top w:val="nil"/>
              <w:bottom w:val="nil"/>
            </w:tcBorders>
            <w:shd w:val="clear" w:color="auto" w:fill="FFFFFF" w:themeFill="background1"/>
          </w:tcPr>
          <w:p w14:paraId="7010877E"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-3,5</w:t>
            </w:r>
          </w:p>
        </w:tc>
        <w:tc>
          <w:tcPr>
            <w:tcW w:w="598" w:type="pct"/>
            <w:tcBorders>
              <w:top w:val="nil"/>
              <w:bottom w:val="nil"/>
            </w:tcBorders>
            <w:shd w:val="clear" w:color="auto" w:fill="FFFFFF" w:themeFill="background1"/>
          </w:tcPr>
          <w:p w14:paraId="452AE076"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-5,7</w:t>
            </w:r>
          </w:p>
        </w:tc>
        <w:tc>
          <w:tcPr>
            <w:tcW w:w="598" w:type="pct"/>
            <w:tcBorders>
              <w:top w:val="nil"/>
              <w:bottom w:val="nil"/>
            </w:tcBorders>
            <w:shd w:val="clear" w:color="auto" w:fill="FFFFFF" w:themeFill="background1"/>
          </w:tcPr>
          <w:p w14:paraId="18F1FA18"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-3,0</w:t>
            </w:r>
          </w:p>
        </w:tc>
        <w:tc>
          <w:tcPr>
            <w:tcW w:w="572" w:type="pct"/>
            <w:tcBorders>
              <w:top w:val="nil"/>
              <w:bottom w:val="nil"/>
            </w:tcBorders>
            <w:shd w:val="clear" w:color="auto" w:fill="FFFFFF" w:themeFill="background1"/>
          </w:tcPr>
          <w:p w14:paraId="16141B6D"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-4,8</w:t>
            </w:r>
          </w:p>
        </w:tc>
        <w:tc>
          <w:tcPr>
            <w:tcW w:w="572" w:type="pct"/>
            <w:tcBorders>
              <w:top w:val="nil"/>
              <w:bottom w:val="nil"/>
            </w:tcBorders>
            <w:shd w:val="clear" w:color="auto" w:fill="FFFFFF" w:themeFill="background1"/>
            <w:noWrap/>
          </w:tcPr>
          <w:p w14:paraId="1C6CDAA0"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-2,2</w:t>
            </w:r>
          </w:p>
        </w:tc>
        <w:tc>
          <w:tcPr>
            <w:tcW w:w="572" w:type="pct"/>
            <w:tcBorders>
              <w:top w:val="nil"/>
              <w:bottom w:val="nil"/>
            </w:tcBorders>
            <w:shd w:val="clear" w:color="auto" w:fill="FFFFFF" w:themeFill="background1"/>
            <w:noWrap/>
          </w:tcPr>
          <w:p w14:paraId="170BDE2E"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-0,4</w:t>
            </w:r>
          </w:p>
        </w:tc>
      </w:tr>
      <w:tr w:rsidR="00844DC9" w:rsidRPr="0007074F" w14:paraId="687329BA"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58E7F2DD"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2015</w:t>
            </w:r>
          </w:p>
        </w:tc>
        <w:tc>
          <w:tcPr>
            <w:tcW w:w="574" w:type="pct"/>
            <w:tcBorders>
              <w:top w:val="nil"/>
              <w:bottom w:val="nil"/>
            </w:tcBorders>
            <w:shd w:val="clear" w:color="auto" w:fill="FFFFFF" w:themeFill="background1"/>
          </w:tcPr>
          <w:p w14:paraId="555CF5C1"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c>
          <w:tcPr>
            <w:tcW w:w="571" w:type="pct"/>
            <w:tcBorders>
              <w:top w:val="nil"/>
              <w:bottom w:val="nil"/>
            </w:tcBorders>
            <w:shd w:val="clear" w:color="auto" w:fill="FFFFFF" w:themeFill="background1"/>
          </w:tcPr>
          <w:p w14:paraId="6A4CD569"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-3,5</w:t>
            </w:r>
          </w:p>
        </w:tc>
        <w:tc>
          <w:tcPr>
            <w:tcW w:w="572" w:type="pct"/>
            <w:tcBorders>
              <w:top w:val="nil"/>
              <w:bottom w:val="nil"/>
            </w:tcBorders>
            <w:shd w:val="clear" w:color="auto" w:fill="FFFFFF" w:themeFill="background1"/>
          </w:tcPr>
          <w:p w14:paraId="20A4175B"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-0,5</w:t>
            </w:r>
          </w:p>
        </w:tc>
        <w:tc>
          <w:tcPr>
            <w:tcW w:w="598" w:type="pct"/>
            <w:tcBorders>
              <w:top w:val="nil"/>
              <w:bottom w:val="nil"/>
            </w:tcBorders>
            <w:shd w:val="clear" w:color="auto" w:fill="FFFFFF" w:themeFill="background1"/>
          </w:tcPr>
          <w:p w14:paraId="5220BB59"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-3,0</w:t>
            </w:r>
          </w:p>
        </w:tc>
        <w:tc>
          <w:tcPr>
            <w:tcW w:w="598" w:type="pct"/>
            <w:tcBorders>
              <w:top w:val="nil"/>
              <w:bottom w:val="nil"/>
            </w:tcBorders>
            <w:shd w:val="clear" w:color="auto" w:fill="FFFFFF" w:themeFill="background1"/>
          </w:tcPr>
          <w:p w14:paraId="4CC03580"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0,0</w:t>
            </w:r>
          </w:p>
        </w:tc>
        <w:tc>
          <w:tcPr>
            <w:tcW w:w="572" w:type="pct"/>
            <w:tcBorders>
              <w:top w:val="nil"/>
              <w:bottom w:val="nil"/>
            </w:tcBorders>
            <w:shd w:val="clear" w:color="auto" w:fill="FFFFFF" w:themeFill="background1"/>
          </w:tcPr>
          <w:p w14:paraId="04D1461F"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-2,2</w:t>
            </w:r>
          </w:p>
        </w:tc>
        <w:tc>
          <w:tcPr>
            <w:tcW w:w="572" w:type="pct"/>
            <w:tcBorders>
              <w:top w:val="nil"/>
              <w:bottom w:val="nil"/>
            </w:tcBorders>
            <w:shd w:val="clear" w:color="auto" w:fill="FFFFFF" w:themeFill="background1"/>
            <w:noWrap/>
          </w:tcPr>
          <w:p w14:paraId="6B7BC5D6"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0,8</w:t>
            </w:r>
          </w:p>
        </w:tc>
        <w:tc>
          <w:tcPr>
            <w:tcW w:w="572" w:type="pct"/>
            <w:tcBorders>
              <w:top w:val="nil"/>
              <w:bottom w:val="nil"/>
            </w:tcBorders>
            <w:shd w:val="clear" w:color="auto" w:fill="FFFFFF" w:themeFill="background1"/>
            <w:noWrap/>
          </w:tcPr>
          <w:p w14:paraId="066193E3"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-3,0</w:t>
            </w:r>
          </w:p>
        </w:tc>
      </w:tr>
      <w:tr w:rsidR="00844DC9" w:rsidRPr="0007074F" w14:paraId="759A1279"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2514C29A"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2016</w:t>
            </w:r>
          </w:p>
        </w:tc>
        <w:tc>
          <w:tcPr>
            <w:tcW w:w="574" w:type="pct"/>
            <w:tcBorders>
              <w:top w:val="nil"/>
              <w:bottom w:val="nil"/>
            </w:tcBorders>
            <w:shd w:val="clear" w:color="auto" w:fill="FFFFFF" w:themeFill="background1"/>
          </w:tcPr>
          <w:p w14:paraId="287A555B"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-0,1</w:t>
            </w:r>
          </w:p>
        </w:tc>
        <w:tc>
          <w:tcPr>
            <w:tcW w:w="571" w:type="pct"/>
            <w:tcBorders>
              <w:top w:val="nil"/>
              <w:bottom w:val="nil"/>
            </w:tcBorders>
            <w:shd w:val="clear" w:color="auto" w:fill="FFFFFF" w:themeFill="background1"/>
          </w:tcPr>
          <w:p w14:paraId="78293B81"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c>
          <w:tcPr>
            <w:tcW w:w="572" w:type="pct"/>
            <w:tcBorders>
              <w:top w:val="nil"/>
              <w:bottom w:val="nil"/>
            </w:tcBorders>
            <w:shd w:val="clear" w:color="auto" w:fill="FFFFFF" w:themeFill="background1"/>
          </w:tcPr>
          <w:p w14:paraId="60DCAD96"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1,7</w:t>
            </w:r>
          </w:p>
        </w:tc>
        <w:tc>
          <w:tcPr>
            <w:tcW w:w="598" w:type="pct"/>
            <w:tcBorders>
              <w:top w:val="nil"/>
              <w:bottom w:val="nil"/>
            </w:tcBorders>
            <w:shd w:val="clear" w:color="auto" w:fill="FFFFFF" w:themeFill="background1"/>
          </w:tcPr>
          <w:p w14:paraId="0CFC38B9"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c>
          <w:tcPr>
            <w:tcW w:w="598" w:type="pct"/>
            <w:tcBorders>
              <w:top w:val="nil"/>
              <w:bottom w:val="nil"/>
            </w:tcBorders>
            <w:shd w:val="clear" w:color="auto" w:fill="FFFFFF" w:themeFill="background1"/>
          </w:tcPr>
          <w:p w14:paraId="4318D3E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1,7</w:t>
            </w:r>
          </w:p>
        </w:tc>
        <w:tc>
          <w:tcPr>
            <w:tcW w:w="572" w:type="pct"/>
            <w:tcBorders>
              <w:top w:val="nil"/>
              <w:bottom w:val="nil"/>
            </w:tcBorders>
            <w:shd w:val="clear" w:color="auto" w:fill="FFFFFF" w:themeFill="background1"/>
          </w:tcPr>
          <w:p w14:paraId="2A85C4FF"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c>
          <w:tcPr>
            <w:tcW w:w="572" w:type="pct"/>
            <w:tcBorders>
              <w:top w:val="nil"/>
              <w:bottom w:val="nil"/>
            </w:tcBorders>
            <w:shd w:val="clear" w:color="auto" w:fill="FFFFFF" w:themeFill="background1"/>
            <w:noWrap/>
          </w:tcPr>
          <w:p w14:paraId="68E32514"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1,8</w:t>
            </w:r>
          </w:p>
        </w:tc>
        <w:tc>
          <w:tcPr>
            <w:tcW w:w="572" w:type="pct"/>
            <w:tcBorders>
              <w:top w:val="nil"/>
              <w:bottom w:val="nil"/>
            </w:tcBorders>
            <w:shd w:val="clear" w:color="auto" w:fill="FFFFFF" w:themeFill="background1"/>
            <w:noWrap/>
          </w:tcPr>
          <w:p w14:paraId="6D12642D"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-1,8</w:t>
            </w:r>
          </w:p>
        </w:tc>
      </w:tr>
      <w:tr w:rsidR="00844DC9" w:rsidRPr="0007074F" w14:paraId="3C96B731"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32C39D2D"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2017</w:t>
            </w:r>
          </w:p>
        </w:tc>
        <w:tc>
          <w:tcPr>
            <w:tcW w:w="574" w:type="pct"/>
            <w:tcBorders>
              <w:top w:val="nil"/>
              <w:bottom w:val="nil"/>
            </w:tcBorders>
            <w:shd w:val="clear" w:color="auto" w:fill="FFFFFF" w:themeFill="background1"/>
          </w:tcPr>
          <w:p w14:paraId="15718C82"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-0,6</w:t>
            </w:r>
          </w:p>
        </w:tc>
        <w:tc>
          <w:tcPr>
            <w:tcW w:w="571" w:type="pct"/>
            <w:tcBorders>
              <w:top w:val="nil"/>
              <w:bottom w:val="nil"/>
            </w:tcBorders>
            <w:shd w:val="clear" w:color="auto" w:fill="FFFFFF" w:themeFill="background1"/>
          </w:tcPr>
          <w:p w14:paraId="402823CE"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c>
          <w:tcPr>
            <w:tcW w:w="572" w:type="pct"/>
            <w:tcBorders>
              <w:top w:val="nil"/>
              <w:bottom w:val="nil"/>
            </w:tcBorders>
            <w:shd w:val="clear" w:color="auto" w:fill="FFFFFF" w:themeFill="background1"/>
          </w:tcPr>
          <w:p w14:paraId="5EF261BD"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3,6</w:t>
            </w:r>
          </w:p>
        </w:tc>
        <w:tc>
          <w:tcPr>
            <w:tcW w:w="598" w:type="pct"/>
            <w:tcBorders>
              <w:top w:val="nil"/>
              <w:bottom w:val="nil"/>
            </w:tcBorders>
            <w:shd w:val="clear" w:color="auto" w:fill="FFFFFF" w:themeFill="background1"/>
          </w:tcPr>
          <w:p w14:paraId="139C699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1,3</w:t>
            </w:r>
          </w:p>
        </w:tc>
        <w:tc>
          <w:tcPr>
            <w:tcW w:w="598" w:type="pct"/>
            <w:tcBorders>
              <w:top w:val="nil"/>
              <w:bottom w:val="nil"/>
            </w:tcBorders>
            <w:shd w:val="clear" w:color="auto" w:fill="FFFFFF" w:themeFill="background1"/>
          </w:tcPr>
          <w:p w14:paraId="728B050A"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3,9</w:t>
            </w:r>
          </w:p>
        </w:tc>
        <w:tc>
          <w:tcPr>
            <w:tcW w:w="572" w:type="pct"/>
            <w:tcBorders>
              <w:top w:val="nil"/>
              <w:bottom w:val="nil"/>
            </w:tcBorders>
            <w:shd w:val="clear" w:color="auto" w:fill="FFFFFF" w:themeFill="background1"/>
          </w:tcPr>
          <w:p w14:paraId="5A4D4C43"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c>
          <w:tcPr>
            <w:tcW w:w="572" w:type="pct"/>
            <w:tcBorders>
              <w:top w:val="nil"/>
              <w:bottom w:val="nil"/>
            </w:tcBorders>
            <w:shd w:val="clear" w:color="auto" w:fill="FFFFFF" w:themeFill="background1"/>
            <w:noWrap/>
          </w:tcPr>
          <w:p w14:paraId="62739B73"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3,7</w:t>
            </w:r>
          </w:p>
        </w:tc>
        <w:tc>
          <w:tcPr>
            <w:tcW w:w="572" w:type="pct"/>
            <w:tcBorders>
              <w:top w:val="nil"/>
              <w:bottom w:val="nil"/>
            </w:tcBorders>
            <w:shd w:val="clear" w:color="auto" w:fill="FFFFFF" w:themeFill="background1"/>
            <w:noWrap/>
          </w:tcPr>
          <w:p w14:paraId="081F8750"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-2,1</w:t>
            </w:r>
          </w:p>
        </w:tc>
      </w:tr>
      <w:tr w:rsidR="00844DC9" w:rsidRPr="0007074F" w14:paraId="33D7B702"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7CFEB64D"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2018</w:t>
            </w:r>
          </w:p>
        </w:tc>
        <w:tc>
          <w:tcPr>
            <w:tcW w:w="574" w:type="pct"/>
            <w:tcBorders>
              <w:top w:val="nil"/>
              <w:bottom w:val="nil"/>
            </w:tcBorders>
            <w:shd w:val="clear" w:color="auto" w:fill="FFFFFF" w:themeFill="background1"/>
          </w:tcPr>
          <w:p w14:paraId="52A4B091"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0,8</w:t>
            </w:r>
          </w:p>
        </w:tc>
        <w:tc>
          <w:tcPr>
            <w:tcW w:w="571" w:type="pct"/>
            <w:tcBorders>
              <w:top w:val="nil"/>
              <w:bottom w:val="nil"/>
            </w:tcBorders>
            <w:shd w:val="clear" w:color="auto" w:fill="FFFFFF" w:themeFill="background1"/>
          </w:tcPr>
          <w:p w14:paraId="1316899D"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0,6</w:t>
            </w:r>
          </w:p>
        </w:tc>
        <w:tc>
          <w:tcPr>
            <w:tcW w:w="572" w:type="pct"/>
            <w:tcBorders>
              <w:top w:val="nil"/>
              <w:bottom w:val="nil"/>
            </w:tcBorders>
            <w:shd w:val="clear" w:color="auto" w:fill="FFFFFF" w:themeFill="background1"/>
          </w:tcPr>
          <w:p w14:paraId="62AA04D4"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2,7</w:t>
            </w:r>
          </w:p>
        </w:tc>
        <w:tc>
          <w:tcPr>
            <w:tcW w:w="598" w:type="pct"/>
            <w:tcBorders>
              <w:top w:val="nil"/>
              <w:bottom w:val="nil"/>
            </w:tcBorders>
            <w:shd w:val="clear" w:color="auto" w:fill="FFFFFF" w:themeFill="background1"/>
          </w:tcPr>
          <w:p w14:paraId="2F882D1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0,4</w:t>
            </w:r>
          </w:p>
        </w:tc>
        <w:tc>
          <w:tcPr>
            <w:tcW w:w="598" w:type="pct"/>
            <w:tcBorders>
              <w:top w:val="nil"/>
              <w:bottom w:val="nil"/>
            </w:tcBorders>
            <w:shd w:val="clear" w:color="auto" w:fill="FFFFFF" w:themeFill="background1"/>
          </w:tcPr>
          <w:p w14:paraId="16363FF8"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2,5</w:t>
            </w:r>
          </w:p>
        </w:tc>
        <w:tc>
          <w:tcPr>
            <w:tcW w:w="572" w:type="pct"/>
            <w:tcBorders>
              <w:top w:val="nil"/>
              <w:bottom w:val="nil"/>
            </w:tcBorders>
            <w:shd w:val="clear" w:color="auto" w:fill="FFFFFF" w:themeFill="background1"/>
          </w:tcPr>
          <w:p w14:paraId="3A40CF8E"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0,2</w:t>
            </w:r>
          </w:p>
        </w:tc>
        <w:tc>
          <w:tcPr>
            <w:tcW w:w="572" w:type="pct"/>
            <w:tcBorders>
              <w:top w:val="nil"/>
              <w:bottom w:val="nil"/>
            </w:tcBorders>
            <w:shd w:val="clear" w:color="auto" w:fill="FFFFFF" w:themeFill="background1"/>
            <w:noWrap/>
          </w:tcPr>
          <w:p w14:paraId="636758D8"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2,3</w:t>
            </w:r>
          </w:p>
        </w:tc>
        <w:tc>
          <w:tcPr>
            <w:tcW w:w="572" w:type="pct"/>
            <w:tcBorders>
              <w:top w:val="nil"/>
              <w:bottom w:val="nil"/>
            </w:tcBorders>
            <w:shd w:val="clear" w:color="auto" w:fill="FFFFFF" w:themeFill="background1"/>
            <w:noWrap/>
          </w:tcPr>
          <w:p w14:paraId="0EC843A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1,4</w:t>
            </w:r>
          </w:p>
        </w:tc>
      </w:tr>
      <w:tr w:rsidR="00844DC9" w:rsidRPr="0007074F" w14:paraId="4390EA87"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759485B0"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2019</w:t>
            </w:r>
          </w:p>
          <w:p w14:paraId="5DD9B975"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p>
        </w:tc>
        <w:tc>
          <w:tcPr>
            <w:tcW w:w="574" w:type="pct"/>
            <w:tcBorders>
              <w:top w:val="nil"/>
              <w:bottom w:val="nil"/>
            </w:tcBorders>
            <w:shd w:val="clear" w:color="auto" w:fill="FFFFFF" w:themeFill="background1"/>
          </w:tcPr>
          <w:p w14:paraId="04AC958C"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1,9</w:t>
            </w:r>
          </w:p>
        </w:tc>
        <w:tc>
          <w:tcPr>
            <w:tcW w:w="571" w:type="pct"/>
            <w:tcBorders>
              <w:top w:val="nil"/>
              <w:bottom w:val="nil"/>
            </w:tcBorders>
            <w:shd w:val="clear" w:color="auto" w:fill="FFFFFF" w:themeFill="background1"/>
          </w:tcPr>
          <w:p w14:paraId="6BF1DFBE"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-0,2</w:t>
            </w:r>
          </w:p>
        </w:tc>
        <w:tc>
          <w:tcPr>
            <w:tcW w:w="572" w:type="pct"/>
            <w:tcBorders>
              <w:top w:val="nil"/>
              <w:bottom w:val="nil"/>
            </w:tcBorders>
            <w:shd w:val="clear" w:color="auto" w:fill="FFFFFF" w:themeFill="background1"/>
          </w:tcPr>
          <w:p w14:paraId="39216B98"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1,8</w:t>
            </w:r>
          </w:p>
        </w:tc>
        <w:tc>
          <w:tcPr>
            <w:tcW w:w="598" w:type="pct"/>
            <w:tcBorders>
              <w:top w:val="nil"/>
              <w:bottom w:val="nil"/>
            </w:tcBorders>
            <w:shd w:val="clear" w:color="auto" w:fill="FFFFFF" w:themeFill="background1"/>
          </w:tcPr>
          <w:p w14:paraId="52296B8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-0,9</w:t>
            </w:r>
          </w:p>
        </w:tc>
        <w:tc>
          <w:tcPr>
            <w:tcW w:w="598" w:type="pct"/>
            <w:tcBorders>
              <w:top w:val="nil"/>
              <w:bottom w:val="nil"/>
            </w:tcBorders>
            <w:shd w:val="clear" w:color="auto" w:fill="FFFFFF" w:themeFill="background1"/>
          </w:tcPr>
          <w:p w14:paraId="1A0EF48F"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c>
          <w:tcPr>
            <w:tcW w:w="572" w:type="pct"/>
            <w:tcBorders>
              <w:top w:val="nil"/>
              <w:bottom w:val="nil"/>
            </w:tcBorders>
            <w:shd w:val="clear" w:color="auto" w:fill="FFFFFF" w:themeFill="background1"/>
          </w:tcPr>
          <w:p w14:paraId="4AC8D59C"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c>
          <w:tcPr>
            <w:tcW w:w="572" w:type="pct"/>
            <w:tcBorders>
              <w:top w:val="nil"/>
              <w:bottom w:val="nil"/>
            </w:tcBorders>
            <w:shd w:val="clear" w:color="auto" w:fill="FFFFFF" w:themeFill="background1"/>
            <w:noWrap/>
          </w:tcPr>
          <w:p w14:paraId="15B79C5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0,9</w:t>
            </w:r>
          </w:p>
        </w:tc>
        <w:tc>
          <w:tcPr>
            <w:tcW w:w="572" w:type="pct"/>
            <w:tcBorders>
              <w:top w:val="nil"/>
              <w:bottom w:val="nil"/>
            </w:tcBorders>
            <w:shd w:val="clear" w:color="auto" w:fill="FFFFFF" w:themeFill="background1"/>
            <w:noWrap/>
          </w:tcPr>
          <w:p w14:paraId="3FF560D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1,3</w:t>
            </w:r>
          </w:p>
        </w:tc>
      </w:tr>
      <w:tr w:rsidR="00844DC9" w:rsidRPr="0007074F" w14:paraId="08A125E3"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29820F64"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2020</w:t>
            </w:r>
          </w:p>
          <w:p w14:paraId="7D953AB4"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2021</w:t>
            </w:r>
          </w:p>
          <w:p w14:paraId="60FA0140"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2021</w:t>
            </w:r>
          </w:p>
          <w:p w14:paraId="720EE9CF"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w:t>
            </w:r>
          </w:p>
        </w:tc>
        <w:tc>
          <w:tcPr>
            <w:tcW w:w="574" w:type="pct"/>
            <w:tcBorders>
              <w:top w:val="nil"/>
              <w:bottom w:val="nil"/>
            </w:tcBorders>
            <w:shd w:val="clear" w:color="auto" w:fill="FFFFFF" w:themeFill="background1"/>
          </w:tcPr>
          <w:p w14:paraId="412CAA2D"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-2,3</w:t>
            </w:r>
          </w:p>
        </w:tc>
        <w:tc>
          <w:tcPr>
            <w:tcW w:w="571" w:type="pct"/>
            <w:tcBorders>
              <w:top w:val="nil"/>
              <w:bottom w:val="nil"/>
            </w:tcBorders>
            <w:shd w:val="clear" w:color="auto" w:fill="FFFFFF" w:themeFill="background1"/>
          </w:tcPr>
          <w:p w14:paraId="6989637A"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-8,0</w:t>
            </w:r>
          </w:p>
        </w:tc>
        <w:tc>
          <w:tcPr>
            <w:tcW w:w="572" w:type="pct"/>
            <w:tcBorders>
              <w:top w:val="nil"/>
              <w:bottom w:val="nil"/>
            </w:tcBorders>
            <w:shd w:val="clear" w:color="auto" w:fill="FFFFFF" w:themeFill="background1"/>
          </w:tcPr>
          <w:p w14:paraId="56BA2512"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-6,0</w:t>
            </w:r>
          </w:p>
        </w:tc>
        <w:tc>
          <w:tcPr>
            <w:tcW w:w="598" w:type="pct"/>
            <w:tcBorders>
              <w:top w:val="nil"/>
              <w:bottom w:val="nil"/>
            </w:tcBorders>
            <w:shd w:val="clear" w:color="auto" w:fill="FFFFFF" w:themeFill="background1"/>
          </w:tcPr>
          <w:p w14:paraId="3E2D1701"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-7,2</w:t>
            </w:r>
          </w:p>
        </w:tc>
        <w:tc>
          <w:tcPr>
            <w:tcW w:w="598" w:type="pct"/>
            <w:tcBorders>
              <w:top w:val="nil"/>
              <w:bottom w:val="nil"/>
            </w:tcBorders>
            <w:shd w:val="clear" w:color="auto" w:fill="FFFFFF" w:themeFill="background1"/>
          </w:tcPr>
          <w:p w14:paraId="62D857AE"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-5,2</w:t>
            </w:r>
          </w:p>
        </w:tc>
        <w:tc>
          <w:tcPr>
            <w:tcW w:w="572" w:type="pct"/>
            <w:tcBorders>
              <w:top w:val="nil"/>
              <w:bottom w:val="nil"/>
            </w:tcBorders>
            <w:shd w:val="clear" w:color="auto" w:fill="FFFFFF" w:themeFill="background1"/>
          </w:tcPr>
          <w:p w14:paraId="20A891A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-0,2</w:t>
            </w:r>
          </w:p>
        </w:tc>
        <w:tc>
          <w:tcPr>
            <w:tcW w:w="572" w:type="pct"/>
            <w:tcBorders>
              <w:top w:val="nil"/>
              <w:bottom w:val="nil"/>
            </w:tcBorders>
            <w:shd w:val="clear" w:color="auto" w:fill="FFFFFF" w:themeFill="background1"/>
            <w:noWrap/>
          </w:tcPr>
          <w:p w14:paraId="7DE81BD6"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1,8</w:t>
            </w:r>
          </w:p>
        </w:tc>
        <w:tc>
          <w:tcPr>
            <w:tcW w:w="572" w:type="pct"/>
            <w:tcBorders>
              <w:top w:val="nil"/>
              <w:bottom w:val="nil"/>
            </w:tcBorders>
            <w:shd w:val="clear" w:color="auto" w:fill="FFFFFF" w:themeFill="background1"/>
            <w:noWrap/>
          </w:tcPr>
          <w:p w14:paraId="4C80EA16"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6,4</w:t>
            </w:r>
          </w:p>
        </w:tc>
      </w:tr>
      <w:tr w:rsidR="00844DC9" w:rsidRPr="0007074F" w14:paraId="35E20F63"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29372B6A"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2021</w:t>
            </w:r>
          </w:p>
        </w:tc>
        <w:tc>
          <w:tcPr>
            <w:tcW w:w="574" w:type="pct"/>
            <w:tcBorders>
              <w:top w:val="nil"/>
              <w:bottom w:val="nil"/>
            </w:tcBorders>
            <w:shd w:val="clear" w:color="auto" w:fill="FFFFFF" w:themeFill="background1"/>
          </w:tcPr>
          <w:p w14:paraId="448952F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1,7</w:t>
            </w:r>
          </w:p>
        </w:tc>
        <w:tc>
          <w:tcPr>
            <w:tcW w:w="571" w:type="pct"/>
            <w:tcBorders>
              <w:top w:val="nil"/>
              <w:bottom w:val="nil"/>
            </w:tcBorders>
            <w:shd w:val="clear" w:color="auto" w:fill="FFFFFF" w:themeFill="background1"/>
          </w:tcPr>
          <w:p w14:paraId="6340457D"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-4,1</w:t>
            </w:r>
          </w:p>
        </w:tc>
        <w:tc>
          <w:tcPr>
            <w:tcW w:w="572" w:type="pct"/>
            <w:tcBorders>
              <w:top w:val="nil"/>
              <w:bottom w:val="nil"/>
            </w:tcBorders>
            <w:shd w:val="clear" w:color="auto" w:fill="FFFFFF" w:themeFill="background1"/>
          </w:tcPr>
          <w:p w14:paraId="33B6A700"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-2,4</w:t>
            </w:r>
          </w:p>
        </w:tc>
        <w:tc>
          <w:tcPr>
            <w:tcW w:w="598" w:type="pct"/>
            <w:tcBorders>
              <w:top w:val="nil"/>
              <w:bottom w:val="nil"/>
            </w:tcBorders>
            <w:shd w:val="clear" w:color="auto" w:fill="FFFFFF" w:themeFill="background1"/>
          </w:tcPr>
          <w:p w14:paraId="013175A2"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-4,7</w:t>
            </w:r>
          </w:p>
        </w:tc>
        <w:tc>
          <w:tcPr>
            <w:tcW w:w="598" w:type="pct"/>
            <w:tcBorders>
              <w:top w:val="nil"/>
              <w:bottom w:val="nil"/>
            </w:tcBorders>
            <w:shd w:val="clear" w:color="auto" w:fill="FFFFFF" w:themeFill="background1"/>
          </w:tcPr>
          <w:p w14:paraId="617A780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-3,0</w:t>
            </w:r>
          </w:p>
        </w:tc>
        <w:tc>
          <w:tcPr>
            <w:tcW w:w="572" w:type="pct"/>
            <w:tcBorders>
              <w:top w:val="nil"/>
              <w:bottom w:val="nil"/>
            </w:tcBorders>
            <w:shd w:val="clear" w:color="auto" w:fill="FFFFFF" w:themeFill="background1"/>
          </w:tcPr>
          <w:p w14:paraId="325B9CE1"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-0,7</w:t>
            </w:r>
          </w:p>
        </w:tc>
        <w:tc>
          <w:tcPr>
            <w:tcW w:w="572" w:type="pct"/>
            <w:tcBorders>
              <w:top w:val="nil"/>
              <w:bottom w:val="nil"/>
            </w:tcBorders>
            <w:shd w:val="clear" w:color="auto" w:fill="FFFFFF" w:themeFill="background1"/>
            <w:noWrap/>
          </w:tcPr>
          <w:p w14:paraId="7F9E3E19"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c>
          <w:tcPr>
            <w:tcW w:w="572" w:type="pct"/>
            <w:tcBorders>
              <w:top w:val="nil"/>
              <w:bottom w:val="nil"/>
            </w:tcBorders>
            <w:shd w:val="clear" w:color="auto" w:fill="FFFFFF" w:themeFill="background1"/>
            <w:noWrap/>
          </w:tcPr>
          <w:p w14:paraId="74C1478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-2,2</w:t>
            </w:r>
          </w:p>
        </w:tc>
      </w:tr>
      <w:tr w:rsidR="00844DC9" w:rsidRPr="0007074F" w14:paraId="762BE853"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3C7520DB"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2022</w:t>
            </w:r>
          </w:p>
        </w:tc>
        <w:tc>
          <w:tcPr>
            <w:tcW w:w="574" w:type="pct"/>
            <w:tcBorders>
              <w:top w:val="nil"/>
              <w:bottom w:val="nil"/>
            </w:tcBorders>
            <w:shd w:val="clear" w:color="auto" w:fill="FFFFFF" w:themeFill="background1"/>
          </w:tcPr>
          <w:p w14:paraId="747A4DDE"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0,5</w:t>
            </w:r>
          </w:p>
        </w:tc>
        <w:tc>
          <w:tcPr>
            <w:tcW w:w="571" w:type="pct"/>
            <w:tcBorders>
              <w:top w:val="nil"/>
              <w:bottom w:val="nil"/>
            </w:tcBorders>
            <w:shd w:val="clear" w:color="auto" w:fill="FFFFFF" w:themeFill="background1"/>
          </w:tcPr>
          <w:p w14:paraId="130A3576"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-3,2</w:t>
            </w:r>
          </w:p>
        </w:tc>
        <w:tc>
          <w:tcPr>
            <w:tcW w:w="572" w:type="pct"/>
            <w:tcBorders>
              <w:top w:val="nil"/>
              <w:bottom w:val="nil"/>
            </w:tcBorders>
            <w:shd w:val="clear" w:color="auto" w:fill="FFFFFF" w:themeFill="background1"/>
          </w:tcPr>
          <w:p w14:paraId="09B1B46E"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-1,7</w:t>
            </w:r>
          </w:p>
        </w:tc>
        <w:tc>
          <w:tcPr>
            <w:tcW w:w="598" w:type="pct"/>
            <w:tcBorders>
              <w:top w:val="nil"/>
              <w:bottom w:val="nil"/>
            </w:tcBorders>
            <w:shd w:val="clear" w:color="auto" w:fill="FFFFFF" w:themeFill="background1"/>
          </w:tcPr>
          <w:p w14:paraId="01639B29"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-3,4</w:t>
            </w:r>
          </w:p>
        </w:tc>
        <w:tc>
          <w:tcPr>
            <w:tcW w:w="598" w:type="pct"/>
            <w:tcBorders>
              <w:top w:val="nil"/>
              <w:bottom w:val="nil"/>
            </w:tcBorders>
            <w:shd w:val="clear" w:color="auto" w:fill="FFFFFF" w:themeFill="background1"/>
          </w:tcPr>
          <w:p w14:paraId="65441409"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-1,9</w:t>
            </w:r>
          </w:p>
        </w:tc>
        <w:tc>
          <w:tcPr>
            <w:tcW w:w="572" w:type="pct"/>
            <w:tcBorders>
              <w:top w:val="nil"/>
              <w:bottom w:val="nil"/>
            </w:tcBorders>
            <w:shd w:val="clear" w:color="auto" w:fill="FFFFFF" w:themeFill="background1"/>
          </w:tcPr>
          <w:p w14:paraId="7FC19A8C"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0,0</w:t>
            </w:r>
          </w:p>
        </w:tc>
        <w:tc>
          <w:tcPr>
            <w:tcW w:w="572" w:type="pct"/>
            <w:tcBorders>
              <w:top w:val="nil"/>
              <w:bottom w:val="nil"/>
            </w:tcBorders>
            <w:shd w:val="clear" w:color="auto" w:fill="FFFFFF" w:themeFill="background1"/>
            <w:noWrap/>
          </w:tcPr>
          <w:p w14:paraId="4152ED23"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1,5</w:t>
            </w:r>
          </w:p>
        </w:tc>
        <w:tc>
          <w:tcPr>
            <w:tcW w:w="572" w:type="pct"/>
            <w:tcBorders>
              <w:top w:val="nil"/>
              <w:bottom w:val="nil"/>
            </w:tcBorders>
            <w:shd w:val="clear" w:color="auto" w:fill="FFFFFF" w:themeFill="background1"/>
            <w:noWrap/>
          </w:tcPr>
          <w:p w14:paraId="2560305B"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r>
      <w:tr w:rsidR="00844DC9" w:rsidRPr="0007074F" w14:paraId="1B1F1DC4"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0D7CAD1E"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2023</w:t>
            </w:r>
          </w:p>
        </w:tc>
        <w:tc>
          <w:tcPr>
            <w:tcW w:w="574" w:type="pct"/>
            <w:tcBorders>
              <w:top w:val="nil"/>
              <w:bottom w:val="nil"/>
            </w:tcBorders>
            <w:shd w:val="clear" w:color="auto" w:fill="FFFFFF" w:themeFill="background1"/>
          </w:tcPr>
          <w:p w14:paraId="030A2035"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-0,4</w:t>
            </w:r>
          </w:p>
        </w:tc>
        <w:tc>
          <w:tcPr>
            <w:tcW w:w="571" w:type="pct"/>
            <w:tcBorders>
              <w:top w:val="nil"/>
              <w:bottom w:val="nil"/>
            </w:tcBorders>
            <w:shd w:val="clear" w:color="auto" w:fill="FFFFFF" w:themeFill="background1"/>
          </w:tcPr>
          <w:p w14:paraId="36824F98"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-3,0</w:t>
            </w:r>
          </w:p>
        </w:tc>
        <w:tc>
          <w:tcPr>
            <w:tcW w:w="572" w:type="pct"/>
            <w:tcBorders>
              <w:top w:val="nil"/>
              <w:bottom w:val="nil"/>
            </w:tcBorders>
            <w:shd w:val="clear" w:color="auto" w:fill="FFFFFF" w:themeFill="background1"/>
          </w:tcPr>
          <w:p w14:paraId="403458DB"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c>
          <w:tcPr>
            <w:tcW w:w="598" w:type="pct"/>
            <w:tcBorders>
              <w:top w:val="nil"/>
              <w:bottom w:val="nil"/>
            </w:tcBorders>
            <w:shd w:val="clear" w:color="auto" w:fill="FFFFFF" w:themeFill="background1"/>
          </w:tcPr>
          <w:p w14:paraId="3341A3D9"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-2,9</w:t>
            </w:r>
          </w:p>
        </w:tc>
        <w:tc>
          <w:tcPr>
            <w:tcW w:w="598" w:type="pct"/>
            <w:tcBorders>
              <w:top w:val="nil"/>
              <w:bottom w:val="nil"/>
            </w:tcBorders>
            <w:shd w:val="clear" w:color="auto" w:fill="FFFFFF" w:themeFill="background1"/>
          </w:tcPr>
          <w:p w14:paraId="783790F3"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-1,1</w:t>
            </w:r>
          </w:p>
        </w:tc>
        <w:tc>
          <w:tcPr>
            <w:tcW w:w="572" w:type="pct"/>
            <w:tcBorders>
              <w:top w:val="nil"/>
              <w:bottom w:val="nil"/>
            </w:tcBorders>
            <w:shd w:val="clear" w:color="auto" w:fill="FFFFFF" w:themeFill="background1"/>
          </w:tcPr>
          <w:p w14:paraId="06C0A14F"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-1,7</w:t>
            </w:r>
          </w:p>
        </w:tc>
        <w:tc>
          <w:tcPr>
            <w:tcW w:w="572" w:type="pct"/>
            <w:tcBorders>
              <w:top w:val="nil"/>
              <w:bottom w:val="nil"/>
            </w:tcBorders>
            <w:shd w:val="clear" w:color="auto" w:fill="FFFFFF" w:themeFill="background1"/>
            <w:noWrap/>
          </w:tcPr>
          <w:p w14:paraId="26F8FDE3"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0,1</w:t>
            </w:r>
          </w:p>
        </w:tc>
        <w:tc>
          <w:tcPr>
            <w:tcW w:w="572" w:type="pct"/>
            <w:tcBorders>
              <w:top w:val="nil"/>
              <w:bottom w:val="nil"/>
            </w:tcBorders>
            <w:shd w:val="clear" w:color="auto" w:fill="FFFFFF" w:themeFill="background1"/>
            <w:noWrap/>
          </w:tcPr>
          <w:p w14:paraId="3930AB0F"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-0,8</w:t>
            </w:r>
          </w:p>
        </w:tc>
      </w:tr>
      <w:tr w:rsidR="00844DC9" w:rsidRPr="0007074F" w14:paraId="3BCE8B04"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13C5AE57" w14:textId="77777777" w:rsidR="00844DC9" w:rsidRPr="0007074F" w:rsidRDefault="00844DC9" w:rsidP="000D3688">
            <w:pPr>
              <w:shd w:val="clear" w:color="auto" w:fill="FFFFFF" w:themeFill="background1"/>
              <w:spacing w:line="276" w:lineRule="auto"/>
              <w:jc w:val="left"/>
              <w:rPr>
                <w:rFonts w:ascii="Calibri" w:hAnsi="Calibri" w:cs="Calibri"/>
                <w:color w:val="002060"/>
                <w:sz w:val="16"/>
                <w:szCs w:val="16"/>
                <w:lang w:val="sr-Cyrl-CS"/>
              </w:rPr>
            </w:pPr>
            <w:r w:rsidRPr="0007074F">
              <w:rPr>
                <w:rFonts w:ascii="Calibri" w:hAnsi="Calibri" w:cs="Calibri"/>
                <w:b w:val="0"/>
                <w:color w:val="002060"/>
                <w:sz w:val="16"/>
                <w:szCs w:val="16"/>
                <w:lang w:val="sr-Cyrl-CS"/>
              </w:rPr>
              <w:t>2024</w:t>
            </w:r>
          </w:p>
        </w:tc>
        <w:tc>
          <w:tcPr>
            <w:tcW w:w="574" w:type="pct"/>
            <w:tcBorders>
              <w:top w:val="nil"/>
              <w:bottom w:val="nil"/>
            </w:tcBorders>
            <w:shd w:val="clear" w:color="auto" w:fill="FFFFFF" w:themeFill="background1"/>
          </w:tcPr>
          <w:p w14:paraId="21BDF3AF"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-0,5</w:t>
            </w:r>
          </w:p>
        </w:tc>
        <w:tc>
          <w:tcPr>
            <w:tcW w:w="571" w:type="pct"/>
            <w:tcBorders>
              <w:top w:val="nil"/>
              <w:bottom w:val="nil"/>
            </w:tcBorders>
            <w:shd w:val="clear" w:color="auto" w:fill="FFFFFF" w:themeFill="background1"/>
          </w:tcPr>
          <w:p w14:paraId="0F3A3D4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-2,2</w:t>
            </w:r>
          </w:p>
        </w:tc>
        <w:tc>
          <w:tcPr>
            <w:tcW w:w="572" w:type="pct"/>
            <w:tcBorders>
              <w:top w:val="nil"/>
              <w:bottom w:val="nil"/>
            </w:tcBorders>
            <w:shd w:val="clear" w:color="auto" w:fill="FFFFFF" w:themeFill="background1"/>
          </w:tcPr>
          <w:p w14:paraId="484D387D"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-0,1</w:t>
            </w:r>
          </w:p>
        </w:tc>
        <w:tc>
          <w:tcPr>
            <w:tcW w:w="598" w:type="pct"/>
            <w:tcBorders>
              <w:top w:val="nil"/>
              <w:bottom w:val="nil"/>
            </w:tcBorders>
            <w:shd w:val="clear" w:color="auto" w:fill="FFFFFF" w:themeFill="background1"/>
          </w:tcPr>
          <w:p w14:paraId="557CE4A2"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-2,0</w:t>
            </w:r>
          </w:p>
        </w:tc>
        <w:tc>
          <w:tcPr>
            <w:tcW w:w="598" w:type="pct"/>
            <w:tcBorders>
              <w:top w:val="nil"/>
              <w:bottom w:val="nil"/>
            </w:tcBorders>
            <w:shd w:val="clear" w:color="auto" w:fill="FFFFFF" w:themeFill="background1"/>
          </w:tcPr>
          <w:p w14:paraId="335BF0CC"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0,1</w:t>
            </w:r>
          </w:p>
        </w:tc>
        <w:tc>
          <w:tcPr>
            <w:tcW w:w="572" w:type="pct"/>
            <w:tcBorders>
              <w:top w:val="nil"/>
              <w:bottom w:val="nil"/>
            </w:tcBorders>
            <w:shd w:val="clear" w:color="auto" w:fill="FFFFFF" w:themeFill="background1"/>
          </w:tcPr>
          <w:p w14:paraId="693182B2"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-2,0</w:t>
            </w:r>
          </w:p>
        </w:tc>
        <w:tc>
          <w:tcPr>
            <w:tcW w:w="572" w:type="pct"/>
            <w:tcBorders>
              <w:top w:val="nil"/>
              <w:bottom w:val="nil"/>
            </w:tcBorders>
            <w:shd w:val="clear" w:color="auto" w:fill="FFFFFF" w:themeFill="background1"/>
            <w:noWrap/>
          </w:tcPr>
          <w:p w14:paraId="2B6FD689"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0,1</w:t>
            </w:r>
          </w:p>
        </w:tc>
        <w:tc>
          <w:tcPr>
            <w:tcW w:w="572" w:type="pct"/>
            <w:tcBorders>
              <w:top w:val="nil"/>
              <w:bottom w:val="nil"/>
            </w:tcBorders>
            <w:shd w:val="clear" w:color="auto" w:fill="FFFFFF" w:themeFill="background1"/>
            <w:noWrap/>
          </w:tcPr>
          <w:p w14:paraId="7C860083"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-1,2</w:t>
            </w:r>
          </w:p>
        </w:tc>
      </w:tr>
      <w:tr w:rsidR="00844DC9" w:rsidRPr="0007074F" w14:paraId="02342AD9" w14:textId="77777777" w:rsidTr="000D3688">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7DB7E1CE"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2025</w:t>
            </w:r>
          </w:p>
          <w:p w14:paraId="125E955F" w14:textId="77777777" w:rsidR="00844DC9" w:rsidRPr="0007074F" w:rsidRDefault="00844DC9" w:rsidP="000D3688">
            <w:pPr>
              <w:shd w:val="clear" w:color="auto" w:fill="FFFFFF" w:themeFill="background1"/>
              <w:spacing w:line="276" w:lineRule="auto"/>
              <w:jc w:val="left"/>
              <w:rPr>
                <w:rFonts w:ascii="Calibri" w:hAnsi="Calibri" w:cs="Calibri"/>
                <w:color w:val="002060"/>
                <w:sz w:val="16"/>
                <w:szCs w:val="16"/>
                <w:lang w:val="sr-Cyrl-CS"/>
              </w:rPr>
            </w:pPr>
          </w:p>
        </w:tc>
        <w:tc>
          <w:tcPr>
            <w:tcW w:w="574" w:type="pct"/>
            <w:tcBorders>
              <w:top w:val="nil"/>
              <w:bottom w:val="nil"/>
            </w:tcBorders>
            <w:shd w:val="clear" w:color="auto" w:fill="FFFFFF" w:themeFill="background1"/>
          </w:tcPr>
          <w:p w14:paraId="519528F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-0,3</w:t>
            </w:r>
          </w:p>
        </w:tc>
        <w:tc>
          <w:tcPr>
            <w:tcW w:w="571" w:type="pct"/>
            <w:tcBorders>
              <w:top w:val="nil"/>
              <w:bottom w:val="nil"/>
            </w:tcBorders>
            <w:shd w:val="clear" w:color="auto" w:fill="FFFFFF" w:themeFill="background1"/>
          </w:tcPr>
          <w:p w14:paraId="62516232"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-1,5</w:t>
            </w:r>
          </w:p>
        </w:tc>
        <w:tc>
          <w:tcPr>
            <w:tcW w:w="572" w:type="pct"/>
            <w:tcBorders>
              <w:top w:val="nil"/>
              <w:bottom w:val="nil"/>
            </w:tcBorders>
            <w:shd w:val="clear" w:color="auto" w:fill="FFFFFF" w:themeFill="background1"/>
          </w:tcPr>
          <w:p w14:paraId="67310987"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0,8</w:t>
            </w:r>
          </w:p>
        </w:tc>
        <w:tc>
          <w:tcPr>
            <w:tcW w:w="598" w:type="pct"/>
            <w:tcBorders>
              <w:top w:val="nil"/>
              <w:bottom w:val="nil"/>
            </w:tcBorders>
            <w:shd w:val="clear" w:color="auto" w:fill="FFFFFF" w:themeFill="background1"/>
          </w:tcPr>
          <w:p w14:paraId="5F47796D"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-1,4</w:t>
            </w:r>
          </w:p>
        </w:tc>
        <w:tc>
          <w:tcPr>
            <w:tcW w:w="598" w:type="pct"/>
            <w:tcBorders>
              <w:top w:val="nil"/>
              <w:bottom w:val="nil"/>
            </w:tcBorders>
            <w:shd w:val="clear" w:color="auto" w:fill="FFFFFF" w:themeFill="background1"/>
          </w:tcPr>
          <w:p w14:paraId="540A2E54"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0,9</w:t>
            </w:r>
          </w:p>
        </w:tc>
        <w:tc>
          <w:tcPr>
            <w:tcW w:w="572" w:type="pct"/>
            <w:tcBorders>
              <w:top w:val="nil"/>
              <w:bottom w:val="nil"/>
            </w:tcBorders>
            <w:shd w:val="clear" w:color="auto" w:fill="FFFFFF" w:themeFill="background1"/>
          </w:tcPr>
          <w:p w14:paraId="25A01D4A"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-1,4</w:t>
            </w:r>
          </w:p>
        </w:tc>
        <w:tc>
          <w:tcPr>
            <w:tcW w:w="572" w:type="pct"/>
            <w:tcBorders>
              <w:top w:val="nil"/>
              <w:bottom w:val="nil"/>
            </w:tcBorders>
            <w:shd w:val="clear" w:color="auto" w:fill="FFFFFF" w:themeFill="background1"/>
            <w:noWrap/>
          </w:tcPr>
          <w:p w14:paraId="0A907262"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0,9</w:t>
            </w:r>
          </w:p>
        </w:tc>
        <w:tc>
          <w:tcPr>
            <w:tcW w:w="572" w:type="pct"/>
            <w:tcBorders>
              <w:top w:val="nil"/>
              <w:bottom w:val="nil"/>
            </w:tcBorders>
            <w:shd w:val="clear" w:color="auto" w:fill="FFFFFF" w:themeFill="background1"/>
            <w:noWrap/>
          </w:tcPr>
          <w:p w14:paraId="6280CC8D" w14:textId="77777777" w:rsidR="00844DC9" w:rsidRPr="0007074F" w:rsidRDefault="00844DC9" w:rsidP="000D368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-0,8</w:t>
            </w:r>
          </w:p>
        </w:tc>
      </w:tr>
      <w:tr w:rsidR="00844DC9" w:rsidRPr="0007074F" w14:paraId="4825196A" w14:textId="77777777" w:rsidTr="000D3688">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single" w:sz="4" w:space="0" w:color="002060"/>
            </w:tcBorders>
            <w:shd w:val="clear" w:color="auto" w:fill="FFFFFF" w:themeFill="background1"/>
            <w:noWrap/>
          </w:tcPr>
          <w:p w14:paraId="265C7058" w14:textId="77777777" w:rsidR="00844DC9" w:rsidRPr="0007074F" w:rsidRDefault="00844DC9" w:rsidP="000D3688">
            <w:pPr>
              <w:shd w:val="clear" w:color="auto" w:fill="FFFFFF" w:themeFill="background1"/>
              <w:spacing w:line="276" w:lineRule="auto"/>
              <w:jc w:val="left"/>
              <w:rPr>
                <w:rFonts w:ascii="Calibri" w:hAnsi="Calibri" w:cs="Calibri"/>
                <w:b w:val="0"/>
                <w:color w:val="002060"/>
                <w:sz w:val="16"/>
                <w:szCs w:val="16"/>
                <w:lang w:val="sr-Cyrl-CS"/>
              </w:rPr>
            </w:pPr>
            <w:r w:rsidRPr="0007074F">
              <w:rPr>
                <w:rFonts w:ascii="Calibri" w:hAnsi="Calibri" w:cs="Calibri"/>
                <w:b w:val="0"/>
                <w:color w:val="002060"/>
                <w:sz w:val="16"/>
                <w:szCs w:val="16"/>
                <w:lang w:val="sr-Cyrl-CS"/>
              </w:rPr>
              <w:t>2026</w:t>
            </w:r>
          </w:p>
        </w:tc>
        <w:tc>
          <w:tcPr>
            <w:tcW w:w="574" w:type="pct"/>
            <w:tcBorders>
              <w:top w:val="nil"/>
              <w:bottom w:val="single" w:sz="4" w:space="0" w:color="002060"/>
            </w:tcBorders>
            <w:shd w:val="clear" w:color="auto" w:fill="FFFFFF" w:themeFill="background1"/>
          </w:tcPr>
          <w:p w14:paraId="434EAB93"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0,1</w:t>
            </w:r>
          </w:p>
        </w:tc>
        <w:tc>
          <w:tcPr>
            <w:tcW w:w="571" w:type="pct"/>
            <w:tcBorders>
              <w:top w:val="nil"/>
              <w:bottom w:val="single" w:sz="4" w:space="0" w:color="002060"/>
            </w:tcBorders>
            <w:shd w:val="clear" w:color="auto" w:fill="FFFFFF" w:themeFill="background1"/>
          </w:tcPr>
          <w:p w14:paraId="3C18FB72"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-1,5</w:t>
            </w:r>
          </w:p>
        </w:tc>
        <w:tc>
          <w:tcPr>
            <w:tcW w:w="572" w:type="pct"/>
            <w:tcBorders>
              <w:top w:val="nil"/>
              <w:bottom w:val="single" w:sz="4" w:space="0" w:color="002060"/>
            </w:tcBorders>
            <w:shd w:val="clear" w:color="auto" w:fill="FFFFFF" w:themeFill="background1"/>
          </w:tcPr>
          <w:p w14:paraId="25732479"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0,9</w:t>
            </w:r>
          </w:p>
        </w:tc>
        <w:tc>
          <w:tcPr>
            <w:tcW w:w="598" w:type="pct"/>
            <w:tcBorders>
              <w:top w:val="nil"/>
              <w:bottom w:val="single" w:sz="4" w:space="0" w:color="002060"/>
            </w:tcBorders>
            <w:shd w:val="clear" w:color="auto" w:fill="FFFFFF" w:themeFill="background1"/>
          </w:tcPr>
          <w:p w14:paraId="4D4B0A8D"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-1,5</w:t>
            </w:r>
          </w:p>
        </w:tc>
        <w:tc>
          <w:tcPr>
            <w:tcW w:w="598" w:type="pct"/>
            <w:tcBorders>
              <w:top w:val="nil"/>
              <w:bottom w:val="single" w:sz="4" w:space="0" w:color="002060"/>
            </w:tcBorders>
            <w:shd w:val="clear" w:color="auto" w:fill="FFFFFF" w:themeFill="background1"/>
          </w:tcPr>
          <w:p w14:paraId="52E09FD5"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0,9</w:t>
            </w:r>
          </w:p>
        </w:tc>
        <w:tc>
          <w:tcPr>
            <w:tcW w:w="572" w:type="pct"/>
            <w:tcBorders>
              <w:top w:val="nil"/>
              <w:bottom w:val="single" w:sz="4" w:space="0" w:color="002060"/>
            </w:tcBorders>
            <w:shd w:val="clear" w:color="auto" w:fill="FFFFFF" w:themeFill="background1"/>
          </w:tcPr>
          <w:p w14:paraId="0E609BB4"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-1,5</w:t>
            </w:r>
          </w:p>
        </w:tc>
        <w:tc>
          <w:tcPr>
            <w:tcW w:w="572" w:type="pct"/>
            <w:tcBorders>
              <w:top w:val="nil"/>
              <w:bottom w:val="single" w:sz="4" w:space="0" w:color="002060"/>
            </w:tcBorders>
            <w:shd w:val="clear" w:color="auto" w:fill="FFFFFF" w:themeFill="background1"/>
            <w:noWrap/>
          </w:tcPr>
          <w:p w14:paraId="2B41FC64"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0,9</w:t>
            </w:r>
          </w:p>
        </w:tc>
        <w:tc>
          <w:tcPr>
            <w:tcW w:w="572" w:type="pct"/>
            <w:tcBorders>
              <w:top w:val="nil"/>
              <w:bottom w:val="single" w:sz="4" w:space="0" w:color="002060"/>
            </w:tcBorders>
            <w:shd w:val="clear" w:color="auto" w:fill="FFFFFF" w:themeFill="background1"/>
            <w:noWrap/>
          </w:tcPr>
          <w:p w14:paraId="1D7C646B" w14:textId="77777777" w:rsidR="00844DC9" w:rsidRPr="0007074F" w:rsidRDefault="00844DC9" w:rsidP="000D368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lang w:val="sr-Cyrl-CS"/>
              </w:rPr>
            </w:pPr>
            <w:r w:rsidRPr="0007074F">
              <w:rPr>
                <w:rFonts w:asciiTheme="minorHAnsi" w:hAnsiTheme="minorHAnsi" w:cstheme="minorHAnsi"/>
                <w:color w:val="002060"/>
                <w:sz w:val="16"/>
                <w:szCs w:val="16"/>
                <w:lang w:val="sr-Cyrl-CS"/>
              </w:rPr>
              <w:t>0,0</w:t>
            </w:r>
          </w:p>
        </w:tc>
      </w:tr>
    </w:tbl>
    <w:p w14:paraId="524CC85B" w14:textId="5FE71335" w:rsidR="00844DC9" w:rsidRPr="0007074F" w:rsidRDefault="00844DC9" w:rsidP="00E124CF">
      <w:pPr>
        <w:shd w:val="clear" w:color="auto" w:fill="FFFFFF" w:themeFill="background1"/>
        <w:spacing w:before="40" w:after="0" w:line="276" w:lineRule="auto"/>
        <w:rPr>
          <w:rFonts w:ascii="Calibri" w:eastAsia="MS PGothic" w:hAnsi="Calibri" w:cs="Calibri"/>
          <w:sz w:val="16"/>
          <w:szCs w:val="16"/>
          <w:lang w:val="sr-Cyrl-CS" w:eastAsia="ja-JP"/>
        </w:rPr>
      </w:pPr>
      <w:r w:rsidRPr="0007074F">
        <w:rPr>
          <w:rFonts w:ascii="Calibri" w:eastAsia="MS PGothic" w:hAnsi="Calibri" w:cs="Calibri"/>
          <w:bCs/>
          <w:sz w:val="16"/>
          <w:szCs w:val="16"/>
          <w:lang w:val="sr-Cyrl-CS" w:eastAsia="ja-JP"/>
        </w:rPr>
        <w:t xml:space="preserve">* </w:t>
      </w:r>
      <w:r w:rsidRPr="0007074F">
        <w:rPr>
          <w:rFonts w:ascii="Calibri" w:eastAsia="MS PGothic" w:hAnsi="Calibri" w:cs="Calibri"/>
          <w:sz w:val="16"/>
          <w:szCs w:val="16"/>
          <w:lang w:val="sr-Cyrl-CS" w:eastAsia="ja-JP"/>
        </w:rPr>
        <w:t>За период 202</w:t>
      </w:r>
      <w:r w:rsidR="0050086D" w:rsidRPr="0007074F">
        <w:rPr>
          <w:rFonts w:ascii="Calibri" w:eastAsia="MS PGothic" w:hAnsi="Calibri" w:cs="Calibri"/>
          <w:sz w:val="16"/>
          <w:szCs w:val="16"/>
          <w:lang w:val="sr-Cyrl-CS" w:eastAsia="ja-JP"/>
        </w:rPr>
        <w:t>3</w:t>
      </w:r>
      <w:r w:rsidRPr="0007074F">
        <w:rPr>
          <w:rFonts w:ascii="Calibri" w:eastAsia="MS PGothic" w:hAnsi="Calibri" w:cs="Calibri"/>
          <w:sz w:val="16"/>
          <w:szCs w:val="16"/>
          <w:lang w:val="sr-Cyrl-CS" w:eastAsia="ja-JP"/>
        </w:rPr>
        <w:t>–2026. године приказане су пројектоване вредности.</w:t>
      </w:r>
    </w:p>
    <w:p w14:paraId="66AF2485" w14:textId="77777777" w:rsidR="00844DC9" w:rsidRPr="0007074F" w:rsidRDefault="00844DC9" w:rsidP="000D3688">
      <w:pPr>
        <w:shd w:val="clear" w:color="auto" w:fill="FFFFFF" w:themeFill="background1"/>
        <w:spacing w:after="0" w:line="276" w:lineRule="auto"/>
        <w:rPr>
          <w:rFonts w:ascii="Calibri" w:eastAsia="MS PGothic" w:hAnsi="Calibri" w:cs="Calibri"/>
          <w:sz w:val="16"/>
          <w:szCs w:val="16"/>
          <w:lang w:val="sr-Cyrl-CS" w:eastAsia="ja-JP"/>
        </w:rPr>
      </w:pPr>
      <w:r w:rsidRPr="0007074F">
        <w:rPr>
          <w:rFonts w:ascii="Calibri" w:eastAsia="MS PGothic" w:hAnsi="Calibri" w:cs="Calibri"/>
          <w:bCs/>
          <w:sz w:val="16"/>
          <w:szCs w:val="16"/>
          <w:lang w:val="sr-Cyrl-CS" w:eastAsia="ja-JP"/>
        </w:rPr>
        <w:t>** Структурни примарни биланс добијен је искључивањем процењених једнократних прихода и расхода</w:t>
      </w:r>
      <w:r w:rsidRPr="0007074F">
        <w:rPr>
          <w:rFonts w:ascii="Calibri" w:eastAsia="MS PGothic" w:hAnsi="Calibri" w:cs="Calibri"/>
          <w:sz w:val="16"/>
          <w:szCs w:val="16"/>
          <w:lang w:val="sr-Cyrl-CS" w:eastAsia="ja-JP"/>
        </w:rPr>
        <w:t>. Резултати који приказују промену структурног примарног дефицита не искључују експлицитно ефекте повећања ефикасности наплате прихода, па се оцена структурног прилагођавања у 2015. и 2016. години делимично разликује од претходно приказаних ефеката.</w:t>
      </w:r>
    </w:p>
    <w:p w14:paraId="6818FDDF" w14:textId="77777777" w:rsidR="00844DC9" w:rsidRPr="0007074F" w:rsidRDefault="00844DC9" w:rsidP="000D3688">
      <w:pPr>
        <w:spacing w:line="276" w:lineRule="auto"/>
        <w:rPr>
          <w:rFonts w:ascii="Calibri" w:eastAsia="Calibri" w:hAnsi="Calibri" w:cs="Calibri"/>
          <w:sz w:val="16"/>
          <w:szCs w:val="20"/>
          <w:lang w:val="sr-Cyrl-CS"/>
        </w:rPr>
      </w:pPr>
      <w:r w:rsidRPr="0007074F">
        <w:rPr>
          <w:rFonts w:ascii="Calibri" w:eastAsia="Calibri" w:hAnsi="Calibri" w:cs="Calibri"/>
          <w:sz w:val="16"/>
          <w:szCs w:val="16"/>
          <w:lang w:val="sr-Cyrl-CS"/>
        </w:rPr>
        <w:t xml:space="preserve">Извор: </w:t>
      </w:r>
      <w:r w:rsidRPr="0007074F">
        <w:rPr>
          <w:rFonts w:ascii="Calibri" w:eastAsia="Calibri" w:hAnsi="Calibri" w:cs="Calibri"/>
          <w:sz w:val="16"/>
          <w:szCs w:val="20"/>
          <w:lang w:val="sr-Cyrl-CS"/>
        </w:rPr>
        <w:t>Министарство финансија</w:t>
      </w:r>
    </w:p>
    <w:p w14:paraId="21D04202" w14:textId="77777777" w:rsidR="00844DC9" w:rsidRPr="0007074F" w:rsidRDefault="00844DC9" w:rsidP="000D3688">
      <w:pPr>
        <w:spacing w:line="276" w:lineRule="auto"/>
        <w:rPr>
          <w:rFonts w:ascii="Calibri" w:eastAsia="Calibri" w:hAnsi="Calibri" w:cs="Calibri"/>
          <w:sz w:val="16"/>
          <w:szCs w:val="16"/>
          <w:lang w:val="sr-Cyrl-CS"/>
        </w:rPr>
        <w:sectPr w:rsidR="00844DC9" w:rsidRPr="0007074F" w:rsidSect="000D3688">
          <w:type w:val="continuous"/>
          <w:pgSz w:w="12240" w:h="15840" w:code="1"/>
          <w:pgMar w:top="1417" w:right="1417" w:bottom="1417" w:left="1417" w:header="720" w:footer="720" w:gutter="0"/>
          <w:cols w:space="720"/>
        </w:sectPr>
      </w:pPr>
    </w:p>
    <w:p w14:paraId="4D811314" w14:textId="77777777" w:rsidR="00844DC9" w:rsidRPr="0007074F" w:rsidRDefault="00844DC9" w:rsidP="000D3688">
      <w:pPr>
        <w:spacing w:after="0"/>
        <w:jc w:val="center"/>
        <w:rPr>
          <w:color w:val="002060"/>
          <w:lang w:val="sr-Cyrl-CS" w:eastAsia="sr-Cyrl-RS"/>
        </w:rPr>
      </w:pPr>
      <w:r w:rsidRPr="0007074F">
        <w:rPr>
          <w:rFonts w:cstheme="minorHAnsi"/>
          <w:b/>
          <w:color w:val="002060"/>
          <w:lang w:val="sr-Cyrl-CS"/>
        </w:rPr>
        <w:t>Производни јаз, циклично прилаг. и структурни фиск. биланс у периоду 2005–2026. год, % БДП*</w:t>
      </w:r>
    </w:p>
    <w:p w14:paraId="6BC5C3A0" w14:textId="77777777" w:rsidR="00844DC9" w:rsidRPr="0007074F" w:rsidRDefault="00844DC9" w:rsidP="00E124CF">
      <w:pPr>
        <w:spacing w:after="0"/>
        <w:jc w:val="left"/>
        <w:rPr>
          <w:lang w:val="sr-Cyrl-CS" w:eastAsia="sr-Cyrl-RS"/>
        </w:rPr>
      </w:pPr>
      <w:r w:rsidRPr="0007074F">
        <w:rPr>
          <w:noProof/>
          <w:color w:val="2F5496" w:themeColor="accent1" w:themeShade="BF"/>
        </w:rPr>
        <w:drawing>
          <wp:inline distT="0" distB="0" distL="0" distR="0" wp14:anchorId="52769C1D" wp14:editId="3EFF284F">
            <wp:extent cx="2757805" cy="2400300"/>
            <wp:effectExtent l="0" t="0" r="4445" b="0"/>
            <wp:docPr id="90" name="Chart 9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p w14:paraId="1CEEB768" w14:textId="77777777" w:rsidR="00844DC9" w:rsidRPr="0007074F" w:rsidRDefault="00844DC9" w:rsidP="002F6B52">
      <w:pPr>
        <w:jc w:val="left"/>
        <w:rPr>
          <w:rFonts w:ascii="Calibri" w:eastAsia="MS PGothic" w:hAnsi="Calibri" w:cs="Calibri"/>
          <w:sz w:val="16"/>
          <w:szCs w:val="20"/>
          <w:lang w:val="sr-Cyrl-CS" w:eastAsia="ja-JP"/>
        </w:rPr>
      </w:pPr>
      <w:r w:rsidRPr="0007074F">
        <w:rPr>
          <w:rFonts w:ascii="Calibri" w:eastAsia="MS PGothic" w:hAnsi="Calibri" w:cs="Calibri"/>
          <w:sz w:val="16"/>
          <w:szCs w:val="20"/>
          <w:lang w:val="sr-Cyrl-CS" w:eastAsia="ja-JP"/>
        </w:rPr>
        <w:t>* За период 2023–2026. године приказане су пројектоване вредности.</w:t>
      </w:r>
    </w:p>
    <w:p w14:paraId="0CFEC203" w14:textId="77777777" w:rsidR="00844DC9" w:rsidRPr="0007074F" w:rsidRDefault="00844DC9" w:rsidP="00730036">
      <w:pPr>
        <w:spacing w:after="0"/>
        <w:jc w:val="center"/>
        <w:rPr>
          <w:color w:val="002060"/>
          <w:lang w:val="sr-Cyrl-CS" w:eastAsia="sr-Cyrl-RS"/>
        </w:rPr>
      </w:pPr>
      <w:r w:rsidRPr="0007074F">
        <w:rPr>
          <w:rFonts w:cstheme="minorHAnsi"/>
          <w:b/>
          <w:color w:val="002060"/>
          <w:lang w:val="sr-Cyrl-CS"/>
        </w:rPr>
        <w:t>Карактер и ефекти фискалне политике у периоду 2006–2026. године, % БДП*</w:t>
      </w:r>
    </w:p>
    <w:p w14:paraId="2465AD88" w14:textId="77777777" w:rsidR="00844DC9" w:rsidRPr="0007074F" w:rsidRDefault="00844DC9" w:rsidP="002F6B52">
      <w:pPr>
        <w:jc w:val="left"/>
        <w:rPr>
          <w:rFonts w:ascii="Calibri" w:eastAsia="MS PGothic" w:hAnsi="Calibri" w:cs="Calibri"/>
          <w:sz w:val="16"/>
          <w:szCs w:val="20"/>
          <w:lang w:val="sr-Cyrl-CS" w:eastAsia="ja-JP"/>
        </w:rPr>
      </w:pPr>
      <w:r w:rsidRPr="0007074F">
        <w:rPr>
          <w:noProof/>
          <w:color w:val="2F5496" w:themeColor="accent1" w:themeShade="BF"/>
        </w:rPr>
        <w:drawing>
          <wp:inline distT="0" distB="0" distL="0" distR="0" wp14:anchorId="31E7BC7D" wp14:editId="55A9FF4F">
            <wp:extent cx="2757805" cy="2400300"/>
            <wp:effectExtent l="0" t="0" r="4445" b="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r w:rsidRPr="0007074F">
        <w:rPr>
          <w:rFonts w:ascii="Calibri" w:eastAsia="MS PGothic" w:hAnsi="Calibri" w:cs="Calibri"/>
          <w:sz w:val="16"/>
          <w:szCs w:val="20"/>
          <w:lang w:val="sr-Cyrl-CS" w:eastAsia="ja-JP"/>
        </w:rPr>
        <w:t>* За период 2023–2026. године приказане су пројектоване вредности.</w:t>
      </w:r>
    </w:p>
    <w:p w14:paraId="6BBEF5F9" w14:textId="77777777" w:rsidR="00844DC9" w:rsidRPr="0007074F" w:rsidRDefault="00844DC9" w:rsidP="002F6B52">
      <w:pPr>
        <w:jc w:val="left"/>
        <w:rPr>
          <w:rFonts w:ascii="Calibri" w:eastAsia="MS PGothic" w:hAnsi="Calibri" w:cs="Calibri"/>
          <w:sz w:val="16"/>
          <w:szCs w:val="20"/>
          <w:lang w:val="sr-Cyrl-CS" w:eastAsia="ja-JP"/>
        </w:rPr>
        <w:sectPr w:rsidR="00844DC9" w:rsidRPr="0007074F" w:rsidSect="000D3688">
          <w:type w:val="continuous"/>
          <w:pgSz w:w="12240" w:h="15840" w:code="1"/>
          <w:pgMar w:top="1417" w:right="1417" w:bottom="1417" w:left="1417" w:header="720" w:footer="720" w:gutter="0"/>
          <w:cols w:num="2" w:space="720"/>
        </w:sectPr>
      </w:pPr>
    </w:p>
    <w:p w14:paraId="17EF3ACF" w14:textId="3A155276" w:rsidR="00844DC9" w:rsidRPr="0007074F" w:rsidRDefault="00844DC9" w:rsidP="00E124CF">
      <w:pPr>
        <w:spacing w:after="120"/>
        <w:rPr>
          <w:lang w:val="sr-Cyrl-CS" w:eastAsia="ja-JP"/>
        </w:rPr>
      </w:pPr>
      <w:r w:rsidRPr="0007074F">
        <w:rPr>
          <w:rFonts w:ascii="Calibri" w:eastAsia="Calibri" w:hAnsi="Calibri" w:cs="Calibri"/>
          <w:bCs/>
          <w:szCs w:val="20"/>
          <w:lang w:val="sr-Cyrl-CS"/>
        </w:rPr>
        <w:lastRenderedPageBreak/>
        <w:t>Структурна фискална позиција земље није нарушена у периоду између 2020. и 2022. године, због тога што су спроведене мере помоћи привреди и становништву из домена фискалне политике биле временски ограниченог карактера.</w:t>
      </w:r>
      <w:r w:rsidRPr="0007074F">
        <w:rPr>
          <w:rFonts w:ascii="Calibri" w:eastAsia="Calibri" w:hAnsi="Calibri" w:cs="Calibri"/>
          <w:szCs w:val="20"/>
          <w:lang w:val="sr-Cyrl-CS"/>
        </w:rPr>
        <w:t xml:space="preserve"> Осим тога, енергетска криза условила је значајне интервенције државе у домену обезбеђивања енергетске стабилности у 2022. години. На ове потребе, утрошено је 2,8% БДП. Током 2022. години ре</w:t>
      </w:r>
      <w:r w:rsidR="005652FE" w:rsidRPr="0007074F">
        <w:rPr>
          <w:rFonts w:ascii="Calibri" w:eastAsia="Calibri" w:hAnsi="Calibri" w:cs="Calibri"/>
          <w:szCs w:val="20"/>
          <w:lang w:val="sr-Cyrl-CS"/>
        </w:rPr>
        <w:t>а</w:t>
      </w:r>
      <w:r w:rsidRPr="0007074F">
        <w:rPr>
          <w:rFonts w:ascii="Calibri" w:eastAsia="Calibri" w:hAnsi="Calibri" w:cs="Calibri"/>
          <w:szCs w:val="20"/>
          <w:lang w:val="sr-Cyrl-CS"/>
        </w:rPr>
        <w:t xml:space="preserve">лизован је и одређени износ средстава као вид помоћи становништву у висини од 0,9% БДП. Осим повећаних издатака за енергенте, помоћ становништву и привреди, обезбеђена је и смањењем акциза на </w:t>
      </w:r>
      <w:r w:rsidR="00416E7C" w:rsidRPr="0007074F">
        <w:rPr>
          <w:lang w:val="sr-Cyrl-CS" w:eastAsia="ja-JP"/>
        </w:rPr>
        <w:t>нафтне деривате.</w:t>
      </w:r>
    </w:p>
    <w:p w14:paraId="4FAFD9A9" w14:textId="7A337F99" w:rsidR="00844DC9" w:rsidRPr="0007074F" w:rsidRDefault="00844DC9" w:rsidP="00E124CF">
      <w:pPr>
        <w:spacing w:after="120"/>
        <w:rPr>
          <w:rFonts w:ascii="Calibri" w:eastAsia="Calibri" w:hAnsi="Calibri" w:cs="Calibri"/>
          <w:szCs w:val="20"/>
          <w:lang w:val="sr-Cyrl-CS"/>
        </w:rPr>
      </w:pPr>
      <w:r w:rsidRPr="0007074F">
        <w:rPr>
          <w:bCs/>
          <w:lang w:val="sr-Cyrl-CS" w:eastAsia="ja-JP"/>
        </w:rPr>
        <w:t>Током 2023. године</w:t>
      </w:r>
      <w:r w:rsidR="006937C7" w:rsidRPr="0007074F">
        <w:rPr>
          <w:lang w:val="sr-Cyrl-CS" w:eastAsia="ja-JP"/>
        </w:rPr>
        <w:t>,</w:t>
      </w:r>
      <w:r w:rsidRPr="0007074F">
        <w:rPr>
          <w:lang w:val="sr-Cyrl-CS" w:eastAsia="ja-JP"/>
        </w:rPr>
        <w:t xml:space="preserve"> промена у структурној позицији сектора државе делом је условљена изменом формуле за усклађивање пензија у складу са новим фискалним правилима, као и ванредног повећања висине пензија крајем претходне године. Ново посебно фискално правило уводи директну везу између начина усклађивања пензија и учешћа овог облика расхода у БДП. Овакво системско решење обезбеђује да се не угрози одрживост јавних финансија, а да примања и стандард пензионера у већој мери рефлектују економску снагу земље. Остатак благог погоршања структурне фискалне позиције последица је и раста учешћа расхода за камате у БДП. Увећани трошкови задуживања, као последица мера за сузбијање инфлаторних тенденција на домаћем и међународном тржишту, свакако ће и у наредном периоду имати негативан ефекат сличног интензитета. Међутим, сет усвојених фискалних правила, поред осталог, предвиђа директну везу између планираних нивоа фискалног резултата и учешћа јавног дуга у БДП. На тај начин, поставља се и граница структурног фискалног резултата у средњем и дугом року, са основним циљем да се обезбеди одржив ниво јавног дуга.</w:t>
      </w:r>
    </w:p>
    <w:p w14:paraId="283E06A8" w14:textId="4FEAF02E" w:rsidR="00844DC9" w:rsidRPr="0007074F" w:rsidRDefault="00844DC9" w:rsidP="000D3688">
      <w:pPr>
        <w:spacing w:after="120"/>
        <w:rPr>
          <w:rFonts w:eastAsia="MS PGothic" w:cs="Calibri"/>
          <w:szCs w:val="20"/>
          <w:lang w:val="sr-Cyrl-CS" w:eastAsia="ja-JP"/>
        </w:rPr>
      </w:pPr>
      <w:r w:rsidRPr="0007074F">
        <w:rPr>
          <w:lang w:val="sr-Cyrl-CS" w:eastAsia="ja-JP"/>
        </w:rPr>
        <w:t>Како је фискални импулс дефинисан као разлика два узастопна циклично прилагођена (примарна) резултата, оцењује се да је фискална политика током 2020. године била изразито експанзивно-контрациклична, усмерена на ублажавање негативног економског циклуса. Услед нешто мањег обима пакета мера економске подршке у 2021. години, фискална политика је рестриктивнија него претходне године, а по карактеру такође контрациклична. У 2022. и 2023. години оцењено је да је фискална политика благо рестриктивна, и поред значајних издвајања за ублажавање енергетске кризе. Делом је то и последица раста расхода за камате који се искључују из обрачуна примарног резултата. Сличан рестриктиван карактер политике, а услед потребе да се фискални резултати доведу на ниво предвиђен фискалним правилима, очекује се и у пе</w:t>
      </w:r>
      <w:r w:rsidR="00074664" w:rsidRPr="0007074F">
        <w:rPr>
          <w:lang w:val="sr-Cyrl-CS" w:eastAsia="ja-JP"/>
        </w:rPr>
        <w:t>риоду од 2024. до 2026. године.</w:t>
      </w:r>
    </w:p>
    <w:p w14:paraId="6E9221D6" w14:textId="77777777" w:rsidR="00844DC9" w:rsidRPr="0007074F" w:rsidRDefault="00844DC9" w:rsidP="000D3688">
      <w:pPr>
        <w:spacing w:after="120"/>
        <w:jc w:val="center"/>
        <w:rPr>
          <w:color w:val="002060"/>
          <w:lang w:val="sr-Cyrl-CS"/>
        </w:rPr>
      </w:pPr>
      <w:r w:rsidRPr="0007074F">
        <w:rPr>
          <w:rFonts w:cstheme="minorHAnsi"/>
          <w:b/>
          <w:color w:val="002060"/>
          <w:lang w:val="sr-Cyrl-CS"/>
        </w:rPr>
        <w:t>Карактер и ефекти фискалне политике у периоду 2006–2023. године, % БДП</w:t>
      </w:r>
    </w:p>
    <w:p w14:paraId="77290187" w14:textId="29BE4559" w:rsidR="00844DC9" w:rsidRPr="0007074F" w:rsidRDefault="001D138B" w:rsidP="000D3688">
      <w:pPr>
        <w:rPr>
          <w:lang w:val="sr-Cyrl-CS"/>
        </w:rPr>
      </w:pPr>
      <w:r w:rsidRPr="0007074F">
        <w:rPr>
          <w:noProof/>
          <w:sz w:val="14"/>
          <w:szCs w:val="14"/>
        </w:rPr>
        <w:drawing>
          <wp:inline distT="0" distB="0" distL="0" distR="0" wp14:anchorId="0377314A" wp14:editId="1FBB0F6D">
            <wp:extent cx="2757805" cy="2768600"/>
            <wp:effectExtent l="0" t="0" r="4445" b="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2"/>
              </a:graphicData>
            </a:graphic>
          </wp:inline>
        </w:drawing>
      </w:r>
    </w:p>
    <w:p w14:paraId="7B2CA2BB" w14:textId="77777777" w:rsidR="00844DC9" w:rsidRPr="0007074F" w:rsidRDefault="00844DC9" w:rsidP="000D3688">
      <w:pPr>
        <w:rPr>
          <w:lang w:val="sr-Cyrl-CS"/>
        </w:rPr>
      </w:pPr>
    </w:p>
    <w:p w14:paraId="7A6BE886" w14:textId="77777777" w:rsidR="00844DC9" w:rsidRPr="0007074F" w:rsidRDefault="00844DC9" w:rsidP="000D3688">
      <w:pPr>
        <w:rPr>
          <w:lang w:val="sr-Cyrl-CS"/>
        </w:rPr>
      </w:pPr>
    </w:p>
    <w:p w14:paraId="18C461FB" w14:textId="77777777" w:rsidR="00844DC9" w:rsidRPr="0007074F" w:rsidRDefault="00844DC9" w:rsidP="00E124CF">
      <w:pPr>
        <w:spacing w:after="120"/>
        <w:rPr>
          <w:rFonts w:ascii="Calibri" w:eastAsia="MS PGothic" w:hAnsi="Calibri" w:cs="Calibri"/>
          <w:color w:val="2F5496" w:themeColor="accent1" w:themeShade="BF"/>
          <w:szCs w:val="20"/>
          <w:lang w:val="sr-Cyrl-CS" w:eastAsia="ja-JP"/>
        </w:rPr>
        <w:sectPr w:rsidR="00844DC9" w:rsidRPr="0007074F" w:rsidSect="000D3688">
          <w:type w:val="continuous"/>
          <w:pgSz w:w="12240" w:h="15840" w:code="1"/>
          <w:pgMar w:top="1417" w:right="1417" w:bottom="1417" w:left="1417" w:header="720" w:footer="720" w:gutter="0"/>
          <w:cols w:num="2" w:space="720"/>
        </w:sectPr>
      </w:pPr>
    </w:p>
    <w:p w14:paraId="04DB52E5" w14:textId="2F562329" w:rsidR="00220F3F" w:rsidRPr="0007074F" w:rsidRDefault="00844DC9" w:rsidP="00220F3F">
      <w:pPr>
        <w:spacing w:after="360"/>
        <w:jc w:val="center"/>
        <w:outlineLvl w:val="1"/>
        <w:rPr>
          <w:rFonts w:eastAsia="MS PGothic" w:cstheme="minorHAnsi"/>
          <w:b/>
          <w:color w:val="2F5496" w:themeColor="accent1" w:themeShade="BF"/>
          <w:sz w:val="24"/>
          <w:szCs w:val="26"/>
          <w:lang w:val="sr-Cyrl-CS" w:eastAsia="ja-JP"/>
        </w:rPr>
        <w:sectPr w:rsidR="00220F3F" w:rsidRPr="0007074F" w:rsidSect="000D3688">
          <w:headerReference w:type="even" r:id="rId173"/>
          <w:headerReference w:type="default" r:id="rId174"/>
          <w:footerReference w:type="even" r:id="rId175"/>
          <w:footerReference w:type="default" r:id="rId176"/>
          <w:headerReference w:type="first" r:id="rId177"/>
          <w:type w:val="continuous"/>
          <w:pgSz w:w="12240" w:h="15840" w:code="1"/>
          <w:pgMar w:top="1440" w:right="1440" w:bottom="1440" w:left="1440" w:header="720" w:footer="720" w:gutter="0"/>
          <w:cols w:space="720"/>
          <w:titlePg/>
          <w:docGrid w:linePitch="360"/>
        </w:sectPr>
      </w:pPr>
      <w:bookmarkStart w:id="51" w:name="_Toc56667081"/>
      <w:bookmarkStart w:id="52" w:name="_Toc73364973"/>
      <w:r w:rsidRPr="0007074F">
        <w:rPr>
          <w:lang w:val="sr-Cyrl-CS"/>
        </w:rPr>
        <w:br w:type="page"/>
      </w:r>
      <w:bookmarkStart w:id="53" w:name="_Toc119654149"/>
    </w:p>
    <w:p w14:paraId="6D07CFB7" w14:textId="4DAEE6D4" w:rsidR="00220F3F" w:rsidRPr="0007074F" w:rsidRDefault="007912B6" w:rsidP="000D3688">
      <w:pPr>
        <w:pStyle w:val="Heading2"/>
        <w:spacing w:before="0" w:after="160"/>
        <w:jc w:val="center"/>
        <w:rPr>
          <w:rFonts w:asciiTheme="minorHAnsi" w:eastAsia="Times New Roman" w:hAnsiTheme="minorHAnsi" w:cstheme="minorHAnsi"/>
          <w:b/>
          <w:sz w:val="24"/>
          <w:lang w:val="sr-Cyrl-CS"/>
        </w:rPr>
        <w:sectPr w:rsidR="00220F3F" w:rsidRPr="0007074F" w:rsidSect="000D3688">
          <w:headerReference w:type="even" r:id="rId178"/>
          <w:footerReference w:type="even" r:id="rId179"/>
          <w:footerReference w:type="default" r:id="rId180"/>
          <w:headerReference w:type="first" r:id="rId181"/>
          <w:type w:val="continuous"/>
          <w:pgSz w:w="12240" w:h="15840" w:code="1"/>
          <w:pgMar w:top="1417" w:right="1417" w:bottom="1417" w:left="1417" w:header="720" w:footer="720" w:gutter="0"/>
          <w:cols w:space="720"/>
        </w:sectPr>
      </w:pPr>
      <w:bookmarkStart w:id="54" w:name="_Toc135994506"/>
      <w:r w:rsidRPr="0007074F">
        <w:rPr>
          <w:rFonts w:asciiTheme="minorHAnsi" w:eastAsia="Times New Roman" w:hAnsiTheme="minorHAnsi" w:cstheme="minorHAnsi"/>
          <w:b/>
          <w:sz w:val="24"/>
          <w:lang w:val="sr-Cyrl-CS"/>
        </w:rPr>
        <w:lastRenderedPageBreak/>
        <w:t>7</w:t>
      </w:r>
      <w:r w:rsidR="00220F3F" w:rsidRPr="0007074F">
        <w:rPr>
          <w:rFonts w:asciiTheme="minorHAnsi" w:eastAsia="Times New Roman" w:hAnsiTheme="minorHAnsi" w:cstheme="minorHAnsi"/>
          <w:b/>
          <w:sz w:val="24"/>
          <w:lang w:val="sr-Cyrl-CS"/>
        </w:rPr>
        <w:t>. Симулација путање јавног дуга</w:t>
      </w:r>
      <w:bookmarkEnd w:id="54"/>
      <w:r w:rsidR="00220F3F" w:rsidRPr="0007074F">
        <w:rPr>
          <w:rFonts w:asciiTheme="minorHAnsi" w:eastAsia="Times New Roman" w:hAnsiTheme="minorHAnsi" w:cstheme="minorHAnsi"/>
          <w:b/>
          <w:sz w:val="24"/>
          <w:lang w:val="sr-Cyrl-CS"/>
        </w:rPr>
        <w:t xml:space="preserve"> </w:t>
      </w:r>
    </w:p>
    <w:p w14:paraId="5FB89CF9" w14:textId="2C8C1C37" w:rsidR="00220F3F" w:rsidRPr="0007074F" w:rsidRDefault="00220F3F" w:rsidP="00E124CF">
      <w:pPr>
        <w:rPr>
          <w:rFonts w:ascii="Calibri" w:eastAsia="MS PGothic" w:hAnsi="Calibri" w:cs="Calibri"/>
          <w:szCs w:val="20"/>
          <w:lang w:val="sr-Cyrl-CS" w:eastAsia="ja-JP"/>
        </w:rPr>
      </w:pPr>
      <w:r w:rsidRPr="0007074F">
        <w:rPr>
          <w:rFonts w:ascii="Calibri" w:eastAsia="MS PGothic" w:hAnsi="Calibri" w:cs="Calibri"/>
          <w:bCs/>
          <w:szCs w:val="20"/>
          <w:lang w:val="sr-Cyrl-CS" w:eastAsia="ja-JP"/>
        </w:rPr>
        <w:t>Крајем 2022. године усвојене су измене и допуне Закона о буџетском систему у делу који се односи на фискална правила и принципе фискалне одговорности и одрживости</w:t>
      </w:r>
      <w:r w:rsidRPr="0007074F">
        <w:rPr>
          <w:rFonts w:eastAsia="MS PGothic"/>
          <w:bCs/>
          <w:vertAlign w:val="superscript"/>
          <w:lang w:val="sr-Cyrl-CS" w:eastAsia="ja-JP"/>
        </w:rPr>
        <w:footnoteReference w:id="13"/>
      </w:r>
      <w:r w:rsidRPr="0007074F">
        <w:rPr>
          <w:rFonts w:ascii="Calibri" w:eastAsia="MS PGothic" w:hAnsi="Calibri" w:cs="Calibri"/>
          <w:bCs/>
          <w:szCs w:val="20"/>
          <w:lang w:val="sr-Cyrl-CS" w:eastAsia="ja-JP"/>
        </w:rPr>
        <w:t>.</w:t>
      </w:r>
      <w:r w:rsidRPr="0007074F">
        <w:rPr>
          <w:rFonts w:ascii="Calibri" w:eastAsia="MS PGothic" w:hAnsi="Calibri" w:cs="Calibri"/>
          <w:szCs w:val="20"/>
          <w:lang w:val="sr-Cyrl-CS" w:eastAsia="ja-JP"/>
        </w:rPr>
        <w:t xml:space="preserve"> У складу са променама општих фискалних правила о дефициту и дугу, измењена је и процедура у случају прекорачења горње границе дуга. Тако, у случају да је дуг изнад 55%, Влада у оквиру Фискалне стратегије и по процедури за усвајање Фискалне стратегије предлаже Програм за смањење дуга са конкретним мерама за смањење дуга испод задате границе. Програм се подноси за сваку годину у којој тај дуг остаје изнад 55% БДП. Уколико је дуг изнад 60% БДП, што је и највиша дозвољена горња граница дуга сектора државе, Програм за смањење дуга усваја Народна скупштина најмање једанпут годишње, у поступку доношења и припреме буџ</w:t>
      </w:r>
      <w:r w:rsidR="00416E7C" w:rsidRPr="0007074F">
        <w:rPr>
          <w:rFonts w:ascii="Calibri" w:eastAsia="MS PGothic" w:hAnsi="Calibri" w:cs="Calibri"/>
          <w:szCs w:val="20"/>
          <w:lang w:val="sr-Cyrl-CS" w:eastAsia="ja-JP"/>
        </w:rPr>
        <w:t>ета за наредну фискалну годину.</w:t>
      </w:r>
    </w:p>
    <w:p w14:paraId="486AF6F7" w14:textId="36CDD121" w:rsidR="00220F3F" w:rsidRPr="0007074F" w:rsidRDefault="00220F3F" w:rsidP="00E124CF">
      <w:pPr>
        <w:rPr>
          <w:rFonts w:ascii="Calibri" w:eastAsia="MS PGothic" w:hAnsi="Calibri" w:cs="Calibri"/>
          <w:szCs w:val="20"/>
          <w:lang w:val="sr-Cyrl-CS" w:eastAsia="ja-JP"/>
        </w:rPr>
      </w:pPr>
      <w:r w:rsidRPr="0007074F">
        <w:rPr>
          <w:rFonts w:ascii="Calibri" w:eastAsia="MS PGothic" w:hAnsi="Calibri" w:cs="Calibri"/>
          <w:bCs/>
          <w:szCs w:val="20"/>
          <w:lang w:val="sr-Cyrl-CS" w:eastAsia="ja-JP"/>
        </w:rPr>
        <w:t>Вредности учешћа јавног дуга у БДП од 60%, 55% и 45%, у складу са усвојеним сетом фискалних правила, представљају граничне вредности за одређивање максимално дозвољених вредности фискалног дефицита у одређеној години.</w:t>
      </w:r>
      <w:r w:rsidRPr="0007074F">
        <w:rPr>
          <w:rFonts w:ascii="Calibri" w:eastAsia="MS PGothic" w:hAnsi="Calibri" w:cs="Calibri"/>
          <w:szCs w:val="20"/>
          <w:lang w:val="sr-Cyrl-CS" w:eastAsia="ja-JP"/>
        </w:rPr>
        <w:t xml:space="preserve"> Предвиђене су процедуре у случају прекорачења износа дефицита и начин враћања у предвиђене оквире. Такође дефинисани су дозвољени случајеви привременог одступања од фискалних правила (ванредне, непредвиђене околности и др.), као и обавезе Владе и дефинисан временски оквир у процесу враћања на законом прописане вредности фискалног резултата. Овај део фискалних правила почиње да се примењује од 2025. године. До тада ће се ниво максимално допуштеног фискалног дефицита одређивати Фискалном стратегијом, али у складу са општим начелима фискалне одговорности која налажу да се не допусти прекомеран раст нивоа јавног дуга, односно обезб</w:t>
      </w:r>
      <w:r w:rsidR="003805B7" w:rsidRPr="0007074F">
        <w:rPr>
          <w:rFonts w:ascii="Calibri" w:eastAsia="MS PGothic" w:hAnsi="Calibri" w:cs="Calibri"/>
          <w:szCs w:val="20"/>
          <w:lang w:val="sr-Cyrl-CS" w:eastAsia="ja-JP"/>
        </w:rPr>
        <w:t>еде услови</w:t>
      </w:r>
      <w:r w:rsidR="00416E7C" w:rsidRPr="0007074F">
        <w:rPr>
          <w:rFonts w:ascii="Calibri" w:eastAsia="MS PGothic" w:hAnsi="Calibri" w:cs="Calibri"/>
          <w:szCs w:val="20"/>
          <w:lang w:val="sr-Cyrl-CS" w:eastAsia="ja-JP"/>
        </w:rPr>
        <w:t xml:space="preserve"> за његово снижавање.</w:t>
      </w:r>
    </w:p>
    <w:p w14:paraId="4A913AE5" w14:textId="401F693F" w:rsidR="00220F3F" w:rsidRPr="0007074F" w:rsidRDefault="00220F3F" w:rsidP="00E124CF">
      <w:pPr>
        <w:rPr>
          <w:rFonts w:ascii="Calibri" w:eastAsia="MS PGothic" w:hAnsi="Calibri" w:cs="Calibri"/>
          <w:szCs w:val="20"/>
          <w:lang w:val="sr-Cyrl-CS" w:eastAsia="ja-JP"/>
        </w:rPr>
      </w:pPr>
      <w:r w:rsidRPr="0007074F">
        <w:rPr>
          <w:rFonts w:ascii="Calibri" w:eastAsia="MS PGothic" w:hAnsi="Calibri" w:cs="Calibri"/>
          <w:bCs/>
          <w:szCs w:val="20"/>
          <w:lang w:val="sr-Cyrl-CS" w:eastAsia="ja-JP"/>
        </w:rPr>
        <w:t xml:space="preserve">Иако не постоји формална обавеза за презентацијом Програма за смањења дуга услед одложене примене правила, као ни суштинска, због тога што се тренутни ниво јавног дуга налази испод границе од 55% БДП презентоваћемо краћу </w:t>
      </w:r>
      <w:r w:rsidRPr="0007074F">
        <w:rPr>
          <w:rFonts w:ascii="Calibri" w:eastAsia="MS PGothic" w:hAnsi="Calibri" w:cs="Calibri"/>
          <w:bCs/>
          <w:szCs w:val="20"/>
          <w:lang w:val="sr-Cyrl-CS" w:eastAsia="ja-JP"/>
        </w:rPr>
        <w:t>ретроспективу кретања јавног дуга у периоду од 2008. до 2023. године и пројекције за наредни трогодишњи период (2024. до 2026.</w:t>
      </w:r>
      <w:r w:rsidR="003805B7" w:rsidRPr="0007074F">
        <w:rPr>
          <w:rFonts w:ascii="Calibri" w:eastAsia="MS PGothic" w:hAnsi="Calibri" w:cs="Calibri"/>
          <w:bCs/>
          <w:szCs w:val="20"/>
          <w:lang w:val="sr-Cyrl-CS" w:eastAsia="ja-JP"/>
        </w:rPr>
        <w:t xml:space="preserve"> година</w:t>
      </w:r>
      <w:r w:rsidRPr="0007074F">
        <w:rPr>
          <w:rFonts w:ascii="Calibri" w:eastAsia="MS PGothic" w:hAnsi="Calibri" w:cs="Calibri"/>
          <w:bCs/>
          <w:szCs w:val="20"/>
          <w:lang w:val="sr-Cyrl-CS" w:eastAsia="ja-JP"/>
        </w:rPr>
        <w:t xml:space="preserve">) у складу са предвиђеним фискалним оквиром. </w:t>
      </w:r>
      <w:r w:rsidRPr="0007074F">
        <w:rPr>
          <w:rFonts w:ascii="Calibri" w:eastAsia="MS PGothic" w:hAnsi="Calibri" w:cs="Calibri"/>
          <w:szCs w:val="20"/>
          <w:lang w:val="sr-Cyrl-CS" w:eastAsia="ja-JP"/>
        </w:rPr>
        <w:t>Приказана је и симулација различитих сценарија кретања дуга у периоду од 2027. до 2031. године.</w:t>
      </w:r>
    </w:p>
    <w:p w14:paraId="408D42E0" w14:textId="238438B7" w:rsidR="00220F3F" w:rsidRPr="0007074F" w:rsidRDefault="00220F3F" w:rsidP="00E124CF">
      <w:pPr>
        <w:rPr>
          <w:rFonts w:ascii="Calibri" w:eastAsia="Calibri" w:hAnsi="Calibri" w:cs="Calibri"/>
          <w:szCs w:val="20"/>
          <w:lang w:val="sr-Cyrl-CS"/>
        </w:rPr>
      </w:pPr>
      <w:r w:rsidRPr="0007074F">
        <w:rPr>
          <w:rFonts w:ascii="Calibri" w:eastAsia="Calibri" w:hAnsi="Calibri" w:cs="Calibri"/>
          <w:bCs/>
          <w:szCs w:val="20"/>
          <w:lang w:val="sr-Cyrl-CS"/>
        </w:rPr>
        <w:t xml:space="preserve">У периоду од 2008. до 2014. године дефицит </w:t>
      </w:r>
      <w:r w:rsidR="00332897" w:rsidRPr="0007074F">
        <w:rPr>
          <w:rFonts w:ascii="Calibri" w:eastAsia="Calibri" w:hAnsi="Calibri" w:cs="Calibri"/>
          <w:bCs/>
          <w:szCs w:val="20"/>
          <w:lang w:val="sr-Cyrl-CS"/>
        </w:rPr>
        <w:t xml:space="preserve">сектора </w:t>
      </w:r>
      <w:r w:rsidRPr="0007074F">
        <w:rPr>
          <w:rFonts w:ascii="Calibri" w:eastAsia="Calibri" w:hAnsi="Calibri" w:cs="Calibri"/>
          <w:bCs/>
          <w:szCs w:val="20"/>
          <w:lang w:val="sr-Cyrl-CS"/>
        </w:rPr>
        <w:t>државе је значајно повећан уз истовремено експлозивну путању раста јавног дуга, при чему је однос дуга и БДП више него удвостручен.</w:t>
      </w:r>
      <w:r w:rsidRPr="0007074F">
        <w:rPr>
          <w:rFonts w:ascii="Calibri" w:eastAsia="Calibri" w:hAnsi="Calibri" w:cs="Calibri"/>
          <w:szCs w:val="20"/>
          <w:lang w:val="sr-Cyrl-CS"/>
        </w:rPr>
        <w:t xml:space="preserve"> Мере фискалне консолидације усвојене крајем 2012. и током 2013. године делимично су ублажиле овај тренд, али је ниво јавног дуга и даље значајно растао. Смањивање примарног дефицита у периоду 2012–2014. године није било довољно да стабилизује учешће нивоа јавног дуга у БДП. Ефекти првог таласа фискалне консолидације, која се односила углавном на приходну страну, изостали су, услед повећаног обима сиве економије, карактеристичног у периоду након подизања пореских стопа. На расходној страни, високе камате и одређени једнократни расходи су додатно погоршавали фискалну позицију.</w:t>
      </w:r>
    </w:p>
    <w:p w14:paraId="064B637F" w14:textId="6B8B0DAF" w:rsidR="00220F3F" w:rsidRPr="0007074F" w:rsidRDefault="00220F3F" w:rsidP="000D3688">
      <w:pPr>
        <w:spacing w:after="40"/>
        <w:jc w:val="center"/>
        <w:rPr>
          <w:rFonts w:ascii="Calibri" w:eastAsia="Calibri" w:hAnsi="Calibri" w:cs="Calibri"/>
          <w:color w:val="002060"/>
          <w:szCs w:val="20"/>
          <w:lang w:val="sr-Cyrl-CS"/>
        </w:rPr>
      </w:pPr>
      <w:r w:rsidRPr="0007074F">
        <w:rPr>
          <w:rFonts w:cstheme="minorHAnsi"/>
          <w:b/>
          <w:color w:val="002060"/>
          <w:lang w:val="sr-Cyrl-CS"/>
        </w:rPr>
        <w:t xml:space="preserve">Јавни дуг </w:t>
      </w:r>
      <w:r w:rsidR="00332897" w:rsidRPr="0007074F">
        <w:rPr>
          <w:rFonts w:cstheme="minorHAnsi"/>
          <w:b/>
          <w:color w:val="002060"/>
          <w:lang w:val="sr-Cyrl-CS"/>
        </w:rPr>
        <w:t xml:space="preserve">сектора </w:t>
      </w:r>
      <w:r w:rsidRPr="0007074F">
        <w:rPr>
          <w:rFonts w:cstheme="minorHAnsi"/>
          <w:b/>
          <w:color w:val="002060"/>
          <w:lang w:val="sr-Cyrl-CS"/>
        </w:rPr>
        <w:t xml:space="preserve">државе у периоду </w:t>
      </w:r>
      <w:r w:rsidRPr="0007074F">
        <w:rPr>
          <w:rFonts w:cstheme="minorHAnsi"/>
          <w:b/>
          <w:color w:val="002060"/>
          <w:lang w:val="sr-Cyrl-CS"/>
        </w:rPr>
        <w:br w:type="textWrapping" w:clear="all"/>
        <w:t>2008–2023. године, % БДП</w:t>
      </w:r>
    </w:p>
    <w:p w14:paraId="1534A3A1" w14:textId="77777777" w:rsidR="00220F3F" w:rsidRPr="0007074F" w:rsidRDefault="00220F3F" w:rsidP="00E124CF">
      <w:pPr>
        <w:spacing w:after="0"/>
        <w:jc w:val="center"/>
        <w:rPr>
          <w:rFonts w:cstheme="minorHAnsi"/>
          <w:b/>
          <w:lang w:val="sr-Cyrl-CS"/>
        </w:rPr>
      </w:pPr>
      <w:r w:rsidRPr="0007074F">
        <w:rPr>
          <w:noProof/>
        </w:rPr>
        <w:drawing>
          <wp:inline distT="0" distB="0" distL="0" distR="0" wp14:anchorId="34325D90" wp14:editId="275608B0">
            <wp:extent cx="2757805" cy="2447925"/>
            <wp:effectExtent l="0" t="0" r="4445" b="0"/>
            <wp:docPr id="52" name="Chart 52">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p>
    <w:p w14:paraId="1F761C93" w14:textId="77777777" w:rsidR="00220F3F" w:rsidRPr="0007074F" w:rsidRDefault="00220F3F" w:rsidP="00E124CF">
      <w:pPr>
        <w:spacing w:after="0" w:line="240" w:lineRule="auto"/>
        <w:rPr>
          <w:rFonts w:cstheme="minorHAnsi"/>
          <w:bCs/>
          <w:sz w:val="16"/>
          <w:szCs w:val="72"/>
          <w:lang w:val="sr-Cyrl-CS"/>
        </w:rPr>
      </w:pPr>
      <w:r w:rsidRPr="0007074F">
        <w:rPr>
          <w:rFonts w:ascii="Calibri" w:eastAsia="Calibri" w:hAnsi="Calibri" w:cs="Calibri"/>
          <w:sz w:val="16"/>
          <w:szCs w:val="16"/>
          <w:lang w:val="sr-Cyrl-CS"/>
        </w:rPr>
        <w:t xml:space="preserve">* </w:t>
      </w:r>
      <w:r w:rsidRPr="0007074F">
        <w:rPr>
          <w:rFonts w:cstheme="minorHAnsi"/>
          <w:bCs/>
          <w:sz w:val="16"/>
          <w:szCs w:val="72"/>
          <w:lang w:val="sr-Cyrl-CS"/>
        </w:rPr>
        <w:t>апроксимација локалног дуга</w:t>
      </w:r>
    </w:p>
    <w:p w14:paraId="1132F904" w14:textId="77777777" w:rsidR="00220F3F" w:rsidRPr="0007074F" w:rsidRDefault="00220F3F" w:rsidP="000D3688">
      <w:pPr>
        <w:spacing w:after="60" w:line="276" w:lineRule="auto"/>
        <w:rPr>
          <w:rFonts w:cstheme="minorHAnsi"/>
          <w:bCs/>
          <w:sz w:val="16"/>
          <w:szCs w:val="72"/>
          <w:lang w:val="sr-Cyrl-CS"/>
        </w:rPr>
      </w:pPr>
      <w:r w:rsidRPr="0007074F">
        <w:rPr>
          <w:rFonts w:cstheme="minorHAnsi"/>
          <w:bCs/>
          <w:sz w:val="16"/>
          <w:szCs w:val="72"/>
          <w:lang w:val="sr-Cyrl-CS"/>
        </w:rPr>
        <w:t>** процена за 2023. годину</w:t>
      </w:r>
    </w:p>
    <w:p w14:paraId="6B87B81C" w14:textId="6CE14CFC" w:rsidR="00220F3F" w:rsidRPr="0007074F" w:rsidRDefault="00220F3F" w:rsidP="00E124CF">
      <w:pPr>
        <w:rPr>
          <w:rFonts w:ascii="Calibri" w:eastAsia="Calibri" w:hAnsi="Calibri" w:cs="Calibri"/>
          <w:szCs w:val="20"/>
          <w:lang w:val="sr-Cyrl-CS"/>
        </w:rPr>
      </w:pPr>
      <w:r w:rsidRPr="0007074F">
        <w:rPr>
          <w:rFonts w:ascii="Calibri" w:eastAsia="Calibri" w:hAnsi="Calibri" w:cs="Calibri"/>
          <w:bCs/>
          <w:szCs w:val="20"/>
          <w:lang w:val="sr-Cyrl-CS"/>
        </w:rPr>
        <w:lastRenderedPageBreak/>
        <w:t>Мере фискалне консолидације донете крајем 2014. године спустиле су примарни дефицит и успориле раст јавног дуга већ током 2015. године, а до смањења јавног дуга у БДП дошло је у 2016. години, годину дана раније него што је било предвиђено аранжманом са ММФ.</w:t>
      </w:r>
      <w:r w:rsidRPr="0007074F">
        <w:rPr>
          <w:rFonts w:ascii="Calibri" w:eastAsia="Calibri" w:hAnsi="Calibri" w:cs="Calibri"/>
          <w:szCs w:val="20"/>
          <w:lang w:val="sr-Cyrl-CS"/>
        </w:rPr>
        <w:t xml:space="preserve"> У 2016. години остварен је примарни суфицит од 1,7% БДП, чиме су се коначно стекли услови за пад учешћа јавног дуга у БДП. Након тога, у 2017. години, уз остварени примарни фискални суфицит од 3,6% БДП долази до још значајнијег пада</w:t>
      </w:r>
      <w:r w:rsidR="003805B7" w:rsidRPr="0007074F">
        <w:rPr>
          <w:rFonts w:ascii="Calibri" w:eastAsia="Calibri" w:hAnsi="Calibri" w:cs="Calibri"/>
          <w:szCs w:val="20"/>
          <w:lang w:val="sr-Cyrl-CS"/>
        </w:rPr>
        <w:t xml:space="preserve"> учешћа дуга, за више од 10 п.п</w:t>
      </w:r>
      <w:r w:rsidRPr="0007074F">
        <w:rPr>
          <w:rFonts w:ascii="Calibri" w:eastAsia="Calibri" w:hAnsi="Calibri" w:cs="Calibri"/>
          <w:szCs w:val="20"/>
          <w:lang w:val="sr-Cyrl-CS"/>
        </w:rPr>
        <w:t>, на 58,6% БДП.</w:t>
      </w:r>
      <w:r w:rsidRPr="0007074F">
        <w:rPr>
          <w:lang w:val="sr-Cyrl-CS"/>
        </w:rPr>
        <w:t xml:space="preserve"> </w:t>
      </w:r>
      <w:r w:rsidRPr="0007074F">
        <w:rPr>
          <w:rFonts w:ascii="Calibri" w:eastAsia="Calibri" w:hAnsi="Calibri" w:cs="Calibri"/>
          <w:szCs w:val="20"/>
          <w:lang w:val="sr-Cyrl-CS"/>
        </w:rPr>
        <w:t>Током 2018. године настављен је тренд смањења учешћа јавног дуга у БДП на 54,4% БДП. Фискална релаксација током 2019. године није угрозила опадајућу путању јавног дуга. Позитиван примарни фискални резултат у 2019. години од 1,8% БДП утицао je на даље смањење јавног дуга за још 1,6 п.п. БДП.</w:t>
      </w:r>
    </w:p>
    <w:p w14:paraId="50AF0A13" w14:textId="701C0DF7" w:rsidR="00220F3F" w:rsidRPr="0007074F" w:rsidRDefault="00220F3F" w:rsidP="000D3688">
      <w:pPr>
        <w:spacing w:after="120"/>
        <w:rPr>
          <w:rFonts w:ascii="Calibri" w:eastAsia="Calibri" w:hAnsi="Calibri" w:cs="Calibri"/>
          <w:szCs w:val="20"/>
          <w:lang w:val="sr-Cyrl-CS"/>
        </w:rPr>
      </w:pPr>
      <w:r w:rsidRPr="0007074F">
        <w:rPr>
          <w:rFonts w:ascii="Calibri" w:eastAsia="Calibri" w:hAnsi="Calibri" w:cs="Calibri"/>
          <w:bCs/>
          <w:spacing w:val="-2"/>
          <w:szCs w:val="20"/>
          <w:lang w:val="sr-Cyrl-CS"/>
        </w:rPr>
        <w:t>Период од 2020. године обележила је једна од највећих здравствених и последично економских криза у последњих неколико деценија, изазвана пандемијом COVID-19.</w:t>
      </w:r>
      <w:r w:rsidRPr="0007074F">
        <w:rPr>
          <w:rFonts w:ascii="Calibri" w:eastAsia="Calibri" w:hAnsi="Calibri" w:cs="Calibri"/>
          <w:spacing w:val="-2"/>
          <w:szCs w:val="20"/>
          <w:lang w:val="sr-Cyrl-CS"/>
        </w:rPr>
        <w:t xml:space="preserve"> Најважнији фактори који су утицали на кретања дуга током поменутог периода су ниво укупног и примарног фискалног дефицита, додатне потребе за финансирањем и отплата доспелог дела дуга. Остварени фискални дефицит од 8% БДП (примарни дефицит од 6% БДП) у 2020. години и дефицит од 4,1% БДП у 2021. години, утицали су на то да се, до сада, опадајућа путања учешћа јавног дуга привремено преокрене. И поред тога, учешће јавног дуга </w:t>
      </w:r>
      <w:r w:rsidR="00332897" w:rsidRPr="0007074F">
        <w:rPr>
          <w:rFonts w:ascii="Calibri" w:eastAsia="Calibri" w:hAnsi="Calibri" w:cs="Calibri"/>
          <w:spacing w:val="-2"/>
          <w:szCs w:val="20"/>
          <w:lang w:val="sr-Cyrl-CS"/>
        </w:rPr>
        <w:t xml:space="preserve">сектора </w:t>
      </w:r>
      <w:r w:rsidRPr="0007074F">
        <w:rPr>
          <w:rFonts w:ascii="Calibri" w:eastAsia="Calibri" w:hAnsi="Calibri" w:cs="Calibri"/>
          <w:spacing w:val="-2"/>
          <w:szCs w:val="20"/>
          <w:lang w:val="sr-Cyrl-CS"/>
        </w:rPr>
        <w:t xml:space="preserve">државе у БДП у 2021. години благо опада на 57,1% БДП. </w:t>
      </w:r>
      <w:r w:rsidRPr="0007074F">
        <w:rPr>
          <w:rFonts w:ascii="Calibri" w:eastAsia="Calibri" w:hAnsi="Calibri" w:cs="Calibri"/>
          <w:szCs w:val="20"/>
          <w:lang w:val="sr-Cyrl-CS"/>
        </w:rPr>
        <w:t>Успех претходног програма структурног фискалног прилагођавања омогућио је да Република Србија без тешкоће обезбеди неопходно финансирање фискалног дефицита током трајања пандемије COVID-19, као и н</w:t>
      </w:r>
      <w:r w:rsidR="00074664" w:rsidRPr="0007074F">
        <w:rPr>
          <w:rFonts w:ascii="Calibri" w:eastAsia="Calibri" w:hAnsi="Calibri" w:cs="Calibri"/>
          <w:szCs w:val="20"/>
          <w:lang w:val="sr-Cyrl-CS"/>
        </w:rPr>
        <w:t>есметану отплату доспелог дуга.</w:t>
      </w:r>
    </w:p>
    <w:p w14:paraId="66225723" w14:textId="5DF7991A" w:rsidR="00220F3F" w:rsidRPr="0007074F" w:rsidRDefault="00220F3F" w:rsidP="000D3688">
      <w:pPr>
        <w:rPr>
          <w:rFonts w:ascii="Calibri" w:eastAsia="Calibri" w:hAnsi="Calibri" w:cs="Calibri"/>
          <w:szCs w:val="20"/>
          <w:lang w:val="sr-Cyrl-CS"/>
        </w:rPr>
      </w:pPr>
      <w:r w:rsidRPr="0007074F">
        <w:rPr>
          <w:rFonts w:ascii="Calibri" w:eastAsia="Calibri" w:hAnsi="Calibri" w:cs="Calibri"/>
          <w:szCs w:val="20"/>
          <w:lang w:val="sr-Cyrl-CS"/>
        </w:rPr>
        <w:t>Наредни период карактерише наступање нове глобалне економске кризе посебно у енергетском сектору.</w:t>
      </w:r>
      <w:r w:rsidRPr="0007074F">
        <w:rPr>
          <w:rFonts w:ascii="Calibri" w:eastAsia="Calibri" w:hAnsi="Calibri" w:cs="Calibri"/>
          <w:bCs/>
          <w:szCs w:val="20"/>
          <w:lang w:val="sr-Cyrl-CS"/>
        </w:rPr>
        <w:t xml:space="preserve"> </w:t>
      </w:r>
      <w:r w:rsidRPr="0007074F">
        <w:rPr>
          <w:rFonts w:ascii="Calibri" w:eastAsia="Calibri" w:hAnsi="Calibri" w:cs="Calibri"/>
          <w:szCs w:val="20"/>
          <w:lang w:val="sr-Cyrl-CS"/>
        </w:rPr>
        <w:t>Карактеристично за овај кризни период током 2022. и 2023. године, поред осталог су глобално ниске реалне стопе ра</w:t>
      </w:r>
      <w:r w:rsidR="00F51AA9" w:rsidRPr="0007074F">
        <w:rPr>
          <w:rFonts w:ascii="Calibri" w:eastAsia="Calibri" w:hAnsi="Calibri" w:cs="Calibri"/>
          <w:szCs w:val="20"/>
          <w:lang w:val="sr-Cyrl-CS"/>
        </w:rPr>
        <w:t>ста, удружене са високом стопом</w:t>
      </w:r>
      <w:r w:rsidRPr="0007074F">
        <w:rPr>
          <w:rFonts w:ascii="Calibri" w:eastAsia="Calibri" w:hAnsi="Calibri" w:cs="Calibri"/>
          <w:szCs w:val="20"/>
          <w:lang w:val="sr-Cyrl-CS"/>
        </w:rPr>
        <w:t xml:space="preserve"> инфлације.</w:t>
      </w:r>
      <w:r w:rsidRPr="0007074F">
        <w:rPr>
          <w:rFonts w:ascii="Calibri" w:eastAsia="Calibri" w:hAnsi="Calibri" w:cs="Calibri"/>
          <w:bCs/>
          <w:szCs w:val="20"/>
          <w:lang w:val="sr-Cyrl-CS"/>
        </w:rPr>
        <w:t xml:space="preserve"> </w:t>
      </w:r>
      <w:r w:rsidRPr="0007074F">
        <w:rPr>
          <w:rFonts w:ascii="Calibri" w:eastAsia="Calibri" w:hAnsi="Calibri" w:cs="Calibri"/>
          <w:szCs w:val="20"/>
          <w:lang w:val="sr-Cyrl-CS"/>
        </w:rPr>
        <w:t xml:space="preserve">Неизвесност у погледу тока и трајања кризе, у овом периоду захтевала је опрезно вођење фискалне политике, и поред значајних издвајања од стране државе како би се обезбедило несметано снабдевање енергентима. </w:t>
      </w:r>
      <w:r w:rsidRPr="0007074F">
        <w:rPr>
          <w:rFonts w:ascii="Calibri" w:eastAsia="Calibri" w:hAnsi="Calibri" w:cs="Calibri"/>
          <w:spacing w:val="-2"/>
          <w:szCs w:val="20"/>
          <w:lang w:val="sr-Cyrl-CS"/>
        </w:rPr>
        <w:t>У 2022. и 2023</w:t>
      </w:r>
      <w:r w:rsidR="0050086D" w:rsidRPr="0007074F">
        <w:rPr>
          <w:rFonts w:ascii="Calibri" w:eastAsia="Calibri" w:hAnsi="Calibri" w:cs="Calibri"/>
          <w:spacing w:val="-2"/>
          <w:szCs w:val="20"/>
          <w:lang w:val="sr-Cyrl-CS"/>
        </w:rPr>
        <w:t>.</w:t>
      </w:r>
      <w:r w:rsidRPr="0007074F">
        <w:rPr>
          <w:rFonts w:ascii="Calibri" w:eastAsia="Calibri" w:hAnsi="Calibri" w:cs="Calibri"/>
          <w:spacing w:val="-2"/>
          <w:szCs w:val="20"/>
          <w:lang w:val="sr-Cyrl-CS"/>
        </w:rPr>
        <w:t xml:space="preserve"> години, остварени и пројектовани </w:t>
      </w:r>
      <w:r w:rsidRPr="0007074F">
        <w:rPr>
          <w:rFonts w:ascii="Calibri" w:eastAsia="Calibri" w:hAnsi="Calibri" w:cs="Calibri"/>
          <w:spacing w:val="-2"/>
          <w:szCs w:val="20"/>
          <w:lang w:val="sr-Cyrl-CS"/>
        </w:rPr>
        <w:t>нивои примарног фискалног резултата (примарни дефицити 1,7% и 1,2% БДП респективно), омогућили су даљи пад учешћа јавног дуга. На крају 2023. године пројектовано је у</w:t>
      </w:r>
      <w:r w:rsidR="00074664" w:rsidRPr="0007074F">
        <w:rPr>
          <w:rFonts w:ascii="Calibri" w:eastAsia="Calibri" w:hAnsi="Calibri" w:cs="Calibri"/>
          <w:spacing w:val="-2"/>
          <w:szCs w:val="20"/>
          <w:lang w:val="sr-Cyrl-CS"/>
        </w:rPr>
        <w:t>чешће јавног дуга од 54,3% БДП.</w:t>
      </w:r>
    </w:p>
    <w:p w14:paraId="4E75CA8E" w14:textId="77777777" w:rsidR="00220F3F" w:rsidRPr="0007074F" w:rsidRDefault="00220F3F" w:rsidP="000D3688">
      <w:pPr>
        <w:spacing w:after="0"/>
        <w:jc w:val="center"/>
        <w:rPr>
          <w:rFonts w:cstheme="minorHAnsi"/>
          <w:b/>
          <w:color w:val="002060"/>
          <w:spacing w:val="-2"/>
          <w:lang w:val="sr-Cyrl-CS"/>
        </w:rPr>
      </w:pPr>
      <w:r w:rsidRPr="0007074F">
        <w:rPr>
          <w:rFonts w:cstheme="minorHAnsi"/>
          <w:b/>
          <w:color w:val="002060"/>
          <w:spacing w:val="-2"/>
          <w:lang w:val="sr-Cyrl-CS"/>
        </w:rPr>
        <w:t>Примарни резултат који стабилизује учешће дуга у БДП и остварени/пројектовани резултат*, % БДП</w:t>
      </w:r>
    </w:p>
    <w:p w14:paraId="17E8988F" w14:textId="77777777" w:rsidR="00220F3F" w:rsidRPr="0007074F" w:rsidRDefault="00220F3F" w:rsidP="00E124CF">
      <w:pPr>
        <w:spacing w:after="0" w:line="276" w:lineRule="auto"/>
        <w:rPr>
          <w:lang w:val="sr-Cyrl-CS"/>
        </w:rPr>
      </w:pPr>
      <w:r w:rsidRPr="0007074F">
        <w:rPr>
          <w:noProof/>
        </w:rPr>
        <w:drawing>
          <wp:inline distT="0" distB="0" distL="0" distR="0" wp14:anchorId="1FEBC70A" wp14:editId="2B9B29D0">
            <wp:extent cx="2757805" cy="2181225"/>
            <wp:effectExtent l="0" t="0" r="4445" b="0"/>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p w14:paraId="513159CD" w14:textId="77777777" w:rsidR="00220F3F" w:rsidRPr="0007074F" w:rsidRDefault="00220F3F" w:rsidP="00E124CF">
      <w:pPr>
        <w:spacing w:after="40" w:line="240" w:lineRule="auto"/>
        <w:rPr>
          <w:rFonts w:cstheme="minorHAnsi"/>
          <w:bCs/>
          <w:sz w:val="16"/>
          <w:szCs w:val="72"/>
          <w:lang w:val="sr-Cyrl-CS"/>
        </w:rPr>
      </w:pPr>
      <w:r w:rsidRPr="0007074F">
        <w:rPr>
          <w:rFonts w:ascii="Calibri" w:eastAsia="Calibri" w:hAnsi="Calibri" w:cs="Calibri"/>
          <w:sz w:val="16"/>
          <w:szCs w:val="16"/>
          <w:lang w:val="sr-Cyrl-CS"/>
        </w:rPr>
        <w:t xml:space="preserve">* </w:t>
      </w:r>
      <w:r w:rsidRPr="0007074F">
        <w:rPr>
          <w:rFonts w:cstheme="minorHAnsi"/>
          <w:bCs/>
          <w:sz w:val="16"/>
          <w:szCs w:val="72"/>
          <w:lang w:val="sr-Cyrl-CS"/>
        </w:rPr>
        <w:t>За период 2023. до 2026. дате су пројектоване вредности.</w:t>
      </w:r>
    </w:p>
    <w:p w14:paraId="6D4EDB9F" w14:textId="77777777" w:rsidR="00220F3F" w:rsidRPr="0007074F" w:rsidRDefault="00220F3F" w:rsidP="00E124CF">
      <w:pPr>
        <w:spacing w:after="120" w:line="276" w:lineRule="auto"/>
        <w:rPr>
          <w:rFonts w:ascii="Calibri" w:eastAsia="MS PGothic" w:hAnsi="Calibri" w:cs="Calibri"/>
          <w:b/>
          <w:szCs w:val="20"/>
          <w:lang w:val="sr-Cyrl-CS" w:eastAsia="ja-JP"/>
        </w:rPr>
      </w:pPr>
      <w:r w:rsidRPr="0007074F">
        <w:rPr>
          <w:rFonts w:cstheme="minorHAnsi"/>
          <w:bCs/>
          <w:sz w:val="16"/>
          <w:szCs w:val="72"/>
          <w:lang w:val="sr-Cyrl-CS"/>
        </w:rPr>
        <w:t>Извор: Министарство финансија</w:t>
      </w:r>
    </w:p>
    <w:p w14:paraId="054C4DEA" w14:textId="1B5E5FC1" w:rsidR="00220F3F" w:rsidRPr="0007074F" w:rsidRDefault="00220F3F" w:rsidP="00E124CF">
      <w:pPr>
        <w:rPr>
          <w:rFonts w:ascii="Calibri" w:eastAsia="Calibri" w:hAnsi="Calibri" w:cs="Calibri"/>
          <w:spacing w:val="-2"/>
          <w:szCs w:val="20"/>
          <w:lang w:val="sr-Cyrl-CS"/>
        </w:rPr>
      </w:pPr>
      <w:r w:rsidRPr="0007074F">
        <w:rPr>
          <w:rFonts w:ascii="Calibri" w:eastAsia="Calibri" w:hAnsi="Calibri" w:cs="Calibri"/>
          <w:bCs/>
          <w:spacing w:val="-2"/>
          <w:szCs w:val="20"/>
          <w:lang w:val="sr-Cyrl-CS"/>
        </w:rPr>
        <w:t>Анализом примарног стабилизационог јаза, који је дефинисан као разлика између оствареног примарног резултата и примарног резултата који је неопходан да би се стабилизовало учешће јавног дуга у текућој години, могуће је оценити постављене квантитативне фискалне лимите.</w:t>
      </w:r>
      <w:r w:rsidRPr="0007074F">
        <w:rPr>
          <w:rFonts w:ascii="Calibri" w:eastAsia="Calibri" w:hAnsi="Calibri" w:cs="Calibri"/>
          <w:spacing w:val="-2"/>
          <w:szCs w:val="20"/>
          <w:lang w:val="sr-Cyrl-CS"/>
        </w:rPr>
        <w:t xml:space="preserve"> Од 2016. године присутан је позитиван примарни стабилизациони јаз, а путања дуга преокренута. Током 2017. и 2018. године позитиван јаз се повећава и у том периоду је остварено највеће смањење учешћа дуга у БДП. Супротан тренд бележи се током 2020. године кад се достиже највећа негативна вредност овог показатеља. Након тога у периоду од 2021</w:t>
      </w:r>
      <w:r w:rsidR="0050086D" w:rsidRPr="0007074F">
        <w:rPr>
          <w:rFonts w:ascii="Calibri" w:eastAsia="Calibri" w:hAnsi="Calibri" w:cs="Calibri"/>
          <w:spacing w:val="-2"/>
          <w:szCs w:val="20"/>
          <w:lang w:val="sr-Cyrl-CS"/>
        </w:rPr>
        <w:t>–</w:t>
      </w:r>
      <w:r w:rsidRPr="0007074F">
        <w:rPr>
          <w:rFonts w:ascii="Calibri" w:eastAsia="Calibri" w:hAnsi="Calibri" w:cs="Calibri"/>
          <w:spacing w:val="-2"/>
          <w:szCs w:val="20"/>
          <w:lang w:val="sr-Cyrl-CS"/>
        </w:rPr>
        <w:t>2023. године примарни стабилизациони јаз постаје позитиван, чиме се омогућава постепено смањење нивоа</w:t>
      </w:r>
      <w:r w:rsidR="0050086D" w:rsidRPr="0007074F">
        <w:rPr>
          <w:rFonts w:ascii="Calibri" w:eastAsia="Calibri" w:hAnsi="Calibri" w:cs="Calibri"/>
          <w:spacing w:val="-2"/>
          <w:szCs w:val="20"/>
          <w:lang w:val="sr-Cyrl-CS"/>
        </w:rPr>
        <w:t xml:space="preserve"> јавног дуга. У периоду од 2024–</w:t>
      </w:r>
      <w:r w:rsidRPr="0007074F">
        <w:rPr>
          <w:rFonts w:ascii="Calibri" w:eastAsia="Calibri" w:hAnsi="Calibri" w:cs="Calibri"/>
          <w:spacing w:val="-2"/>
          <w:szCs w:val="20"/>
          <w:lang w:val="sr-Cyrl-CS"/>
        </w:rPr>
        <w:t>2026. године, у складу са фискалним оквиром датим у овом документу, пројектоване су позитивне вредности овог параметра.</w:t>
      </w:r>
    </w:p>
    <w:p w14:paraId="5B55B3E4" w14:textId="77777777" w:rsidR="00220F3F" w:rsidRPr="0007074F" w:rsidRDefault="00220F3F" w:rsidP="000D3688">
      <w:pPr>
        <w:widowControl w:val="0"/>
        <w:spacing w:after="120"/>
        <w:rPr>
          <w:rFonts w:ascii="Calibri" w:eastAsia="Calibri" w:hAnsi="Calibri" w:cs="Calibri"/>
          <w:bCs/>
          <w:szCs w:val="20"/>
          <w:lang w:val="sr-Cyrl-CS"/>
        </w:rPr>
      </w:pPr>
      <w:r w:rsidRPr="0007074F">
        <w:rPr>
          <w:rFonts w:ascii="Calibri" w:eastAsia="Calibri" w:hAnsi="Calibri" w:cs="Calibri"/>
          <w:bCs/>
          <w:szCs w:val="20"/>
          <w:lang w:val="sr-Cyrl-CS"/>
        </w:rPr>
        <w:t xml:space="preserve">Фискални оквир предвиђен овом Фискалном стратегијом подразумева да, после релативно високог нивоа фискалног дефицита у 2022. и 2023. години, у складу са фискалним правилима дође до његовог смањења на 1,5% БДП у 2025. и 2026. </w:t>
      </w:r>
      <w:r w:rsidRPr="0007074F">
        <w:rPr>
          <w:rFonts w:ascii="Calibri" w:eastAsia="Calibri" w:hAnsi="Calibri" w:cs="Calibri"/>
          <w:bCs/>
          <w:szCs w:val="20"/>
          <w:lang w:val="sr-Cyrl-CS"/>
        </w:rPr>
        <w:lastRenderedPageBreak/>
        <w:t>години. То ће омогућити да се учешће јавног дуга у БДП спусти на 51,9% на крају 2026. године. За период од 2027. до 2031. године дата је симулација три сценарија кретања јавног дуга, при чему се у сваком подразумева доследна примена фискалних правила у погледу нивоа фискалног дефицита. Два алтернативна сценарија симулирају ефекте екстерних фискалних и/или макроекономских шокова и неопходно, а уједно и законско обавезујуће, прилагођавање фискалне политике.</w:t>
      </w:r>
    </w:p>
    <w:p w14:paraId="01E32047" w14:textId="77777777" w:rsidR="00220F3F" w:rsidRPr="0007074F" w:rsidRDefault="00220F3F" w:rsidP="006D6C9D">
      <w:pPr>
        <w:widowControl w:val="0"/>
        <w:spacing w:after="80"/>
        <w:rPr>
          <w:rFonts w:ascii="Calibri" w:eastAsia="Calibri" w:hAnsi="Calibri" w:cs="Calibri"/>
          <w:szCs w:val="20"/>
          <w:lang w:val="sr-Cyrl-CS"/>
        </w:rPr>
      </w:pPr>
      <w:r w:rsidRPr="0007074F">
        <w:rPr>
          <w:rFonts w:ascii="Calibri" w:eastAsia="Calibri" w:hAnsi="Calibri" w:cs="Calibri"/>
          <w:szCs w:val="20"/>
          <w:lang w:val="sr-Cyrl-CS"/>
        </w:rPr>
        <w:t>Претпоставке у основном сценарију су:</w:t>
      </w:r>
    </w:p>
    <w:p w14:paraId="0159ED3C" w14:textId="53D499A7" w:rsidR="00220F3F" w:rsidRPr="0007074F" w:rsidRDefault="00220F3F" w:rsidP="006D6C9D">
      <w:pPr>
        <w:widowControl w:val="0"/>
        <w:numPr>
          <w:ilvl w:val="0"/>
          <w:numId w:val="3"/>
        </w:numPr>
        <w:spacing w:after="120"/>
        <w:ind w:left="181" w:hanging="181"/>
        <w:rPr>
          <w:rFonts w:ascii="Calibri" w:eastAsia="Calibri" w:hAnsi="Calibri" w:cs="Calibri"/>
          <w:szCs w:val="20"/>
          <w:lang w:val="sr-Cyrl-CS"/>
        </w:rPr>
      </w:pPr>
      <w:r w:rsidRPr="0007074F">
        <w:rPr>
          <w:rFonts w:ascii="Calibri" w:eastAsia="Calibri" w:hAnsi="Calibri" w:cs="Calibri"/>
          <w:szCs w:val="20"/>
          <w:lang w:val="sr-Cyrl-CS"/>
        </w:rPr>
        <w:t>након оствареног релативно високог нивоа фискалног дефицита у 2022. и 2023. години, у периоду од 2024. до 2026. године фискални дефицит се планира на нивоу од 1,5%, услед тога што јавни дуг бележи вредности испод границе од 55% БДП. И у периоду након тога планира се фискални дефицит на максималном нивоу од 1,5%, што уз остале претпоставке доводи до константног смањење учешћа јавног дуга у БДП на ни</w:t>
      </w:r>
      <w:r w:rsidR="00074664" w:rsidRPr="0007074F">
        <w:rPr>
          <w:rFonts w:ascii="Calibri" w:eastAsia="Calibri" w:hAnsi="Calibri" w:cs="Calibri"/>
          <w:szCs w:val="20"/>
          <w:lang w:val="sr-Cyrl-CS"/>
        </w:rPr>
        <w:t>во од 45,9% БДП у 2031. години.</w:t>
      </w:r>
    </w:p>
    <w:p w14:paraId="71EEB511" w14:textId="77777777" w:rsidR="00220F3F" w:rsidRPr="0007074F" w:rsidRDefault="00220F3F" w:rsidP="006D6C9D">
      <w:pPr>
        <w:numPr>
          <w:ilvl w:val="0"/>
          <w:numId w:val="3"/>
        </w:numPr>
        <w:spacing w:after="40"/>
        <w:ind w:left="181" w:hanging="181"/>
        <w:rPr>
          <w:rFonts w:ascii="Calibri" w:eastAsia="Calibri" w:hAnsi="Calibri" w:cs="Calibri"/>
          <w:spacing w:val="-2"/>
          <w:szCs w:val="20"/>
          <w:lang w:val="sr-Cyrl-CS"/>
        </w:rPr>
      </w:pPr>
      <w:r w:rsidRPr="0007074F">
        <w:rPr>
          <w:rFonts w:ascii="Calibri" w:eastAsia="Calibri" w:hAnsi="Calibri" w:cs="Calibri"/>
          <w:spacing w:val="-2"/>
          <w:szCs w:val="20"/>
          <w:lang w:val="sr-Cyrl-CS"/>
        </w:rPr>
        <w:t>претпостављена просечна стопа реалног раста БДП од 4% у дугом року. Овакве макроекономске перформансе омогућавају да се и у случају релативно релаксиране фискалне политике обезбеди пожељно кретање нивоа дуга;</w:t>
      </w:r>
    </w:p>
    <w:p w14:paraId="6DA54CB2" w14:textId="77777777" w:rsidR="00220F3F" w:rsidRPr="0007074F" w:rsidRDefault="00220F3F" w:rsidP="006D6C9D">
      <w:pPr>
        <w:numPr>
          <w:ilvl w:val="0"/>
          <w:numId w:val="3"/>
        </w:numPr>
        <w:spacing w:after="40"/>
        <w:ind w:left="181" w:hanging="181"/>
        <w:rPr>
          <w:rFonts w:ascii="Calibri" w:eastAsia="Calibri" w:hAnsi="Calibri" w:cs="Calibri"/>
          <w:szCs w:val="20"/>
          <w:lang w:val="sr-Cyrl-CS"/>
        </w:rPr>
      </w:pPr>
      <w:r w:rsidRPr="0007074F">
        <w:rPr>
          <w:rFonts w:ascii="Calibri" w:eastAsia="Calibri" w:hAnsi="Calibri" w:cs="Calibri"/>
          <w:szCs w:val="20"/>
          <w:lang w:val="sr-Cyrl-CS"/>
        </w:rPr>
        <w:t>успоравање инфлације и након тога задржавање на нивоу од 3% просечно у дугом року;</w:t>
      </w:r>
    </w:p>
    <w:p w14:paraId="797C3BAD" w14:textId="77777777" w:rsidR="00220F3F" w:rsidRPr="0007074F" w:rsidRDefault="00220F3F" w:rsidP="006D6C9D">
      <w:pPr>
        <w:numPr>
          <w:ilvl w:val="0"/>
          <w:numId w:val="3"/>
        </w:numPr>
        <w:spacing w:after="40"/>
        <w:ind w:left="181" w:hanging="181"/>
        <w:rPr>
          <w:rFonts w:ascii="Calibri" w:eastAsia="Calibri" w:hAnsi="Calibri" w:cs="Calibri"/>
          <w:szCs w:val="20"/>
          <w:lang w:val="sr-Cyrl-CS"/>
        </w:rPr>
      </w:pPr>
      <w:r w:rsidRPr="0007074F">
        <w:rPr>
          <w:rFonts w:ascii="Calibri" w:eastAsia="Calibri" w:hAnsi="Calibri" w:cs="Calibri"/>
          <w:szCs w:val="20"/>
          <w:lang w:val="sr-Cyrl-CS"/>
        </w:rPr>
        <w:t>спорији раст фискалних прихода у односу на номинални раст БДП услед промене структуре привреде, јачања инвестиционе активности и раста извоза. Не предвиђају се значајније промене у пореској политици, уз задржавање високог нивоа капиталних расхода;</w:t>
      </w:r>
    </w:p>
    <w:p w14:paraId="2E0A5528" w14:textId="77777777" w:rsidR="00220F3F" w:rsidRPr="0007074F" w:rsidRDefault="00220F3F" w:rsidP="006D6C9D">
      <w:pPr>
        <w:numPr>
          <w:ilvl w:val="0"/>
          <w:numId w:val="3"/>
        </w:numPr>
        <w:spacing w:after="40"/>
        <w:ind w:left="181" w:hanging="181"/>
        <w:rPr>
          <w:rFonts w:ascii="Calibri" w:eastAsia="Calibri" w:hAnsi="Calibri" w:cs="Calibri"/>
          <w:szCs w:val="20"/>
          <w:lang w:val="sr-Cyrl-CS"/>
        </w:rPr>
      </w:pPr>
      <w:r w:rsidRPr="0007074F">
        <w:rPr>
          <w:rFonts w:ascii="Calibri" w:eastAsia="Calibri" w:hAnsi="Calibri" w:cs="Calibri"/>
          <w:szCs w:val="20"/>
          <w:lang w:val="sr-Cyrl-CS"/>
        </w:rPr>
        <w:t>изостанак нето прираста издатих гаранција након 2026. године;</w:t>
      </w:r>
    </w:p>
    <w:p w14:paraId="5D71BC5E" w14:textId="77777777" w:rsidR="00220F3F" w:rsidRPr="0007074F" w:rsidRDefault="00220F3F" w:rsidP="006D6C9D">
      <w:pPr>
        <w:numPr>
          <w:ilvl w:val="0"/>
          <w:numId w:val="3"/>
        </w:numPr>
        <w:spacing w:after="120"/>
        <w:ind w:left="181" w:hanging="181"/>
        <w:rPr>
          <w:rFonts w:ascii="Calibri" w:eastAsia="Calibri" w:hAnsi="Calibri" w:cs="Calibri"/>
          <w:szCs w:val="20"/>
          <w:lang w:val="sr-Cyrl-CS"/>
        </w:rPr>
      </w:pPr>
      <w:r w:rsidRPr="0007074F">
        <w:rPr>
          <w:rFonts w:ascii="Calibri" w:eastAsia="Calibri" w:hAnsi="Calibri" w:cs="Calibri"/>
          <w:szCs w:val="20"/>
          <w:lang w:val="sr-Cyrl-CS"/>
        </w:rPr>
        <w:t>изостанак значајних прилива од приватизације у посматраном периоду. Евентуални већи приватизациони приходи смањују потребу за финансирањем и додатно смањују учешће јавног дуга.</w:t>
      </w:r>
    </w:p>
    <w:p w14:paraId="6F543E02" w14:textId="77777777" w:rsidR="00220F3F" w:rsidRPr="0007074F" w:rsidRDefault="00220F3F" w:rsidP="006D6C9D">
      <w:pPr>
        <w:spacing w:after="40"/>
        <w:ind w:left="-90"/>
        <w:rPr>
          <w:rFonts w:ascii="Calibri" w:eastAsia="Calibri" w:hAnsi="Calibri" w:cs="Calibri"/>
          <w:szCs w:val="20"/>
          <w:lang w:val="sr-Cyrl-CS"/>
        </w:rPr>
      </w:pPr>
      <w:r w:rsidRPr="0007074F">
        <w:rPr>
          <w:rFonts w:ascii="Calibri" w:eastAsia="Calibri" w:hAnsi="Calibri" w:cs="Calibri"/>
          <w:szCs w:val="20"/>
          <w:lang w:val="sr-Cyrl-CS"/>
        </w:rPr>
        <w:t>Управљање и одрживост јавног дуга ће се додатно обезбедити:</w:t>
      </w:r>
    </w:p>
    <w:p w14:paraId="0DDBC718" w14:textId="77777777" w:rsidR="00220F3F" w:rsidRPr="0007074F" w:rsidRDefault="00220F3F" w:rsidP="006D6C9D">
      <w:pPr>
        <w:numPr>
          <w:ilvl w:val="0"/>
          <w:numId w:val="3"/>
        </w:numPr>
        <w:spacing w:after="40"/>
        <w:ind w:left="181" w:hanging="181"/>
        <w:rPr>
          <w:rFonts w:ascii="Calibri" w:eastAsia="Calibri" w:hAnsi="Calibri" w:cs="Calibri"/>
          <w:szCs w:val="20"/>
          <w:lang w:val="sr-Cyrl-CS"/>
        </w:rPr>
      </w:pPr>
      <w:r w:rsidRPr="0007074F">
        <w:rPr>
          <w:rFonts w:ascii="Calibri" w:eastAsia="Calibri" w:hAnsi="Calibri" w:cs="Calibri"/>
          <w:szCs w:val="20"/>
          <w:lang w:val="sr-Cyrl-CS"/>
        </w:rPr>
        <w:t>ограничењем закључивања нових пројектних зајмова у случајевима да претходно одобрени зајмови нису ефикасно коришћени;</w:t>
      </w:r>
    </w:p>
    <w:p w14:paraId="43719AA4" w14:textId="77777777" w:rsidR="00220F3F" w:rsidRPr="0007074F" w:rsidRDefault="00220F3F" w:rsidP="006D6C9D">
      <w:pPr>
        <w:numPr>
          <w:ilvl w:val="0"/>
          <w:numId w:val="3"/>
        </w:numPr>
        <w:spacing w:after="40"/>
        <w:ind w:left="181" w:hanging="181"/>
        <w:rPr>
          <w:rFonts w:ascii="Calibri" w:eastAsia="Calibri" w:hAnsi="Calibri" w:cs="Calibri"/>
          <w:szCs w:val="20"/>
          <w:lang w:val="sr-Cyrl-CS"/>
        </w:rPr>
      </w:pPr>
      <w:r w:rsidRPr="0007074F">
        <w:rPr>
          <w:rFonts w:ascii="Calibri" w:eastAsia="Calibri" w:hAnsi="Calibri" w:cs="Calibri"/>
          <w:szCs w:val="20"/>
          <w:lang w:val="sr-Cyrl-CS"/>
        </w:rPr>
        <w:t>откупом једног дела скупог дуга коришћењем средстава из повољнијих зајмова или приватизационих прихода уколико за то постоје могућности;</w:t>
      </w:r>
    </w:p>
    <w:p w14:paraId="784664E2" w14:textId="77777777" w:rsidR="00220F3F" w:rsidRPr="0007074F" w:rsidRDefault="00220F3F" w:rsidP="006D6C9D">
      <w:pPr>
        <w:numPr>
          <w:ilvl w:val="0"/>
          <w:numId w:val="2"/>
        </w:numPr>
        <w:spacing w:after="400"/>
        <w:ind w:left="181" w:hanging="181"/>
        <w:rPr>
          <w:rFonts w:ascii="Calibri" w:eastAsia="Calibri" w:hAnsi="Calibri" w:cs="Calibri"/>
          <w:szCs w:val="20"/>
          <w:lang w:val="sr-Cyrl-CS"/>
        </w:rPr>
      </w:pPr>
      <w:r w:rsidRPr="0007074F">
        <w:rPr>
          <w:rFonts w:ascii="Calibri" w:eastAsia="Calibri" w:hAnsi="Calibri" w:cs="Calibri"/>
          <w:szCs w:val="20"/>
          <w:lang w:val="sr-Cyrl-CS"/>
        </w:rPr>
        <w:t>идентификацијом и бољим управљањем фискалним ризицима.</w:t>
      </w:r>
    </w:p>
    <w:p w14:paraId="3F99341A" w14:textId="77777777" w:rsidR="00220F3F" w:rsidRPr="0007074F" w:rsidRDefault="00220F3F" w:rsidP="00DB0157">
      <w:pPr>
        <w:numPr>
          <w:ilvl w:val="0"/>
          <w:numId w:val="3"/>
        </w:numPr>
        <w:ind w:left="90" w:hanging="181"/>
        <w:rPr>
          <w:rFonts w:cs="Calibri"/>
          <w:szCs w:val="20"/>
          <w:lang w:val="sr-Cyrl-CS" w:eastAsia="ja-JP"/>
        </w:rPr>
        <w:sectPr w:rsidR="00220F3F" w:rsidRPr="0007074F" w:rsidSect="000D3688">
          <w:type w:val="continuous"/>
          <w:pgSz w:w="12240" w:h="15840" w:code="1"/>
          <w:pgMar w:top="1417" w:right="1417" w:bottom="1417" w:left="1417" w:header="720" w:footer="720" w:gutter="0"/>
          <w:cols w:num="2" w:space="720"/>
          <w15:footnoteColumns w:val="1"/>
        </w:sectPr>
      </w:pPr>
    </w:p>
    <w:p w14:paraId="7370A8FA" w14:textId="77777777" w:rsidR="00220F3F" w:rsidRPr="0007074F" w:rsidRDefault="00220F3F" w:rsidP="00E124CF">
      <w:pPr>
        <w:spacing w:after="0"/>
        <w:jc w:val="center"/>
        <w:rPr>
          <w:rFonts w:cstheme="minorHAnsi"/>
          <w:b/>
          <w:color w:val="002060"/>
          <w:lang w:val="sr-Cyrl-CS"/>
        </w:rPr>
      </w:pPr>
      <w:r w:rsidRPr="0007074F">
        <w:rPr>
          <w:rFonts w:cstheme="minorHAnsi"/>
          <w:b/>
          <w:color w:val="002060"/>
          <w:lang w:val="sr-Cyrl-CS"/>
        </w:rPr>
        <w:t>Табела 20. Симулација нивоа укупног дуга у основном сценарију до 2031. године, % БДП</w:t>
      </w:r>
    </w:p>
    <w:tbl>
      <w:tblPr>
        <w:tblStyle w:val="LightShading-Accent3382"/>
        <w:tblW w:w="5084" w:type="pct"/>
        <w:jc w:val="center"/>
        <w:tblLook w:val="04A0" w:firstRow="1" w:lastRow="0" w:firstColumn="1" w:lastColumn="0" w:noHBand="0" w:noVBand="1"/>
      </w:tblPr>
      <w:tblGrid>
        <w:gridCol w:w="2178"/>
        <w:gridCol w:w="739"/>
        <w:gridCol w:w="738"/>
        <w:gridCol w:w="742"/>
        <w:gridCol w:w="742"/>
        <w:gridCol w:w="742"/>
        <w:gridCol w:w="742"/>
        <w:gridCol w:w="742"/>
        <w:gridCol w:w="738"/>
        <w:gridCol w:w="738"/>
        <w:gridCol w:w="723"/>
      </w:tblGrid>
      <w:tr w:rsidR="00220F3F" w:rsidRPr="0007074F" w14:paraId="004A92D5" w14:textId="77777777" w:rsidTr="006D6C9D">
        <w:trPr>
          <w:cnfStyle w:val="100000000000" w:firstRow="1" w:lastRow="0" w:firstColumn="0" w:lastColumn="0" w:oddVBand="0" w:evenVBand="0" w:oddHBand="0"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38" w:type="pct"/>
            <w:tcBorders>
              <w:top w:val="single" w:sz="4" w:space="0" w:color="002060"/>
              <w:bottom w:val="single" w:sz="4" w:space="0" w:color="002060"/>
            </w:tcBorders>
            <w:shd w:val="clear" w:color="auto" w:fill="auto"/>
            <w:vAlign w:val="center"/>
            <w:hideMark/>
          </w:tcPr>
          <w:p w14:paraId="440F6F5D" w14:textId="77777777" w:rsidR="00220F3F" w:rsidRPr="0007074F" w:rsidRDefault="00220F3F" w:rsidP="00C43FA1">
            <w:pPr>
              <w:ind w:right="-427"/>
              <w:jc w:val="left"/>
              <w:rPr>
                <w:rFonts w:asciiTheme="minorHAnsi" w:eastAsia="Times New Roman" w:hAnsiTheme="minorHAnsi" w:cstheme="minorHAnsi"/>
                <w:bCs w:val="0"/>
                <w:color w:val="002060"/>
                <w:sz w:val="18"/>
                <w:szCs w:val="18"/>
                <w:lang w:val="sr-Cyrl-CS"/>
              </w:rPr>
            </w:pPr>
            <w:r w:rsidRPr="0007074F">
              <w:rPr>
                <w:rFonts w:asciiTheme="minorHAnsi" w:eastAsia="Times New Roman" w:hAnsiTheme="minorHAnsi" w:cstheme="minorHAnsi"/>
                <w:b w:val="0"/>
                <w:bCs w:val="0"/>
                <w:color w:val="002060"/>
                <w:sz w:val="18"/>
                <w:szCs w:val="18"/>
                <w:lang w:val="sr-Cyrl-CS"/>
              </w:rPr>
              <w:t>Основни сценарио</w:t>
            </w:r>
          </w:p>
        </w:tc>
        <w:tc>
          <w:tcPr>
            <w:tcW w:w="386" w:type="pct"/>
            <w:tcBorders>
              <w:top w:val="single" w:sz="4" w:space="0" w:color="002060"/>
              <w:bottom w:val="single" w:sz="4" w:space="0" w:color="002060"/>
            </w:tcBorders>
            <w:shd w:val="clear" w:color="auto" w:fill="auto"/>
            <w:noWrap/>
            <w:vAlign w:val="center"/>
            <w:hideMark/>
          </w:tcPr>
          <w:p w14:paraId="1F301608" w14:textId="77777777" w:rsidR="00220F3F" w:rsidRPr="0007074F" w:rsidRDefault="00220F3F"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CS"/>
              </w:rPr>
            </w:pPr>
            <w:r w:rsidRPr="0007074F">
              <w:rPr>
                <w:rFonts w:asciiTheme="minorHAnsi" w:hAnsiTheme="minorHAnsi" w:cstheme="minorHAnsi"/>
                <w:b w:val="0"/>
                <w:bCs w:val="0"/>
                <w:color w:val="002060"/>
                <w:sz w:val="18"/>
                <w:szCs w:val="18"/>
                <w:lang w:val="sr-Cyrl-CS"/>
              </w:rPr>
              <w:t>2022</w:t>
            </w:r>
          </w:p>
        </w:tc>
        <w:tc>
          <w:tcPr>
            <w:tcW w:w="386" w:type="pct"/>
            <w:tcBorders>
              <w:top w:val="single" w:sz="4" w:space="0" w:color="002060"/>
              <w:bottom w:val="single" w:sz="4" w:space="0" w:color="002060"/>
            </w:tcBorders>
            <w:shd w:val="clear" w:color="auto" w:fill="auto"/>
            <w:noWrap/>
            <w:vAlign w:val="center"/>
            <w:hideMark/>
          </w:tcPr>
          <w:p w14:paraId="12CA032E" w14:textId="77777777" w:rsidR="00220F3F" w:rsidRPr="0007074F" w:rsidRDefault="00220F3F"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CS"/>
              </w:rPr>
            </w:pPr>
            <w:r w:rsidRPr="0007074F">
              <w:rPr>
                <w:rFonts w:asciiTheme="minorHAnsi" w:hAnsiTheme="minorHAnsi" w:cstheme="minorHAnsi"/>
                <w:b w:val="0"/>
                <w:bCs w:val="0"/>
                <w:color w:val="002060"/>
                <w:sz w:val="18"/>
                <w:szCs w:val="18"/>
                <w:lang w:val="sr-Cyrl-CS"/>
              </w:rPr>
              <w:t>2023</w:t>
            </w:r>
          </w:p>
        </w:tc>
        <w:tc>
          <w:tcPr>
            <w:tcW w:w="388" w:type="pct"/>
            <w:tcBorders>
              <w:top w:val="single" w:sz="4" w:space="0" w:color="002060"/>
              <w:bottom w:val="single" w:sz="4" w:space="0" w:color="002060"/>
            </w:tcBorders>
            <w:shd w:val="clear" w:color="auto" w:fill="auto"/>
            <w:noWrap/>
            <w:vAlign w:val="center"/>
            <w:hideMark/>
          </w:tcPr>
          <w:p w14:paraId="6AE8C01E" w14:textId="77777777" w:rsidR="00220F3F" w:rsidRPr="0007074F" w:rsidRDefault="00220F3F"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CS"/>
              </w:rPr>
            </w:pPr>
            <w:r w:rsidRPr="0007074F">
              <w:rPr>
                <w:rFonts w:asciiTheme="minorHAnsi" w:hAnsiTheme="minorHAnsi" w:cstheme="minorHAnsi"/>
                <w:b w:val="0"/>
                <w:bCs w:val="0"/>
                <w:color w:val="002060"/>
                <w:sz w:val="18"/>
                <w:szCs w:val="18"/>
                <w:lang w:val="sr-Cyrl-CS"/>
              </w:rPr>
              <w:t>2024</w:t>
            </w:r>
          </w:p>
        </w:tc>
        <w:tc>
          <w:tcPr>
            <w:tcW w:w="388" w:type="pct"/>
            <w:tcBorders>
              <w:top w:val="single" w:sz="4" w:space="0" w:color="002060"/>
              <w:bottom w:val="single" w:sz="4" w:space="0" w:color="002060"/>
            </w:tcBorders>
            <w:shd w:val="clear" w:color="auto" w:fill="auto"/>
            <w:noWrap/>
            <w:vAlign w:val="center"/>
            <w:hideMark/>
          </w:tcPr>
          <w:p w14:paraId="7E1F38E1" w14:textId="77777777" w:rsidR="00220F3F" w:rsidRPr="0007074F" w:rsidRDefault="00220F3F"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CS"/>
              </w:rPr>
            </w:pPr>
            <w:r w:rsidRPr="0007074F">
              <w:rPr>
                <w:rFonts w:asciiTheme="minorHAnsi" w:hAnsiTheme="minorHAnsi" w:cstheme="minorHAnsi"/>
                <w:b w:val="0"/>
                <w:bCs w:val="0"/>
                <w:color w:val="002060"/>
                <w:sz w:val="18"/>
                <w:szCs w:val="18"/>
                <w:lang w:val="sr-Cyrl-CS"/>
              </w:rPr>
              <w:t>2025</w:t>
            </w:r>
          </w:p>
        </w:tc>
        <w:tc>
          <w:tcPr>
            <w:tcW w:w="388" w:type="pct"/>
            <w:tcBorders>
              <w:top w:val="single" w:sz="4" w:space="0" w:color="002060"/>
              <w:bottom w:val="single" w:sz="4" w:space="0" w:color="002060"/>
            </w:tcBorders>
            <w:shd w:val="clear" w:color="auto" w:fill="auto"/>
            <w:noWrap/>
            <w:vAlign w:val="center"/>
            <w:hideMark/>
          </w:tcPr>
          <w:p w14:paraId="0ED604DB" w14:textId="77777777" w:rsidR="00220F3F" w:rsidRPr="0007074F" w:rsidRDefault="00220F3F"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CS"/>
              </w:rPr>
            </w:pPr>
            <w:r w:rsidRPr="0007074F">
              <w:rPr>
                <w:rFonts w:asciiTheme="minorHAnsi" w:hAnsiTheme="minorHAnsi" w:cstheme="minorHAnsi"/>
                <w:b w:val="0"/>
                <w:bCs w:val="0"/>
                <w:color w:val="002060"/>
                <w:sz w:val="18"/>
                <w:szCs w:val="18"/>
                <w:lang w:val="sr-Cyrl-CS"/>
              </w:rPr>
              <w:t>2026</w:t>
            </w:r>
          </w:p>
        </w:tc>
        <w:tc>
          <w:tcPr>
            <w:tcW w:w="388" w:type="pct"/>
            <w:tcBorders>
              <w:top w:val="single" w:sz="4" w:space="0" w:color="002060"/>
              <w:bottom w:val="single" w:sz="4" w:space="0" w:color="002060"/>
            </w:tcBorders>
            <w:shd w:val="clear" w:color="auto" w:fill="auto"/>
            <w:noWrap/>
            <w:vAlign w:val="center"/>
            <w:hideMark/>
          </w:tcPr>
          <w:p w14:paraId="4384F570" w14:textId="77777777" w:rsidR="00220F3F" w:rsidRPr="0007074F" w:rsidRDefault="00220F3F"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CS"/>
              </w:rPr>
            </w:pPr>
            <w:r w:rsidRPr="0007074F">
              <w:rPr>
                <w:rFonts w:asciiTheme="minorHAnsi" w:hAnsiTheme="minorHAnsi" w:cstheme="minorHAnsi"/>
                <w:b w:val="0"/>
                <w:bCs w:val="0"/>
                <w:color w:val="002060"/>
                <w:sz w:val="18"/>
                <w:szCs w:val="18"/>
                <w:lang w:val="sr-Cyrl-CS"/>
              </w:rPr>
              <w:t>2027</w:t>
            </w:r>
          </w:p>
        </w:tc>
        <w:tc>
          <w:tcPr>
            <w:tcW w:w="388" w:type="pct"/>
            <w:tcBorders>
              <w:top w:val="single" w:sz="4" w:space="0" w:color="002060"/>
              <w:bottom w:val="single" w:sz="4" w:space="0" w:color="002060"/>
            </w:tcBorders>
            <w:shd w:val="clear" w:color="auto" w:fill="auto"/>
            <w:noWrap/>
            <w:vAlign w:val="center"/>
            <w:hideMark/>
          </w:tcPr>
          <w:p w14:paraId="5EC8A626" w14:textId="77777777" w:rsidR="00220F3F" w:rsidRPr="0007074F" w:rsidRDefault="00220F3F" w:rsidP="00C43FA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CS"/>
              </w:rPr>
            </w:pPr>
            <w:r w:rsidRPr="0007074F">
              <w:rPr>
                <w:rFonts w:asciiTheme="minorHAnsi" w:hAnsiTheme="minorHAnsi" w:cstheme="minorHAnsi"/>
                <w:b w:val="0"/>
                <w:bCs w:val="0"/>
                <w:color w:val="002060"/>
                <w:sz w:val="18"/>
                <w:szCs w:val="18"/>
                <w:lang w:val="sr-Cyrl-CS"/>
              </w:rPr>
              <w:t>2028</w:t>
            </w:r>
          </w:p>
        </w:tc>
        <w:tc>
          <w:tcPr>
            <w:tcW w:w="386" w:type="pct"/>
            <w:tcBorders>
              <w:top w:val="single" w:sz="4" w:space="0" w:color="002060"/>
              <w:bottom w:val="single" w:sz="4" w:space="0" w:color="002060"/>
            </w:tcBorders>
            <w:shd w:val="clear" w:color="auto" w:fill="auto"/>
            <w:noWrap/>
            <w:vAlign w:val="center"/>
            <w:hideMark/>
          </w:tcPr>
          <w:p w14:paraId="529ADF30" w14:textId="77777777" w:rsidR="00220F3F" w:rsidRPr="0007074F" w:rsidRDefault="00220F3F" w:rsidP="000D368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CS"/>
              </w:rPr>
            </w:pPr>
            <w:r w:rsidRPr="0007074F">
              <w:rPr>
                <w:rFonts w:asciiTheme="minorHAnsi" w:hAnsiTheme="minorHAnsi" w:cstheme="minorHAnsi"/>
                <w:b w:val="0"/>
                <w:bCs w:val="0"/>
                <w:color w:val="002060"/>
                <w:sz w:val="18"/>
                <w:szCs w:val="18"/>
                <w:lang w:val="sr-Cyrl-CS"/>
              </w:rPr>
              <w:t>2029</w:t>
            </w:r>
          </w:p>
        </w:tc>
        <w:tc>
          <w:tcPr>
            <w:tcW w:w="386" w:type="pct"/>
            <w:tcBorders>
              <w:top w:val="single" w:sz="4" w:space="0" w:color="002060"/>
              <w:bottom w:val="single" w:sz="4" w:space="0" w:color="002060"/>
            </w:tcBorders>
            <w:vAlign w:val="center"/>
          </w:tcPr>
          <w:p w14:paraId="1A71170C" w14:textId="77777777" w:rsidR="00220F3F" w:rsidRPr="0007074F" w:rsidRDefault="00220F3F" w:rsidP="000D368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CS"/>
              </w:rPr>
            </w:pPr>
            <w:r w:rsidRPr="0007074F">
              <w:rPr>
                <w:rFonts w:asciiTheme="minorHAnsi" w:hAnsiTheme="minorHAnsi" w:cstheme="minorHAnsi"/>
                <w:b w:val="0"/>
                <w:bCs w:val="0"/>
                <w:color w:val="002060"/>
                <w:sz w:val="18"/>
                <w:szCs w:val="18"/>
                <w:lang w:val="sr-Cyrl-CS"/>
              </w:rPr>
              <w:t>2030</w:t>
            </w:r>
          </w:p>
        </w:tc>
        <w:tc>
          <w:tcPr>
            <w:tcW w:w="379" w:type="pct"/>
            <w:tcBorders>
              <w:top w:val="single" w:sz="4" w:space="0" w:color="002060"/>
              <w:bottom w:val="single" w:sz="4" w:space="0" w:color="002060"/>
            </w:tcBorders>
            <w:vAlign w:val="center"/>
          </w:tcPr>
          <w:p w14:paraId="7F8DDC55" w14:textId="77777777" w:rsidR="00220F3F" w:rsidRPr="0007074F" w:rsidRDefault="00220F3F" w:rsidP="000D368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CS"/>
              </w:rPr>
            </w:pPr>
            <w:r w:rsidRPr="0007074F">
              <w:rPr>
                <w:rFonts w:asciiTheme="minorHAnsi" w:hAnsiTheme="minorHAnsi" w:cstheme="minorHAnsi"/>
                <w:b w:val="0"/>
                <w:bCs w:val="0"/>
                <w:color w:val="002060"/>
                <w:sz w:val="18"/>
                <w:szCs w:val="18"/>
                <w:lang w:val="sr-Cyrl-CS"/>
              </w:rPr>
              <w:t>2031</w:t>
            </w:r>
          </w:p>
        </w:tc>
      </w:tr>
      <w:tr w:rsidR="00220F3F" w:rsidRPr="0007074F" w14:paraId="4EC743B6" w14:textId="77777777" w:rsidTr="006D6C9D">
        <w:trPr>
          <w:cnfStyle w:val="000000100000" w:firstRow="0" w:lastRow="0" w:firstColumn="0" w:lastColumn="0" w:oddVBand="0" w:evenVBand="0" w:oddHBand="1"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38" w:type="pct"/>
            <w:tcBorders>
              <w:top w:val="single" w:sz="4" w:space="0" w:color="002060"/>
              <w:bottom w:val="nil"/>
            </w:tcBorders>
            <w:shd w:val="clear" w:color="auto" w:fill="auto"/>
            <w:noWrap/>
            <w:vAlign w:val="center"/>
            <w:hideMark/>
          </w:tcPr>
          <w:p w14:paraId="47EFA2DC" w14:textId="77777777" w:rsidR="00220F3F" w:rsidRPr="0007074F" w:rsidRDefault="00220F3F" w:rsidP="000D3688">
            <w:pPr>
              <w:jc w:val="left"/>
              <w:rPr>
                <w:rFonts w:asciiTheme="minorHAnsi" w:eastAsia="Times New Roman" w:hAnsiTheme="minorHAnsi" w:cstheme="minorHAnsi"/>
                <w:bCs w:val="0"/>
                <w:color w:val="002060"/>
                <w:sz w:val="18"/>
                <w:szCs w:val="18"/>
                <w:lang w:val="sr-Cyrl-CS"/>
              </w:rPr>
            </w:pPr>
            <w:r w:rsidRPr="0007074F">
              <w:rPr>
                <w:rFonts w:asciiTheme="minorHAnsi" w:eastAsia="Times New Roman" w:hAnsiTheme="minorHAnsi" w:cstheme="minorHAnsi"/>
                <w:b w:val="0"/>
                <w:bCs w:val="0"/>
                <w:color w:val="002060"/>
                <w:sz w:val="18"/>
                <w:szCs w:val="18"/>
                <w:lang w:val="sr-Cyrl-CS"/>
              </w:rPr>
              <w:t>Приходи</w:t>
            </w:r>
          </w:p>
        </w:tc>
        <w:tc>
          <w:tcPr>
            <w:tcW w:w="386" w:type="pct"/>
            <w:tcBorders>
              <w:top w:val="nil"/>
              <w:bottom w:val="nil"/>
            </w:tcBorders>
            <w:shd w:val="clear" w:color="auto" w:fill="auto"/>
            <w:noWrap/>
            <w:hideMark/>
          </w:tcPr>
          <w:p w14:paraId="4F47B594"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43,8</w:t>
            </w:r>
          </w:p>
        </w:tc>
        <w:tc>
          <w:tcPr>
            <w:tcW w:w="386" w:type="pct"/>
            <w:tcBorders>
              <w:top w:val="nil"/>
              <w:bottom w:val="nil"/>
            </w:tcBorders>
            <w:shd w:val="clear" w:color="auto" w:fill="auto"/>
            <w:noWrap/>
            <w:hideMark/>
          </w:tcPr>
          <w:p w14:paraId="0D0DC6F6"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41,8</w:t>
            </w:r>
          </w:p>
        </w:tc>
        <w:tc>
          <w:tcPr>
            <w:tcW w:w="388" w:type="pct"/>
            <w:tcBorders>
              <w:top w:val="nil"/>
              <w:bottom w:val="nil"/>
            </w:tcBorders>
            <w:shd w:val="clear" w:color="auto" w:fill="auto"/>
            <w:noWrap/>
            <w:hideMark/>
          </w:tcPr>
          <w:p w14:paraId="649676D3"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41,5</w:t>
            </w:r>
          </w:p>
        </w:tc>
        <w:tc>
          <w:tcPr>
            <w:tcW w:w="388" w:type="pct"/>
            <w:tcBorders>
              <w:top w:val="nil"/>
              <w:bottom w:val="nil"/>
            </w:tcBorders>
            <w:shd w:val="clear" w:color="auto" w:fill="auto"/>
            <w:noWrap/>
            <w:hideMark/>
          </w:tcPr>
          <w:p w14:paraId="7B5963FA"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41,5</w:t>
            </w:r>
          </w:p>
        </w:tc>
        <w:tc>
          <w:tcPr>
            <w:tcW w:w="388" w:type="pct"/>
            <w:tcBorders>
              <w:top w:val="nil"/>
              <w:bottom w:val="nil"/>
            </w:tcBorders>
            <w:shd w:val="clear" w:color="auto" w:fill="auto"/>
            <w:noWrap/>
            <w:hideMark/>
          </w:tcPr>
          <w:p w14:paraId="2F5D5A2B"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41,4</w:t>
            </w:r>
          </w:p>
        </w:tc>
        <w:tc>
          <w:tcPr>
            <w:tcW w:w="388" w:type="pct"/>
            <w:tcBorders>
              <w:top w:val="nil"/>
              <w:bottom w:val="nil"/>
            </w:tcBorders>
            <w:shd w:val="clear" w:color="auto" w:fill="auto"/>
            <w:noWrap/>
            <w:hideMark/>
          </w:tcPr>
          <w:p w14:paraId="2B58F046"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41,2</w:t>
            </w:r>
          </w:p>
        </w:tc>
        <w:tc>
          <w:tcPr>
            <w:tcW w:w="388" w:type="pct"/>
            <w:tcBorders>
              <w:top w:val="nil"/>
              <w:bottom w:val="nil"/>
            </w:tcBorders>
            <w:shd w:val="clear" w:color="auto" w:fill="auto"/>
            <w:noWrap/>
            <w:hideMark/>
          </w:tcPr>
          <w:p w14:paraId="0E06804E"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41,0</w:t>
            </w:r>
          </w:p>
        </w:tc>
        <w:tc>
          <w:tcPr>
            <w:tcW w:w="386" w:type="pct"/>
            <w:tcBorders>
              <w:top w:val="nil"/>
              <w:bottom w:val="nil"/>
            </w:tcBorders>
            <w:shd w:val="clear" w:color="auto" w:fill="auto"/>
            <w:noWrap/>
            <w:hideMark/>
          </w:tcPr>
          <w:p w14:paraId="2A74DFC4"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40,7</w:t>
            </w:r>
          </w:p>
        </w:tc>
        <w:tc>
          <w:tcPr>
            <w:tcW w:w="386" w:type="pct"/>
            <w:tcBorders>
              <w:top w:val="single" w:sz="4" w:space="0" w:color="002060"/>
              <w:bottom w:val="nil"/>
            </w:tcBorders>
            <w:shd w:val="clear" w:color="auto" w:fill="auto"/>
          </w:tcPr>
          <w:p w14:paraId="60B93B37"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40,5</w:t>
            </w:r>
          </w:p>
        </w:tc>
        <w:tc>
          <w:tcPr>
            <w:tcW w:w="379" w:type="pct"/>
            <w:tcBorders>
              <w:top w:val="single" w:sz="4" w:space="0" w:color="002060"/>
              <w:bottom w:val="nil"/>
            </w:tcBorders>
            <w:shd w:val="clear" w:color="auto" w:fill="auto"/>
          </w:tcPr>
          <w:p w14:paraId="3D21A517"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40,3</w:t>
            </w:r>
          </w:p>
        </w:tc>
      </w:tr>
      <w:tr w:rsidR="00220F3F" w:rsidRPr="0007074F" w14:paraId="18FD62E2" w14:textId="77777777" w:rsidTr="000D3688">
        <w:trPr>
          <w:trHeight w:hRule="exact" w:val="320"/>
          <w:jc w:val="center"/>
        </w:trPr>
        <w:tc>
          <w:tcPr>
            <w:cnfStyle w:val="001000000000" w:firstRow="0" w:lastRow="0" w:firstColumn="1" w:lastColumn="0" w:oddVBand="0" w:evenVBand="0" w:oddHBand="0" w:evenHBand="0" w:firstRowFirstColumn="0" w:firstRowLastColumn="0" w:lastRowFirstColumn="0" w:lastRowLastColumn="0"/>
            <w:tcW w:w="1138" w:type="pct"/>
            <w:tcBorders>
              <w:top w:val="nil"/>
              <w:left w:val="nil"/>
              <w:bottom w:val="nil"/>
              <w:right w:val="nil"/>
            </w:tcBorders>
            <w:shd w:val="clear" w:color="auto" w:fill="auto"/>
            <w:noWrap/>
            <w:vAlign w:val="center"/>
            <w:hideMark/>
          </w:tcPr>
          <w:p w14:paraId="4D7D8D96" w14:textId="77777777" w:rsidR="00220F3F" w:rsidRPr="0007074F" w:rsidRDefault="00220F3F" w:rsidP="000D3688">
            <w:pPr>
              <w:jc w:val="left"/>
              <w:rPr>
                <w:rFonts w:asciiTheme="minorHAnsi" w:eastAsia="Times New Roman" w:hAnsiTheme="minorHAnsi" w:cstheme="minorHAnsi"/>
                <w:bCs w:val="0"/>
                <w:color w:val="002060"/>
                <w:sz w:val="18"/>
                <w:szCs w:val="18"/>
                <w:lang w:val="sr-Cyrl-CS"/>
              </w:rPr>
            </w:pPr>
            <w:r w:rsidRPr="0007074F">
              <w:rPr>
                <w:rFonts w:asciiTheme="minorHAnsi" w:eastAsia="Times New Roman" w:hAnsiTheme="minorHAnsi" w:cstheme="minorHAnsi"/>
                <w:b w:val="0"/>
                <w:bCs w:val="0"/>
                <w:color w:val="002060"/>
                <w:sz w:val="18"/>
                <w:szCs w:val="18"/>
                <w:lang w:val="sr-Cyrl-CS"/>
              </w:rPr>
              <w:t>Расходи</w:t>
            </w:r>
          </w:p>
        </w:tc>
        <w:tc>
          <w:tcPr>
            <w:tcW w:w="386" w:type="pct"/>
            <w:tcBorders>
              <w:top w:val="nil"/>
              <w:left w:val="nil"/>
              <w:bottom w:val="nil"/>
              <w:right w:val="nil"/>
            </w:tcBorders>
            <w:shd w:val="clear" w:color="auto" w:fill="auto"/>
            <w:noWrap/>
            <w:hideMark/>
          </w:tcPr>
          <w:p w14:paraId="64AD7F9E"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46,9</w:t>
            </w:r>
          </w:p>
        </w:tc>
        <w:tc>
          <w:tcPr>
            <w:tcW w:w="386" w:type="pct"/>
            <w:tcBorders>
              <w:top w:val="nil"/>
              <w:left w:val="nil"/>
              <w:bottom w:val="nil"/>
              <w:right w:val="nil"/>
            </w:tcBorders>
            <w:shd w:val="clear" w:color="auto" w:fill="auto"/>
            <w:noWrap/>
            <w:hideMark/>
          </w:tcPr>
          <w:p w14:paraId="6F05BF37"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44,9</w:t>
            </w:r>
          </w:p>
        </w:tc>
        <w:tc>
          <w:tcPr>
            <w:tcW w:w="388" w:type="pct"/>
            <w:tcBorders>
              <w:top w:val="nil"/>
              <w:left w:val="nil"/>
              <w:bottom w:val="nil"/>
              <w:right w:val="nil"/>
            </w:tcBorders>
            <w:shd w:val="clear" w:color="auto" w:fill="auto"/>
            <w:noWrap/>
            <w:hideMark/>
          </w:tcPr>
          <w:p w14:paraId="4A85939F"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43,8</w:t>
            </w:r>
          </w:p>
        </w:tc>
        <w:tc>
          <w:tcPr>
            <w:tcW w:w="388" w:type="pct"/>
            <w:tcBorders>
              <w:top w:val="nil"/>
              <w:left w:val="nil"/>
              <w:bottom w:val="nil"/>
              <w:right w:val="nil"/>
            </w:tcBorders>
            <w:shd w:val="clear" w:color="auto" w:fill="auto"/>
            <w:noWrap/>
            <w:hideMark/>
          </w:tcPr>
          <w:p w14:paraId="017D114F"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43,0</w:t>
            </w:r>
          </w:p>
        </w:tc>
        <w:tc>
          <w:tcPr>
            <w:tcW w:w="388" w:type="pct"/>
            <w:tcBorders>
              <w:top w:val="nil"/>
              <w:left w:val="nil"/>
              <w:bottom w:val="nil"/>
              <w:right w:val="nil"/>
            </w:tcBorders>
            <w:shd w:val="clear" w:color="auto" w:fill="auto"/>
            <w:noWrap/>
            <w:hideMark/>
          </w:tcPr>
          <w:p w14:paraId="360DAF4F"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42,9</w:t>
            </w:r>
          </w:p>
        </w:tc>
        <w:tc>
          <w:tcPr>
            <w:tcW w:w="388" w:type="pct"/>
            <w:tcBorders>
              <w:top w:val="nil"/>
              <w:left w:val="nil"/>
              <w:bottom w:val="nil"/>
              <w:right w:val="nil"/>
            </w:tcBorders>
            <w:shd w:val="clear" w:color="auto" w:fill="auto"/>
            <w:noWrap/>
            <w:hideMark/>
          </w:tcPr>
          <w:p w14:paraId="460B389A"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42,7</w:t>
            </w:r>
          </w:p>
        </w:tc>
        <w:tc>
          <w:tcPr>
            <w:tcW w:w="388" w:type="pct"/>
            <w:tcBorders>
              <w:top w:val="nil"/>
              <w:left w:val="nil"/>
              <w:bottom w:val="nil"/>
              <w:right w:val="nil"/>
            </w:tcBorders>
            <w:shd w:val="clear" w:color="auto" w:fill="auto"/>
            <w:noWrap/>
            <w:hideMark/>
          </w:tcPr>
          <w:p w14:paraId="37873527"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42,5</w:t>
            </w:r>
          </w:p>
        </w:tc>
        <w:tc>
          <w:tcPr>
            <w:tcW w:w="386" w:type="pct"/>
            <w:tcBorders>
              <w:top w:val="nil"/>
              <w:left w:val="nil"/>
              <w:bottom w:val="nil"/>
              <w:right w:val="nil"/>
            </w:tcBorders>
            <w:shd w:val="clear" w:color="auto" w:fill="auto"/>
            <w:noWrap/>
            <w:hideMark/>
          </w:tcPr>
          <w:p w14:paraId="590EDE67"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42,2</w:t>
            </w:r>
          </w:p>
        </w:tc>
        <w:tc>
          <w:tcPr>
            <w:tcW w:w="386" w:type="pct"/>
            <w:tcBorders>
              <w:top w:val="nil"/>
              <w:left w:val="nil"/>
              <w:bottom w:val="nil"/>
              <w:right w:val="nil"/>
            </w:tcBorders>
            <w:shd w:val="clear" w:color="auto" w:fill="auto"/>
          </w:tcPr>
          <w:p w14:paraId="2A76E8F7"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42,0</w:t>
            </w:r>
          </w:p>
        </w:tc>
        <w:tc>
          <w:tcPr>
            <w:tcW w:w="379" w:type="pct"/>
            <w:tcBorders>
              <w:top w:val="nil"/>
              <w:left w:val="nil"/>
              <w:bottom w:val="nil"/>
              <w:right w:val="nil"/>
            </w:tcBorders>
            <w:shd w:val="clear" w:color="auto" w:fill="auto"/>
          </w:tcPr>
          <w:p w14:paraId="2ED41383"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41,8</w:t>
            </w:r>
          </w:p>
        </w:tc>
      </w:tr>
      <w:tr w:rsidR="00220F3F" w:rsidRPr="0007074F" w14:paraId="332818C1" w14:textId="77777777" w:rsidTr="000D3688">
        <w:trPr>
          <w:cnfStyle w:val="000000100000" w:firstRow="0" w:lastRow="0" w:firstColumn="0" w:lastColumn="0" w:oddVBand="0" w:evenVBand="0" w:oddHBand="1"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38" w:type="pct"/>
            <w:tcBorders>
              <w:top w:val="nil"/>
              <w:bottom w:val="nil"/>
            </w:tcBorders>
            <w:shd w:val="clear" w:color="auto" w:fill="auto"/>
            <w:noWrap/>
            <w:vAlign w:val="center"/>
            <w:hideMark/>
          </w:tcPr>
          <w:p w14:paraId="4BC726DB" w14:textId="77777777" w:rsidR="00220F3F" w:rsidRPr="0007074F" w:rsidRDefault="00220F3F" w:rsidP="000D3688">
            <w:pPr>
              <w:jc w:val="left"/>
              <w:rPr>
                <w:rFonts w:asciiTheme="minorHAnsi" w:eastAsia="Times New Roman" w:hAnsiTheme="minorHAnsi" w:cstheme="minorHAnsi"/>
                <w:bCs w:val="0"/>
                <w:iCs/>
                <w:color w:val="002060"/>
                <w:sz w:val="18"/>
                <w:szCs w:val="18"/>
                <w:lang w:val="sr-Cyrl-CS"/>
              </w:rPr>
            </w:pPr>
            <w:r w:rsidRPr="0007074F">
              <w:rPr>
                <w:rFonts w:asciiTheme="minorHAnsi" w:eastAsia="Times New Roman" w:hAnsiTheme="minorHAnsi" w:cstheme="minorHAnsi"/>
                <w:b w:val="0"/>
                <w:bCs w:val="0"/>
                <w:iCs/>
                <w:color w:val="002060"/>
                <w:sz w:val="18"/>
                <w:szCs w:val="18"/>
                <w:lang w:val="sr-Cyrl-CS"/>
              </w:rPr>
              <w:t>Пад учешћа расхода</w:t>
            </w:r>
          </w:p>
        </w:tc>
        <w:tc>
          <w:tcPr>
            <w:tcW w:w="386" w:type="pct"/>
            <w:tcBorders>
              <w:top w:val="nil"/>
              <w:bottom w:val="nil"/>
            </w:tcBorders>
            <w:shd w:val="clear" w:color="auto" w:fill="auto"/>
            <w:noWrap/>
            <w:hideMark/>
          </w:tcPr>
          <w:p w14:paraId="322A8696"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p>
        </w:tc>
        <w:tc>
          <w:tcPr>
            <w:tcW w:w="386" w:type="pct"/>
            <w:tcBorders>
              <w:top w:val="nil"/>
              <w:bottom w:val="nil"/>
            </w:tcBorders>
            <w:shd w:val="clear" w:color="auto" w:fill="auto"/>
            <w:noWrap/>
            <w:hideMark/>
          </w:tcPr>
          <w:p w14:paraId="2479F8F8"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-2,0</w:t>
            </w:r>
          </w:p>
        </w:tc>
        <w:tc>
          <w:tcPr>
            <w:tcW w:w="388" w:type="pct"/>
            <w:tcBorders>
              <w:top w:val="nil"/>
              <w:bottom w:val="nil"/>
            </w:tcBorders>
            <w:shd w:val="clear" w:color="auto" w:fill="auto"/>
            <w:noWrap/>
            <w:hideMark/>
          </w:tcPr>
          <w:p w14:paraId="7650F8B7"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-1,1</w:t>
            </w:r>
          </w:p>
        </w:tc>
        <w:tc>
          <w:tcPr>
            <w:tcW w:w="388" w:type="pct"/>
            <w:tcBorders>
              <w:top w:val="nil"/>
              <w:bottom w:val="nil"/>
            </w:tcBorders>
            <w:shd w:val="clear" w:color="auto" w:fill="auto"/>
            <w:noWrap/>
            <w:hideMark/>
          </w:tcPr>
          <w:p w14:paraId="1B626E48"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-0,8</w:t>
            </w:r>
          </w:p>
        </w:tc>
        <w:tc>
          <w:tcPr>
            <w:tcW w:w="388" w:type="pct"/>
            <w:tcBorders>
              <w:top w:val="nil"/>
              <w:bottom w:val="nil"/>
            </w:tcBorders>
            <w:shd w:val="clear" w:color="auto" w:fill="auto"/>
            <w:noWrap/>
            <w:hideMark/>
          </w:tcPr>
          <w:p w14:paraId="2A2D85EB"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-0,1</w:t>
            </w:r>
          </w:p>
        </w:tc>
        <w:tc>
          <w:tcPr>
            <w:tcW w:w="388" w:type="pct"/>
            <w:tcBorders>
              <w:top w:val="nil"/>
              <w:bottom w:val="nil"/>
            </w:tcBorders>
            <w:shd w:val="clear" w:color="auto" w:fill="auto"/>
            <w:noWrap/>
            <w:hideMark/>
          </w:tcPr>
          <w:p w14:paraId="2F773FF8"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-0,2</w:t>
            </w:r>
          </w:p>
        </w:tc>
        <w:tc>
          <w:tcPr>
            <w:tcW w:w="388" w:type="pct"/>
            <w:tcBorders>
              <w:top w:val="nil"/>
              <w:bottom w:val="nil"/>
            </w:tcBorders>
            <w:shd w:val="clear" w:color="auto" w:fill="auto"/>
            <w:noWrap/>
            <w:hideMark/>
          </w:tcPr>
          <w:p w14:paraId="0CDDDE65"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-0,2</w:t>
            </w:r>
          </w:p>
        </w:tc>
        <w:tc>
          <w:tcPr>
            <w:tcW w:w="386" w:type="pct"/>
            <w:tcBorders>
              <w:top w:val="nil"/>
              <w:bottom w:val="nil"/>
            </w:tcBorders>
            <w:shd w:val="clear" w:color="auto" w:fill="auto"/>
            <w:noWrap/>
            <w:hideMark/>
          </w:tcPr>
          <w:p w14:paraId="36A97F3D"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-0,2</w:t>
            </w:r>
          </w:p>
        </w:tc>
        <w:tc>
          <w:tcPr>
            <w:tcW w:w="386" w:type="pct"/>
            <w:tcBorders>
              <w:top w:val="nil"/>
              <w:bottom w:val="nil"/>
            </w:tcBorders>
            <w:shd w:val="clear" w:color="auto" w:fill="auto"/>
          </w:tcPr>
          <w:p w14:paraId="1F8329FE"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-0,2</w:t>
            </w:r>
          </w:p>
        </w:tc>
        <w:tc>
          <w:tcPr>
            <w:tcW w:w="379" w:type="pct"/>
            <w:tcBorders>
              <w:top w:val="nil"/>
              <w:bottom w:val="nil"/>
            </w:tcBorders>
            <w:shd w:val="clear" w:color="auto" w:fill="auto"/>
          </w:tcPr>
          <w:p w14:paraId="05EEBF28"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-0,2</w:t>
            </w:r>
          </w:p>
        </w:tc>
      </w:tr>
      <w:tr w:rsidR="00220F3F" w:rsidRPr="0007074F" w14:paraId="1B63DB83" w14:textId="77777777" w:rsidTr="000D3688">
        <w:trPr>
          <w:trHeight w:hRule="exact" w:val="320"/>
          <w:jc w:val="center"/>
        </w:trPr>
        <w:tc>
          <w:tcPr>
            <w:cnfStyle w:val="001000000000" w:firstRow="0" w:lastRow="0" w:firstColumn="1" w:lastColumn="0" w:oddVBand="0" w:evenVBand="0" w:oddHBand="0" w:evenHBand="0" w:firstRowFirstColumn="0" w:firstRowLastColumn="0" w:lastRowFirstColumn="0" w:lastRowLastColumn="0"/>
            <w:tcW w:w="1138" w:type="pct"/>
            <w:tcBorders>
              <w:top w:val="nil"/>
              <w:left w:val="nil"/>
              <w:bottom w:val="nil"/>
              <w:right w:val="nil"/>
            </w:tcBorders>
            <w:shd w:val="clear" w:color="auto" w:fill="auto"/>
            <w:noWrap/>
            <w:vAlign w:val="center"/>
            <w:hideMark/>
          </w:tcPr>
          <w:p w14:paraId="244A78EF" w14:textId="77777777" w:rsidR="00220F3F" w:rsidRPr="0007074F" w:rsidRDefault="00220F3F" w:rsidP="000D3688">
            <w:pPr>
              <w:jc w:val="left"/>
              <w:rPr>
                <w:rFonts w:asciiTheme="minorHAnsi" w:eastAsia="Times New Roman" w:hAnsiTheme="minorHAnsi" w:cstheme="minorHAnsi"/>
                <w:bCs w:val="0"/>
                <w:color w:val="002060"/>
                <w:sz w:val="18"/>
                <w:szCs w:val="18"/>
                <w:lang w:val="sr-Cyrl-CS"/>
              </w:rPr>
            </w:pPr>
            <w:r w:rsidRPr="0007074F">
              <w:rPr>
                <w:rFonts w:asciiTheme="minorHAnsi" w:eastAsia="Times New Roman" w:hAnsiTheme="minorHAnsi" w:cstheme="minorHAnsi"/>
                <w:b w:val="0"/>
                <w:bCs w:val="0"/>
                <w:color w:val="002060"/>
                <w:sz w:val="18"/>
                <w:szCs w:val="18"/>
                <w:lang w:val="sr-Cyrl-CS"/>
              </w:rPr>
              <w:t xml:space="preserve">Фискални резултат </w:t>
            </w:r>
          </w:p>
        </w:tc>
        <w:tc>
          <w:tcPr>
            <w:tcW w:w="386" w:type="pct"/>
            <w:tcBorders>
              <w:top w:val="nil"/>
              <w:left w:val="nil"/>
              <w:bottom w:val="nil"/>
              <w:right w:val="nil"/>
            </w:tcBorders>
            <w:shd w:val="clear" w:color="auto" w:fill="auto"/>
            <w:noWrap/>
            <w:hideMark/>
          </w:tcPr>
          <w:p w14:paraId="580E33FA"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-3,2</w:t>
            </w:r>
          </w:p>
        </w:tc>
        <w:tc>
          <w:tcPr>
            <w:tcW w:w="386" w:type="pct"/>
            <w:tcBorders>
              <w:top w:val="nil"/>
              <w:left w:val="nil"/>
              <w:bottom w:val="nil"/>
              <w:right w:val="nil"/>
            </w:tcBorders>
            <w:shd w:val="clear" w:color="auto" w:fill="auto"/>
            <w:noWrap/>
            <w:hideMark/>
          </w:tcPr>
          <w:p w14:paraId="33ECDEC7"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-3,0</w:t>
            </w:r>
          </w:p>
        </w:tc>
        <w:tc>
          <w:tcPr>
            <w:tcW w:w="388" w:type="pct"/>
            <w:tcBorders>
              <w:top w:val="nil"/>
              <w:left w:val="nil"/>
              <w:bottom w:val="nil"/>
              <w:right w:val="nil"/>
            </w:tcBorders>
            <w:shd w:val="clear" w:color="auto" w:fill="auto"/>
            <w:noWrap/>
            <w:hideMark/>
          </w:tcPr>
          <w:p w14:paraId="212B53C8"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-2,2</w:t>
            </w:r>
          </w:p>
        </w:tc>
        <w:tc>
          <w:tcPr>
            <w:tcW w:w="388" w:type="pct"/>
            <w:tcBorders>
              <w:top w:val="nil"/>
              <w:left w:val="nil"/>
              <w:bottom w:val="nil"/>
              <w:right w:val="nil"/>
            </w:tcBorders>
            <w:shd w:val="clear" w:color="auto" w:fill="auto"/>
            <w:noWrap/>
            <w:hideMark/>
          </w:tcPr>
          <w:p w14:paraId="1639F12E"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-1,5</w:t>
            </w:r>
          </w:p>
        </w:tc>
        <w:tc>
          <w:tcPr>
            <w:tcW w:w="388" w:type="pct"/>
            <w:tcBorders>
              <w:top w:val="nil"/>
              <w:left w:val="nil"/>
              <w:bottom w:val="nil"/>
              <w:right w:val="nil"/>
            </w:tcBorders>
            <w:shd w:val="clear" w:color="auto" w:fill="auto"/>
            <w:noWrap/>
            <w:hideMark/>
          </w:tcPr>
          <w:p w14:paraId="47E63D2A"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-1,5</w:t>
            </w:r>
          </w:p>
        </w:tc>
        <w:tc>
          <w:tcPr>
            <w:tcW w:w="388" w:type="pct"/>
            <w:tcBorders>
              <w:top w:val="nil"/>
              <w:left w:val="nil"/>
              <w:bottom w:val="nil"/>
              <w:right w:val="nil"/>
            </w:tcBorders>
            <w:shd w:val="clear" w:color="auto" w:fill="auto"/>
            <w:noWrap/>
            <w:hideMark/>
          </w:tcPr>
          <w:p w14:paraId="66C54AB9"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-1,5</w:t>
            </w:r>
          </w:p>
        </w:tc>
        <w:tc>
          <w:tcPr>
            <w:tcW w:w="388" w:type="pct"/>
            <w:tcBorders>
              <w:top w:val="nil"/>
              <w:left w:val="nil"/>
              <w:bottom w:val="nil"/>
              <w:right w:val="nil"/>
            </w:tcBorders>
            <w:shd w:val="clear" w:color="auto" w:fill="auto"/>
            <w:noWrap/>
            <w:hideMark/>
          </w:tcPr>
          <w:p w14:paraId="39D08C93"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-1,5</w:t>
            </w:r>
          </w:p>
        </w:tc>
        <w:tc>
          <w:tcPr>
            <w:tcW w:w="386" w:type="pct"/>
            <w:tcBorders>
              <w:top w:val="nil"/>
              <w:left w:val="nil"/>
              <w:bottom w:val="nil"/>
              <w:right w:val="nil"/>
            </w:tcBorders>
            <w:shd w:val="clear" w:color="auto" w:fill="auto"/>
            <w:noWrap/>
            <w:hideMark/>
          </w:tcPr>
          <w:p w14:paraId="10ADB66D"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-1,5</w:t>
            </w:r>
          </w:p>
        </w:tc>
        <w:tc>
          <w:tcPr>
            <w:tcW w:w="386" w:type="pct"/>
            <w:tcBorders>
              <w:top w:val="nil"/>
              <w:left w:val="nil"/>
              <w:bottom w:val="nil"/>
              <w:right w:val="nil"/>
            </w:tcBorders>
            <w:shd w:val="clear" w:color="auto" w:fill="auto"/>
          </w:tcPr>
          <w:p w14:paraId="733C30F6"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-1,5</w:t>
            </w:r>
          </w:p>
        </w:tc>
        <w:tc>
          <w:tcPr>
            <w:tcW w:w="379" w:type="pct"/>
            <w:tcBorders>
              <w:top w:val="nil"/>
              <w:left w:val="nil"/>
              <w:bottom w:val="nil"/>
              <w:right w:val="nil"/>
            </w:tcBorders>
            <w:shd w:val="clear" w:color="auto" w:fill="auto"/>
          </w:tcPr>
          <w:p w14:paraId="672F4480"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-1,5</w:t>
            </w:r>
          </w:p>
        </w:tc>
      </w:tr>
      <w:tr w:rsidR="00220F3F" w:rsidRPr="0007074F" w14:paraId="3DE4AF6A" w14:textId="77777777" w:rsidTr="000D3688">
        <w:trPr>
          <w:cnfStyle w:val="000000100000" w:firstRow="0" w:lastRow="0" w:firstColumn="0" w:lastColumn="0" w:oddVBand="0" w:evenVBand="0" w:oddHBand="1"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38" w:type="pct"/>
            <w:tcBorders>
              <w:top w:val="nil"/>
              <w:bottom w:val="nil"/>
            </w:tcBorders>
            <w:shd w:val="clear" w:color="auto" w:fill="auto"/>
            <w:noWrap/>
            <w:vAlign w:val="center"/>
            <w:hideMark/>
          </w:tcPr>
          <w:p w14:paraId="60E8F17A" w14:textId="7857FD51" w:rsidR="00220F3F" w:rsidRPr="0007074F" w:rsidRDefault="00220F3F" w:rsidP="000D3688">
            <w:pPr>
              <w:jc w:val="left"/>
              <w:rPr>
                <w:rFonts w:asciiTheme="minorHAnsi" w:eastAsia="Times New Roman" w:hAnsiTheme="minorHAnsi" w:cstheme="minorHAnsi"/>
                <w:bCs w:val="0"/>
                <w:color w:val="002060"/>
                <w:sz w:val="18"/>
                <w:szCs w:val="18"/>
                <w:lang w:val="sr-Cyrl-CS"/>
              </w:rPr>
            </w:pPr>
            <w:r w:rsidRPr="0007074F">
              <w:rPr>
                <w:rFonts w:asciiTheme="minorHAnsi" w:eastAsia="Times New Roman" w:hAnsiTheme="minorHAnsi" w:cstheme="minorHAnsi"/>
                <w:b w:val="0"/>
                <w:bCs w:val="0"/>
                <w:color w:val="002060"/>
                <w:sz w:val="18"/>
                <w:szCs w:val="18"/>
                <w:lang w:val="sr-Cyrl-CS"/>
              </w:rPr>
              <w:t>Примарни фис</w:t>
            </w:r>
            <w:r w:rsidR="005652FE" w:rsidRPr="0007074F">
              <w:rPr>
                <w:rFonts w:asciiTheme="minorHAnsi" w:eastAsia="Times New Roman" w:hAnsiTheme="minorHAnsi" w:cstheme="minorHAnsi"/>
                <w:b w:val="0"/>
                <w:bCs w:val="0"/>
                <w:color w:val="002060"/>
                <w:sz w:val="18"/>
                <w:szCs w:val="18"/>
                <w:lang w:val="sr-Cyrl-CS"/>
              </w:rPr>
              <w:t>к</w:t>
            </w:r>
            <w:r w:rsidRPr="0007074F">
              <w:rPr>
                <w:rFonts w:asciiTheme="minorHAnsi" w:eastAsia="Times New Roman" w:hAnsiTheme="minorHAnsi" w:cstheme="minorHAnsi"/>
                <w:b w:val="0"/>
                <w:bCs w:val="0"/>
                <w:color w:val="002060"/>
                <w:sz w:val="18"/>
                <w:szCs w:val="18"/>
                <w:lang w:val="sr-Cyrl-CS"/>
              </w:rPr>
              <w:t>. резултат</w:t>
            </w:r>
          </w:p>
        </w:tc>
        <w:tc>
          <w:tcPr>
            <w:tcW w:w="386" w:type="pct"/>
            <w:tcBorders>
              <w:top w:val="nil"/>
              <w:bottom w:val="nil"/>
            </w:tcBorders>
            <w:shd w:val="clear" w:color="auto" w:fill="auto"/>
            <w:noWrap/>
            <w:hideMark/>
          </w:tcPr>
          <w:p w14:paraId="6384BAB2"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-1,7</w:t>
            </w:r>
          </w:p>
        </w:tc>
        <w:tc>
          <w:tcPr>
            <w:tcW w:w="386" w:type="pct"/>
            <w:tcBorders>
              <w:top w:val="nil"/>
              <w:bottom w:val="nil"/>
            </w:tcBorders>
            <w:shd w:val="clear" w:color="auto" w:fill="auto"/>
            <w:noWrap/>
            <w:hideMark/>
          </w:tcPr>
          <w:p w14:paraId="75FB35A6"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-1,2</w:t>
            </w:r>
          </w:p>
        </w:tc>
        <w:tc>
          <w:tcPr>
            <w:tcW w:w="388" w:type="pct"/>
            <w:tcBorders>
              <w:top w:val="nil"/>
              <w:bottom w:val="nil"/>
            </w:tcBorders>
            <w:shd w:val="clear" w:color="auto" w:fill="auto"/>
            <w:noWrap/>
            <w:hideMark/>
          </w:tcPr>
          <w:p w14:paraId="41460C3A"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-0,1</w:t>
            </w:r>
          </w:p>
        </w:tc>
        <w:tc>
          <w:tcPr>
            <w:tcW w:w="388" w:type="pct"/>
            <w:tcBorders>
              <w:top w:val="nil"/>
              <w:bottom w:val="nil"/>
            </w:tcBorders>
            <w:shd w:val="clear" w:color="auto" w:fill="auto"/>
            <w:noWrap/>
            <w:hideMark/>
          </w:tcPr>
          <w:p w14:paraId="374FEEB4"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0,8</w:t>
            </w:r>
          </w:p>
        </w:tc>
        <w:tc>
          <w:tcPr>
            <w:tcW w:w="388" w:type="pct"/>
            <w:tcBorders>
              <w:top w:val="nil"/>
              <w:bottom w:val="nil"/>
            </w:tcBorders>
            <w:shd w:val="clear" w:color="auto" w:fill="auto"/>
            <w:noWrap/>
            <w:hideMark/>
          </w:tcPr>
          <w:p w14:paraId="10853CDF"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0,9</w:t>
            </w:r>
          </w:p>
        </w:tc>
        <w:tc>
          <w:tcPr>
            <w:tcW w:w="388" w:type="pct"/>
            <w:tcBorders>
              <w:top w:val="nil"/>
              <w:bottom w:val="nil"/>
            </w:tcBorders>
            <w:shd w:val="clear" w:color="auto" w:fill="auto"/>
            <w:noWrap/>
            <w:hideMark/>
          </w:tcPr>
          <w:p w14:paraId="627CE371"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0,8</w:t>
            </w:r>
          </w:p>
        </w:tc>
        <w:tc>
          <w:tcPr>
            <w:tcW w:w="388" w:type="pct"/>
            <w:tcBorders>
              <w:top w:val="nil"/>
              <w:bottom w:val="nil"/>
            </w:tcBorders>
            <w:shd w:val="clear" w:color="auto" w:fill="auto"/>
            <w:noWrap/>
            <w:hideMark/>
          </w:tcPr>
          <w:p w14:paraId="6C2E5B3C"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0,6</w:t>
            </w:r>
          </w:p>
        </w:tc>
        <w:tc>
          <w:tcPr>
            <w:tcW w:w="386" w:type="pct"/>
            <w:tcBorders>
              <w:top w:val="nil"/>
              <w:bottom w:val="nil"/>
            </w:tcBorders>
            <w:shd w:val="clear" w:color="auto" w:fill="auto"/>
            <w:noWrap/>
            <w:hideMark/>
          </w:tcPr>
          <w:p w14:paraId="496F104C"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0,4</w:t>
            </w:r>
          </w:p>
        </w:tc>
        <w:tc>
          <w:tcPr>
            <w:tcW w:w="386" w:type="pct"/>
            <w:tcBorders>
              <w:top w:val="nil"/>
              <w:bottom w:val="nil"/>
            </w:tcBorders>
            <w:shd w:val="clear" w:color="auto" w:fill="auto"/>
          </w:tcPr>
          <w:p w14:paraId="44D1050E"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0,2</w:t>
            </w:r>
          </w:p>
        </w:tc>
        <w:tc>
          <w:tcPr>
            <w:tcW w:w="379" w:type="pct"/>
            <w:tcBorders>
              <w:top w:val="nil"/>
              <w:bottom w:val="nil"/>
            </w:tcBorders>
            <w:shd w:val="clear" w:color="auto" w:fill="auto"/>
          </w:tcPr>
          <w:p w14:paraId="21BBD4F0"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0,0</w:t>
            </w:r>
          </w:p>
        </w:tc>
      </w:tr>
      <w:tr w:rsidR="00220F3F" w:rsidRPr="0007074F" w14:paraId="53026B03" w14:textId="77777777" w:rsidTr="006D6C9D">
        <w:trPr>
          <w:trHeight w:hRule="exact" w:val="320"/>
          <w:jc w:val="center"/>
        </w:trPr>
        <w:tc>
          <w:tcPr>
            <w:cnfStyle w:val="001000000000" w:firstRow="0" w:lastRow="0" w:firstColumn="1" w:lastColumn="0" w:oddVBand="0" w:evenVBand="0" w:oddHBand="0" w:evenHBand="0" w:firstRowFirstColumn="0" w:firstRowLastColumn="0" w:lastRowFirstColumn="0" w:lastRowLastColumn="0"/>
            <w:tcW w:w="1138" w:type="pct"/>
            <w:tcBorders>
              <w:top w:val="nil"/>
              <w:left w:val="nil"/>
              <w:bottom w:val="nil"/>
              <w:right w:val="nil"/>
            </w:tcBorders>
            <w:shd w:val="clear" w:color="auto" w:fill="auto"/>
            <w:noWrap/>
            <w:vAlign w:val="center"/>
            <w:hideMark/>
          </w:tcPr>
          <w:p w14:paraId="092A4024" w14:textId="77777777" w:rsidR="00220F3F" w:rsidRPr="0007074F" w:rsidRDefault="00220F3F" w:rsidP="000D3688">
            <w:pPr>
              <w:jc w:val="left"/>
              <w:rPr>
                <w:rFonts w:asciiTheme="minorHAnsi" w:eastAsia="Times New Roman" w:hAnsiTheme="minorHAnsi" w:cstheme="minorHAnsi"/>
                <w:bCs w:val="0"/>
                <w:color w:val="002060"/>
                <w:sz w:val="18"/>
                <w:szCs w:val="18"/>
                <w:lang w:val="sr-Cyrl-CS"/>
              </w:rPr>
            </w:pPr>
            <w:r w:rsidRPr="0007074F">
              <w:rPr>
                <w:rFonts w:asciiTheme="minorHAnsi" w:eastAsia="Times New Roman" w:hAnsiTheme="minorHAnsi" w:cstheme="minorHAnsi"/>
                <w:b w:val="0"/>
                <w:bCs w:val="0"/>
                <w:color w:val="002060"/>
                <w:sz w:val="18"/>
                <w:szCs w:val="18"/>
                <w:lang w:val="sr-Cyrl-CS"/>
              </w:rPr>
              <w:t>Јавни дуг у БДП</w:t>
            </w:r>
          </w:p>
        </w:tc>
        <w:tc>
          <w:tcPr>
            <w:tcW w:w="386" w:type="pct"/>
            <w:tcBorders>
              <w:top w:val="nil"/>
              <w:left w:val="nil"/>
              <w:bottom w:val="nil"/>
              <w:right w:val="nil"/>
            </w:tcBorders>
            <w:shd w:val="clear" w:color="auto" w:fill="auto"/>
            <w:noWrap/>
            <w:hideMark/>
          </w:tcPr>
          <w:p w14:paraId="34EB5542"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55,6</w:t>
            </w:r>
          </w:p>
        </w:tc>
        <w:tc>
          <w:tcPr>
            <w:tcW w:w="386" w:type="pct"/>
            <w:tcBorders>
              <w:top w:val="nil"/>
              <w:left w:val="nil"/>
              <w:bottom w:val="nil"/>
              <w:right w:val="nil"/>
            </w:tcBorders>
            <w:shd w:val="clear" w:color="auto" w:fill="auto"/>
            <w:noWrap/>
            <w:hideMark/>
          </w:tcPr>
          <w:p w14:paraId="433296F3"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54,3</w:t>
            </w:r>
          </w:p>
        </w:tc>
        <w:tc>
          <w:tcPr>
            <w:tcW w:w="388" w:type="pct"/>
            <w:tcBorders>
              <w:top w:val="nil"/>
              <w:left w:val="nil"/>
              <w:bottom w:val="nil"/>
              <w:right w:val="nil"/>
            </w:tcBorders>
            <w:shd w:val="clear" w:color="auto" w:fill="auto"/>
            <w:noWrap/>
            <w:hideMark/>
          </w:tcPr>
          <w:p w14:paraId="06D5B72E"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54,0</w:t>
            </w:r>
          </w:p>
        </w:tc>
        <w:tc>
          <w:tcPr>
            <w:tcW w:w="388" w:type="pct"/>
            <w:tcBorders>
              <w:top w:val="nil"/>
              <w:left w:val="nil"/>
              <w:bottom w:val="nil"/>
              <w:right w:val="nil"/>
            </w:tcBorders>
            <w:shd w:val="clear" w:color="auto" w:fill="auto"/>
            <w:noWrap/>
            <w:hideMark/>
          </w:tcPr>
          <w:p w14:paraId="4FE11D74"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53,0</w:t>
            </w:r>
          </w:p>
        </w:tc>
        <w:tc>
          <w:tcPr>
            <w:tcW w:w="388" w:type="pct"/>
            <w:tcBorders>
              <w:top w:val="nil"/>
              <w:left w:val="nil"/>
              <w:bottom w:val="nil"/>
              <w:right w:val="nil"/>
            </w:tcBorders>
            <w:shd w:val="clear" w:color="auto" w:fill="auto"/>
            <w:noWrap/>
            <w:hideMark/>
          </w:tcPr>
          <w:p w14:paraId="0A33B865"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51,9</w:t>
            </w:r>
          </w:p>
        </w:tc>
        <w:tc>
          <w:tcPr>
            <w:tcW w:w="388" w:type="pct"/>
            <w:tcBorders>
              <w:top w:val="nil"/>
              <w:left w:val="nil"/>
              <w:bottom w:val="nil"/>
              <w:right w:val="nil"/>
            </w:tcBorders>
            <w:shd w:val="clear" w:color="auto" w:fill="auto"/>
            <w:noWrap/>
            <w:hideMark/>
          </w:tcPr>
          <w:p w14:paraId="7D35B894"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50,6</w:t>
            </w:r>
          </w:p>
        </w:tc>
        <w:tc>
          <w:tcPr>
            <w:tcW w:w="388" w:type="pct"/>
            <w:tcBorders>
              <w:top w:val="nil"/>
              <w:left w:val="nil"/>
              <w:bottom w:val="nil"/>
              <w:right w:val="nil"/>
            </w:tcBorders>
            <w:shd w:val="clear" w:color="auto" w:fill="auto"/>
            <w:noWrap/>
            <w:hideMark/>
          </w:tcPr>
          <w:p w14:paraId="10F70752"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49,3</w:t>
            </w:r>
          </w:p>
        </w:tc>
        <w:tc>
          <w:tcPr>
            <w:tcW w:w="386" w:type="pct"/>
            <w:tcBorders>
              <w:top w:val="nil"/>
              <w:left w:val="nil"/>
              <w:bottom w:val="nil"/>
              <w:right w:val="nil"/>
            </w:tcBorders>
            <w:shd w:val="clear" w:color="auto" w:fill="auto"/>
            <w:noWrap/>
            <w:hideMark/>
          </w:tcPr>
          <w:p w14:paraId="6FE08A83"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48,1</w:t>
            </w:r>
          </w:p>
        </w:tc>
        <w:tc>
          <w:tcPr>
            <w:tcW w:w="386" w:type="pct"/>
            <w:tcBorders>
              <w:top w:val="nil"/>
              <w:left w:val="nil"/>
              <w:bottom w:val="nil"/>
              <w:right w:val="nil"/>
            </w:tcBorders>
            <w:shd w:val="clear" w:color="auto" w:fill="auto"/>
          </w:tcPr>
          <w:p w14:paraId="142EA680"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46,9</w:t>
            </w:r>
          </w:p>
        </w:tc>
        <w:tc>
          <w:tcPr>
            <w:tcW w:w="379" w:type="pct"/>
            <w:tcBorders>
              <w:top w:val="nil"/>
              <w:left w:val="nil"/>
              <w:bottom w:val="nil"/>
              <w:right w:val="nil"/>
            </w:tcBorders>
            <w:shd w:val="clear" w:color="auto" w:fill="auto"/>
          </w:tcPr>
          <w:p w14:paraId="5CB626FC" w14:textId="77777777" w:rsidR="00220F3F" w:rsidRPr="0007074F" w:rsidRDefault="00220F3F" w:rsidP="000D3688">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45,9</w:t>
            </w:r>
          </w:p>
        </w:tc>
      </w:tr>
      <w:tr w:rsidR="00220F3F" w:rsidRPr="0007074F" w14:paraId="5C071EEC" w14:textId="77777777" w:rsidTr="006D6C9D">
        <w:trPr>
          <w:cnfStyle w:val="000000100000" w:firstRow="0" w:lastRow="0" w:firstColumn="0" w:lastColumn="0" w:oddVBand="0" w:evenVBand="0" w:oddHBand="1" w:evenHBand="0" w:firstRowFirstColumn="0" w:firstRowLastColumn="0" w:lastRowFirstColumn="0" w:lastRowLastColumn="0"/>
          <w:trHeight w:hRule="exact" w:val="320"/>
          <w:jc w:val="center"/>
        </w:trPr>
        <w:tc>
          <w:tcPr>
            <w:cnfStyle w:val="001000000000" w:firstRow="0" w:lastRow="0" w:firstColumn="1" w:lastColumn="0" w:oddVBand="0" w:evenVBand="0" w:oddHBand="0" w:evenHBand="0" w:firstRowFirstColumn="0" w:firstRowLastColumn="0" w:lastRowFirstColumn="0" w:lastRowLastColumn="0"/>
            <w:tcW w:w="1138" w:type="pct"/>
            <w:tcBorders>
              <w:top w:val="nil"/>
              <w:bottom w:val="single" w:sz="4" w:space="0" w:color="auto"/>
            </w:tcBorders>
            <w:shd w:val="clear" w:color="auto" w:fill="auto"/>
            <w:noWrap/>
            <w:vAlign w:val="center"/>
            <w:hideMark/>
          </w:tcPr>
          <w:p w14:paraId="1ED02749" w14:textId="77777777" w:rsidR="00220F3F" w:rsidRPr="0007074F" w:rsidRDefault="00220F3F" w:rsidP="000D3688">
            <w:pPr>
              <w:jc w:val="left"/>
              <w:rPr>
                <w:rFonts w:asciiTheme="minorHAnsi" w:eastAsia="Times New Roman" w:hAnsiTheme="minorHAnsi" w:cstheme="minorHAnsi"/>
                <w:bCs w:val="0"/>
                <w:color w:val="002060"/>
                <w:sz w:val="18"/>
                <w:szCs w:val="18"/>
                <w:lang w:val="sr-Cyrl-CS"/>
              </w:rPr>
            </w:pPr>
            <w:r w:rsidRPr="0007074F">
              <w:rPr>
                <w:rFonts w:asciiTheme="minorHAnsi" w:eastAsia="Times New Roman" w:hAnsiTheme="minorHAnsi" w:cstheme="minorHAnsi"/>
                <w:b w:val="0"/>
                <w:bCs w:val="0"/>
                <w:color w:val="002060"/>
                <w:sz w:val="18"/>
                <w:szCs w:val="18"/>
                <w:lang w:val="sr-Cyrl-CS"/>
              </w:rPr>
              <w:t>БДП реални раст, %</w:t>
            </w:r>
          </w:p>
        </w:tc>
        <w:tc>
          <w:tcPr>
            <w:tcW w:w="386" w:type="pct"/>
            <w:tcBorders>
              <w:top w:val="nil"/>
              <w:bottom w:val="single" w:sz="4" w:space="0" w:color="auto"/>
            </w:tcBorders>
            <w:shd w:val="clear" w:color="auto" w:fill="auto"/>
            <w:noWrap/>
            <w:hideMark/>
          </w:tcPr>
          <w:p w14:paraId="327FE327"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2,3</w:t>
            </w:r>
          </w:p>
        </w:tc>
        <w:tc>
          <w:tcPr>
            <w:tcW w:w="386" w:type="pct"/>
            <w:tcBorders>
              <w:top w:val="nil"/>
              <w:bottom w:val="single" w:sz="4" w:space="0" w:color="auto"/>
            </w:tcBorders>
            <w:shd w:val="clear" w:color="auto" w:fill="auto"/>
            <w:noWrap/>
            <w:hideMark/>
          </w:tcPr>
          <w:p w14:paraId="6F3A1B84"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2,5</w:t>
            </w:r>
          </w:p>
        </w:tc>
        <w:tc>
          <w:tcPr>
            <w:tcW w:w="388" w:type="pct"/>
            <w:tcBorders>
              <w:top w:val="nil"/>
              <w:bottom w:val="single" w:sz="4" w:space="0" w:color="auto"/>
            </w:tcBorders>
            <w:shd w:val="clear" w:color="auto" w:fill="auto"/>
            <w:noWrap/>
            <w:hideMark/>
          </w:tcPr>
          <w:p w14:paraId="233E9AAE"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3,5</w:t>
            </w:r>
          </w:p>
        </w:tc>
        <w:tc>
          <w:tcPr>
            <w:tcW w:w="388" w:type="pct"/>
            <w:tcBorders>
              <w:top w:val="nil"/>
              <w:bottom w:val="single" w:sz="4" w:space="0" w:color="auto"/>
            </w:tcBorders>
            <w:shd w:val="clear" w:color="auto" w:fill="auto"/>
            <w:noWrap/>
            <w:hideMark/>
          </w:tcPr>
          <w:p w14:paraId="33C0C547"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w:t>
            </w:r>
          </w:p>
        </w:tc>
        <w:tc>
          <w:tcPr>
            <w:tcW w:w="388" w:type="pct"/>
            <w:tcBorders>
              <w:top w:val="nil"/>
              <w:bottom w:val="single" w:sz="4" w:space="0" w:color="auto"/>
            </w:tcBorders>
            <w:shd w:val="clear" w:color="auto" w:fill="auto"/>
            <w:noWrap/>
            <w:hideMark/>
          </w:tcPr>
          <w:p w14:paraId="055CF3E3"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4,3</w:t>
            </w:r>
          </w:p>
        </w:tc>
        <w:tc>
          <w:tcPr>
            <w:tcW w:w="388" w:type="pct"/>
            <w:tcBorders>
              <w:top w:val="nil"/>
              <w:bottom w:val="single" w:sz="4" w:space="0" w:color="auto"/>
            </w:tcBorders>
            <w:shd w:val="clear" w:color="auto" w:fill="auto"/>
            <w:noWrap/>
            <w:hideMark/>
          </w:tcPr>
          <w:p w14:paraId="5A04FCB1"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w:t>
            </w:r>
          </w:p>
        </w:tc>
        <w:tc>
          <w:tcPr>
            <w:tcW w:w="388" w:type="pct"/>
            <w:tcBorders>
              <w:top w:val="nil"/>
              <w:bottom w:val="single" w:sz="4" w:space="0" w:color="auto"/>
            </w:tcBorders>
            <w:shd w:val="clear" w:color="auto" w:fill="auto"/>
            <w:noWrap/>
            <w:hideMark/>
          </w:tcPr>
          <w:p w14:paraId="0C5EF91B"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w:t>
            </w:r>
          </w:p>
        </w:tc>
        <w:tc>
          <w:tcPr>
            <w:tcW w:w="386" w:type="pct"/>
            <w:tcBorders>
              <w:top w:val="nil"/>
              <w:bottom w:val="single" w:sz="4" w:space="0" w:color="auto"/>
            </w:tcBorders>
            <w:shd w:val="clear" w:color="auto" w:fill="auto"/>
            <w:noWrap/>
            <w:hideMark/>
          </w:tcPr>
          <w:p w14:paraId="32873C61"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w:t>
            </w:r>
          </w:p>
        </w:tc>
        <w:tc>
          <w:tcPr>
            <w:tcW w:w="386" w:type="pct"/>
            <w:tcBorders>
              <w:top w:val="nil"/>
              <w:bottom w:val="single" w:sz="4" w:space="0" w:color="auto"/>
            </w:tcBorders>
            <w:shd w:val="clear" w:color="auto" w:fill="auto"/>
          </w:tcPr>
          <w:p w14:paraId="0924183A"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w:t>
            </w:r>
          </w:p>
        </w:tc>
        <w:tc>
          <w:tcPr>
            <w:tcW w:w="379" w:type="pct"/>
            <w:tcBorders>
              <w:top w:val="nil"/>
              <w:bottom w:val="single" w:sz="4" w:space="0" w:color="auto"/>
            </w:tcBorders>
            <w:shd w:val="clear" w:color="auto" w:fill="auto"/>
          </w:tcPr>
          <w:p w14:paraId="48C22B62" w14:textId="77777777" w:rsidR="00220F3F" w:rsidRPr="0007074F" w:rsidRDefault="00220F3F" w:rsidP="000D3688">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CS"/>
              </w:rPr>
            </w:pPr>
            <w:r w:rsidRPr="0007074F">
              <w:rPr>
                <w:rFonts w:asciiTheme="minorHAnsi" w:eastAsia="Times New Roman" w:hAnsiTheme="minorHAnsi" w:cstheme="minorHAnsi"/>
                <w:bCs/>
                <w:color w:val="002060"/>
                <w:sz w:val="18"/>
                <w:szCs w:val="18"/>
                <w:lang w:val="sr-Cyrl-CS"/>
              </w:rPr>
              <w:t>4,0</w:t>
            </w:r>
          </w:p>
        </w:tc>
      </w:tr>
    </w:tbl>
    <w:p w14:paraId="183A3926" w14:textId="77777777" w:rsidR="00220F3F" w:rsidRPr="0007074F" w:rsidRDefault="00220F3F" w:rsidP="000D3688">
      <w:pPr>
        <w:spacing w:after="120"/>
        <w:jc w:val="left"/>
        <w:rPr>
          <w:rFonts w:ascii="Calibri" w:eastAsia="MS PGothic" w:hAnsi="Calibri" w:cs="Calibri"/>
          <w:sz w:val="16"/>
          <w:szCs w:val="16"/>
          <w:lang w:val="sr-Cyrl-CS" w:eastAsia="ja-JP"/>
        </w:rPr>
      </w:pPr>
      <w:r w:rsidRPr="0007074F">
        <w:rPr>
          <w:rFonts w:ascii="Calibri" w:eastAsia="MS PGothic" w:hAnsi="Calibri" w:cs="Calibri"/>
          <w:sz w:val="16"/>
          <w:szCs w:val="16"/>
          <w:lang w:val="sr-Cyrl-CS" w:eastAsia="ja-JP"/>
        </w:rPr>
        <w:t xml:space="preserve">Извор: </w:t>
      </w:r>
      <w:r w:rsidRPr="0007074F">
        <w:rPr>
          <w:rFonts w:ascii="Calibri" w:eastAsia="Calibri" w:hAnsi="Calibri" w:cs="Calibri"/>
          <w:sz w:val="16"/>
          <w:szCs w:val="20"/>
          <w:lang w:val="sr-Cyrl-CS"/>
        </w:rPr>
        <w:t>Министарство финансија</w:t>
      </w:r>
    </w:p>
    <w:p w14:paraId="0CAF327C" w14:textId="77777777" w:rsidR="00220F3F" w:rsidRPr="0007074F" w:rsidRDefault="00220F3F" w:rsidP="000D3688">
      <w:pPr>
        <w:spacing w:after="120"/>
        <w:rPr>
          <w:rFonts w:ascii="Calibri" w:eastAsia="Calibri" w:hAnsi="Calibri" w:cs="Calibri"/>
          <w:szCs w:val="20"/>
          <w:lang w:val="sr-Cyrl-CS" w:eastAsia="ja-JP"/>
        </w:rPr>
        <w:sectPr w:rsidR="00220F3F" w:rsidRPr="0007074F" w:rsidSect="000D3688">
          <w:type w:val="continuous"/>
          <w:pgSz w:w="12240" w:h="15840" w:code="1"/>
          <w:pgMar w:top="1417" w:right="1417" w:bottom="1417" w:left="1417" w:header="720" w:footer="720" w:gutter="0"/>
          <w:cols w:space="720"/>
        </w:sectPr>
      </w:pPr>
    </w:p>
    <w:p w14:paraId="3830840E" w14:textId="2697B48D" w:rsidR="00220F3F" w:rsidRPr="0007074F" w:rsidRDefault="00220F3F" w:rsidP="000D3688">
      <w:pPr>
        <w:widowControl w:val="0"/>
        <w:spacing w:after="120"/>
        <w:rPr>
          <w:rFonts w:ascii="Calibri" w:eastAsia="Calibri" w:hAnsi="Calibri" w:cs="Calibri"/>
          <w:szCs w:val="20"/>
          <w:lang w:val="sr-Cyrl-CS"/>
        </w:rPr>
      </w:pPr>
      <w:r w:rsidRPr="0007074F">
        <w:rPr>
          <w:rFonts w:ascii="Calibri" w:eastAsia="Calibri" w:hAnsi="Calibri" w:cs="Calibri"/>
          <w:spacing w:val="-2"/>
          <w:szCs w:val="20"/>
          <w:lang w:val="sr-Cyrl-CS"/>
        </w:rPr>
        <w:t xml:space="preserve">На наредном графикону су приказане симулације два алтернативна сценарија кретања јавног дуга, у зависности од промена одређених претпоставки у основном сценарију. У оба случаја </w:t>
      </w:r>
      <w:r w:rsidRPr="0007074F">
        <w:rPr>
          <w:rFonts w:ascii="Calibri" w:eastAsia="Calibri" w:hAnsi="Calibri" w:cs="Calibri"/>
          <w:szCs w:val="20"/>
          <w:lang w:val="sr-Cyrl-CS"/>
        </w:rPr>
        <w:t>законски оквир налаже обавезну реакцију фискалне политике како би се ниво јавно</w:t>
      </w:r>
      <w:r w:rsidR="00074664" w:rsidRPr="0007074F">
        <w:rPr>
          <w:rFonts w:ascii="Calibri" w:eastAsia="Calibri" w:hAnsi="Calibri" w:cs="Calibri"/>
          <w:szCs w:val="20"/>
          <w:lang w:val="sr-Cyrl-CS"/>
        </w:rPr>
        <w:t>г дуг задржао под контролом.</w:t>
      </w:r>
    </w:p>
    <w:p w14:paraId="3846F217" w14:textId="560FAA4D" w:rsidR="00220F3F" w:rsidRPr="0007074F" w:rsidRDefault="00220F3F" w:rsidP="000D3688">
      <w:pPr>
        <w:widowControl w:val="0"/>
        <w:spacing w:after="120"/>
        <w:rPr>
          <w:rFonts w:ascii="Calibri" w:eastAsia="Calibri" w:hAnsi="Calibri" w:cs="Calibri"/>
          <w:szCs w:val="20"/>
          <w:lang w:val="sr-Cyrl-CS"/>
        </w:rPr>
      </w:pPr>
      <w:r w:rsidRPr="0007074F">
        <w:rPr>
          <w:rFonts w:ascii="Calibri" w:eastAsia="Calibri" w:hAnsi="Calibri" w:cs="Calibri"/>
          <w:szCs w:val="20"/>
          <w:lang w:val="sr-Cyrl-CS"/>
        </w:rPr>
        <w:t xml:space="preserve">Сценарио „успорени раст након 2027” подразумева просечан реални раст БДП од око 1% </w:t>
      </w:r>
      <w:r w:rsidRPr="0007074F">
        <w:rPr>
          <w:rFonts w:ascii="Calibri" w:eastAsia="Calibri" w:hAnsi="Calibri" w:cs="Calibri"/>
          <w:szCs w:val="20"/>
          <w:lang w:val="sr-Cyrl-CS"/>
        </w:rPr>
        <w:t xml:space="preserve">у посматраном периоду, уз исти ниво фискалног дефицита у односу на основни сценарио. Јавни дуг према овом сценарију бележи континуиран умерени раст и на крају 2031. године достиже ниво од 52,8% БДП. Стриктно поштовање фискалних правила обезбеђује да се и поред дужег периода ниских стопа реалног раста не долази до прекомерне акумулације јавног дуга. Међутим </w:t>
      </w:r>
      <w:r w:rsidRPr="0007074F">
        <w:rPr>
          <w:rFonts w:ascii="Calibri" w:eastAsia="Calibri" w:hAnsi="Calibri" w:cs="Calibri"/>
          <w:szCs w:val="20"/>
          <w:lang w:val="sr-Cyrl-CS"/>
        </w:rPr>
        <w:lastRenderedPageBreak/>
        <w:t>ово не подразумева и исти ниво фискалног прилагођавања као у основном сценарију, јер је потребна већа акомодација на расходној страни у ситуацијама када се бележи нижи привредни раст. Извесно је да ће, и поред одржавања фискалног дефицита у задатим оквирима, у једном моменту доћи до пробијања границе дуга од 55% Б</w:t>
      </w:r>
      <w:r w:rsidR="00DE5B51" w:rsidRPr="0007074F">
        <w:rPr>
          <w:rFonts w:ascii="Calibri" w:eastAsia="Calibri" w:hAnsi="Calibri" w:cs="Calibri"/>
          <w:szCs w:val="20"/>
          <w:lang w:val="sr-Cyrl-CS"/>
        </w:rPr>
        <w:t>Д</w:t>
      </w:r>
      <w:r w:rsidRPr="0007074F">
        <w:rPr>
          <w:rFonts w:ascii="Calibri" w:eastAsia="Calibri" w:hAnsi="Calibri" w:cs="Calibri"/>
          <w:szCs w:val="20"/>
          <w:lang w:val="sr-Cyrl-CS"/>
        </w:rPr>
        <w:t>П. То повлачи даљу рестрикцију фискалне политике и додатно смањење дефицита, што чини овај сценарио још неповољнијим у смислу ефеката на привреду и становништво. Иако не подразумева снажан једнократни шок, овај сценарио показује дугорочну неодрживост ниских стопа реалног раста по економски развој земље, упркос томе што се ниво јавног дуга држи под</w:t>
      </w:r>
      <w:r w:rsidR="00074664" w:rsidRPr="0007074F">
        <w:rPr>
          <w:rFonts w:ascii="Calibri" w:eastAsia="Calibri" w:hAnsi="Calibri" w:cs="Calibri"/>
          <w:szCs w:val="20"/>
          <w:lang w:val="sr-Cyrl-CS"/>
        </w:rPr>
        <w:t xml:space="preserve"> контролом.</w:t>
      </w:r>
    </w:p>
    <w:p w14:paraId="14C23081" w14:textId="77777777" w:rsidR="00220F3F" w:rsidRPr="0007074F" w:rsidRDefault="00220F3F" w:rsidP="000D3688">
      <w:pPr>
        <w:spacing w:after="0"/>
        <w:jc w:val="center"/>
        <w:rPr>
          <w:rFonts w:cstheme="minorHAnsi"/>
          <w:b/>
          <w:color w:val="002060"/>
          <w:lang w:val="sr-Cyrl-CS"/>
        </w:rPr>
      </w:pPr>
      <w:r w:rsidRPr="0007074F">
        <w:rPr>
          <w:rFonts w:cstheme="minorHAnsi"/>
          <w:b/>
          <w:color w:val="002060"/>
          <w:lang w:val="sr-Cyrl-CS"/>
        </w:rPr>
        <w:t>Поређење различитих сценарија и утицај на висину јавног дуга, % БДП</w:t>
      </w:r>
    </w:p>
    <w:p w14:paraId="78CB77A9" w14:textId="77777777" w:rsidR="00220F3F" w:rsidRPr="0007074F" w:rsidRDefault="00220F3F" w:rsidP="00220F3F">
      <w:pPr>
        <w:spacing w:after="120" w:line="276" w:lineRule="auto"/>
        <w:rPr>
          <w:lang w:val="sr-Cyrl-CS"/>
        </w:rPr>
      </w:pPr>
      <w:r w:rsidRPr="0007074F">
        <w:rPr>
          <w:noProof/>
        </w:rPr>
        <w:drawing>
          <wp:inline distT="0" distB="0" distL="0" distR="0" wp14:anchorId="2A8473EB" wp14:editId="24281503">
            <wp:extent cx="2743200" cy="2228850"/>
            <wp:effectExtent l="0" t="0" r="0" b="0"/>
            <wp:docPr id="66" name="Chart 66">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p>
    <w:p w14:paraId="00DD8B3F" w14:textId="77777777" w:rsidR="00220F3F" w:rsidRPr="0007074F" w:rsidRDefault="00220F3F" w:rsidP="000D3688">
      <w:pPr>
        <w:spacing w:after="120"/>
        <w:rPr>
          <w:rFonts w:ascii="Calibri" w:eastAsia="Calibri" w:hAnsi="Calibri" w:cs="Calibri"/>
          <w:szCs w:val="20"/>
          <w:lang w:val="sr-Cyrl-CS"/>
        </w:rPr>
      </w:pPr>
      <w:r w:rsidRPr="0007074F">
        <w:rPr>
          <w:rFonts w:ascii="Calibri" w:eastAsia="Calibri" w:hAnsi="Calibri" w:cs="Calibri"/>
          <w:spacing w:val="-4"/>
          <w:szCs w:val="20"/>
          <w:lang w:val="sr-Cyrl-CS"/>
        </w:rPr>
        <w:t>С</w:t>
      </w:r>
      <w:r w:rsidRPr="0007074F">
        <w:rPr>
          <w:rFonts w:ascii="Calibri" w:eastAsia="Calibri" w:hAnsi="Calibri" w:cs="Calibri"/>
          <w:szCs w:val="20"/>
          <w:lang w:val="sr-Cyrl-CS"/>
        </w:rPr>
        <w:t xml:space="preserve">ценарио „фискални шок након 2026. године” подразумева реализацију ванредног догађаја (природна, здравствена, економска и др. ванредна околност) са дуалним дејством и на фискални и реални сектор. Како би се ублажиле последице такве кризе (шока) држава је приморана да реагује већим издвајањима на расходној страни или привременим смањењем пореза, што једнострано погоршава фискалне перформансе. Дејство кризе на реални сектор, у зависности од врсте шока, може да буде веома различито по интензитету, начину и дужини деловања, али извесно има за последицу пад или успорени раст БДП као и негативно дејство на приходну страну буџета. Ови вишеструки </w:t>
      </w:r>
      <w:r w:rsidRPr="0007074F">
        <w:rPr>
          <w:rFonts w:ascii="Calibri" w:eastAsia="Calibri" w:hAnsi="Calibri" w:cs="Calibri"/>
          <w:szCs w:val="20"/>
          <w:lang w:val="sr-Cyrl-CS"/>
        </w:rPr>
        <w:t>негативни фактори доводе до снажне негативне промене фискалне позиције земље у виду повећања фискалног дефицита, и у апсолутном износу и израженог као удео у БДП. У овом случају законске одредбе допуштају привремено одступање од прописаних фискалних правила, али уз обавезу Владе да сачини извештај у коме ће поред осталог објаснити разлоге за ове одступање као и динамику и мере којима ће поново успоставити њихово поштовање.</w:t>
      </w:r>
    </w:p>
    <w:p w14:paraId="4E339B58" w14:textId="022AE2AE" w:rsidR="00220F3F" w:rsidRPr="0007074F" w:rsidRDefault="00220F3F" w:rsidP="000D3688">
      <w:pPr>
        <w:widowControl w:val="0"/>
        <w:spacing w:after="120"/>
        <w:rPr>
          <w:rFonts w:ascii="Calibri" w:eastAsia="Calibri" w:hAnsi="Calibri" w:cs="Calibri"/>
          <w:szCs w:val="20"/>
          <w:lang w:val="sr-Cyrl-CS"/>
        </w:rPr>
      </w:pPr>
      <w:r w:rsidRPr="0007074F">
        <w:rPr>
          <w:rFonts w:ascii="Calibri" w:eastAsia="Calibri" w:hAnsi="Calibri" w:cs="Calibri"/>
          <w:szCs w:val="20"/>
          <w:lang w:val="sr-Cyrl-CS"/>
        </w:rPr>
        <w:t xml:space="preserve">Представљени сценарио, услед ванредних насталих околности, подразумева нагло повећање фискалног дефицита на 8% БДП уз истовремени реални пад БДП од 2%. Као последица тога, учешће јавног дуга се рапидно повећава на ниво од 60,1% БДП. Фискална правила би у том случају налагала да се у наредној години примене мере којим би се фискални дефицит у потпуности елиминисао. Међутим, такво екстремно фискално прилагођавање у једној години произвело би додатне негативне ефекте по становништво, као и даљу детериорацију већ ослабљених економских перформанси привреде. Користећи законску могућност о привременом одступању од фискалних правила, Влада би предвидела постепено прилагођавање у наредне две године. Тако би се у 2028. години, према овом сценарију </w:t>
      </w:r>
      <w:r w:rsidR="00074664" w:rsidRPr="0007074F">
        <w:rPr>
          <w:rFonts w:ascii="Calibri" w:eastAsia="Calibri" w:hAnsi="Calibri" w:cs="Calibri"/>
          <w:szCs w:val="20"/>
          <w:lang w:val="sr-Cyrl-CS"/>
        </w:rPr>
        <w:t>планирао фискални дефицит од 2%</w:t>
      </w:r>
      <w:r w:rsidRPr="0007074F">
        <w:rPr>
          <w:rFonts w:ascii="Calibri" w:eastAsia="Calibri" w:hAnsi="Calibri" w:cs="Calibri"/>
          <w:szCs w:val="20"/>
          <w:lang w:val="sr-Cyrl-CS"/>
        </w:rPr>
        <w:t>, што би уз симулирано одсуство реалног раста БДП у тој години, произвело даље минимално повећање учешћа јавног дуга. Након тога у 2029. години планиран је избалансирани фискални резултат, у складу са фискалним правилима, који доводи до преокретања путање дуга. На крају овог кризног периода, уз очекивани опоравак привредног раста од 3%, у 2030. години, учешће јавног дуга пада испод границе од 60%, чиме се омогућава постепена релаксација фискалне политике.</w:t>
      </w:r>
    </w:p>
    <w:p w14:paraId="2CDB664C" w14:textId="77777777" w:rsidR="00220F3F" w:rsidRPr="0007074F" w:rsidRDefault="00220F3F" w:rsidP="000D3688">
      <w:pPr>
        <w:widowControl w:val="0"/>
        <w:spacing w:after="120"/>
        <w:rPr>
          <w:rFonts w:ascii="Calibri" w:eastAsia="Calibri" w:hAnsi="Calibri" w:cs="Calibri"/>
          <w:szCs w:val="20"/>
          <w:lang w:val="sr-Cyrl-CS"/>
        </w:rPr>
      </w:pPr>
      <w:r w:rsidRPr="0007074F">
        <w:rPr>
          <w:rFonts w:ascii="Calibri" w:eastAsia="Calibri" w:hAnsi="Calibri" w:cs="Calibri"/>
          <w:szCs w:val="20"/>
          <w:lang w:val="sr-Cyrl-CS"/>
        </w:rPr>
        <w:t>Ове симулације поред осталог показују могуће правце деловања фискалне политике у различитим сценаријима. Истовремено оне дају и потврду о томе да је сет усвојених фискалних правила операбилан и спроводљив и да испуњава своју сврху, а то је дугорочна одрживост фискалне позиције земље.</w:t>
      </w:r>
    </w:p>
    <w:p w14:paraId="77F0430E" w14:textId="77777777" w:rsidR="00220F3F" w:rsidRPr="0007074F" w:rsidRDefault="00220F3F" w:rsidP="000D3688">
      <w:pPr>
        <w:spacing w:after="120"/>
        <w:rPr>
          <w:rFonts w:ascii="Calibri" w:eastAsia="Calibri" w:hAnsi="Calibri" w:cs="Calibri"/>
          <w:color w:val="2F5496" w:themeColor="accent1" w:themeShade="BF"/>
          <w:szCs w:val="20"/>
          <w:lang w:val="sr-Cyrl-CS"/>
        </w:rPr>
        <w:sectPr w:rsidR="00220F3F" w:rsidRPr="0007074F" w:rsidSect="000D3688">
          <w:headerReference w:type="even" r:id="rId185"/>
          <w:headerReference w:type="default" r:id="rId186"/>
          <w:footerReference w:type="even" r:id="rId187"/>
          <w:footerReference w:type="default" r:id="rId188"/>
          <w:headerReference w:type="first" r:id="rId189"/>
          <w:type w:val="continuous"/>
          <w:pgSz w:w="12240" w:h="15840" w:code="1"/>
          <w:pgMar w:top="1440" w:right="1440" w:bottom="1440" w:left="1440" w:header="720" w:footer="720" w:gutter="0"/>
          <w:cols w:num="2" w:space="720"/>
          <w:docGrid w:linePitch="360"/>
          <w15:footnoteColumns w:val="1"/>
        </w:sectPr>
      </w:pPr>
    </w:p>
    <w:p w14:paraId="7C425901" w14:textId="77777777" w:rsidR="00220F3F" w:rsidRPr="0007074F" w:rsidRDefault="00220F3F" w:rsidP="00220F3F">
      <w:pPr>
        <w:rPr>
          <w:lang w:val="sr-Cyrl-CS"/>
        </w:rPr>
      </w:pPr>
      <w:r w:rsidRPr="0007074F">
        <w:rPr>
          <w:lang w:val="sr-Cyrl-CS"/>
        </w:rPr>
        <w:br w:type="page"/>
      </w:r>
    </w:p>
    <w:bookmarkEnd w:id="48"/>
    <w:bookmarkEnd w:id="49"/>
    <w:bookmarkEnd w:id="50"/>
    <w:bookmarkEnd w:id="51"/>
    <w:bookmarkEnd w:id="52"/>
    <w:bookmarkEnd w:id="53"/>
    <w:p w14:paraId="76CA1F15" w14:textId="77777777" w:rsidR="0007246A" w:rsidRPr="0007074F" w:rsidRDefault="0007246A" w:rsidP="00C91F83">
      <w:pPr>
        <w:spacing w:after="0"/>
        <w:rPr>
          <w:sz w:val="12"/>
          <w:lang w:val="sr-Cyrl-CS"/>
        </w:rPr>
        <w:sectPr w:rsidR="0007246A" w:rsidRPr="0007074F" w:rsidSect="00E05893">
          <w:headerReference w:type="even" r:id="rId190"/>
          <w:headerReference w:type="default" r:id="rId191"/>
          <w:footerReference w:type="even" r:id="rId192"/>
          <w:footerReference w:type="default" r:id="rId193"/>
          <w:headerReference w:type="first" r:id="rId194"/>
          <w:type w:val="continuous"/>
          <w:pgSz w:w="12240" w:h="15840" w:code="1"/>
          <w:pgMar w:top="1440" w:right="1440" w:bottom="1440" w:left="1440" w:header="720" w:footer="720" w:gutter="0"/>
          <w:cols w:space="720"/>
          <w:titlePg/>
          <w:docGrid w:linePitch="360"/>
        </w:sectPr>
      </w:pPr>
    </w:p>
    <w:p w14:paraId="0FADD4ED" w14:textId="77777777" w:rsidR="00181BDB" w:rsidRPr="0007074F" w:rsidRDefault="00181BDB" w:rsidP="00C91F83">
      <w:pPr>
        <w:pStyle w:val="Heading1"/>
        <w:spacing w:before="0" w:after="240"/>
        <w:jc w:val="center"/>
        <w:rPr>
          <w:rFonts w:asciiTheme="minorHAnsi" w:hAnsiTheme="minorHAnsi" w:cstheme="minorHAnsi"/>
          <w:b/>
          <w:sz w:val="26"/>
          <w:szCs w:val="26"/>
          <w:lang w:val="sr-Cyrl-CS"/>
        </w:rPr>
      </w:pPr>
      <w:bookmarkStart w:id="55" w:name="_Toc135994507"/>
      <w:bookmarkStart w:id="56" w:name="_Toc86923728"/>
      <w:bookmarkStart w:id="57" w:name="_Toc119654150"/>
      <w:r w:rsidRPr="0007074F">
        <w:rPr>
          <w:rFonts w:asciiTheme="minorHAnsi" w:hAnsiTheme="minorHAnsi" w:cstheme="minorHAnsi"/>
          <w:b/>
          <w:sz w:val="26"/>
          <w:szCs w:val="26"/>
          <w:lang w:val="sr-Cyrl-CS"/>
        </w:rPr>
        <w:lastRenderedPageBreak/>
        <w:t>III. СТРАТЕГИЈА УПРАВЉАЊА ЈАВНИМ ДУГОМ ОД 2024. ДО 2026. ГОДИНЕ</w:t>
      </w:r>
      <w:bookmarkEnd w:id="55"/>
    </w:p>
    <w:p w14:paraId="1ACE4637" w14:textId="77777777" w:rsidR="00181BDB" w:rsidRPr="0007074F" w:rsidRDefault="00181BDB" w:rsidP="00C91F83">
      <w:pPr>
        <w:spacing w:after="120" w:line="276" w:lineRule="auto"/>
        <w:jc w:val="center"/>
        <w:rPr>
          <w:rFonts w:ascii="Calibri" w:eastAsia="Calibri" w:hAnsi="Calibri" w:cs="Calibri"/>
          <w:color w:val="2F5496" w:themeColor="accent1" w:themeShade="BF"/>
          <w:szCs w:val="20"/>
          <w:lang w:val="sr-Cyrl-CS"/>
        </w:rPr>
        <w:sectPr w:rsidR="00181BDB" w:rsidRPr="0007074F" w:rsidSect="00C91F83">
          <w:headerReference w:type="even" r:id="rId195"/>
          <w:headerReference w:type="default" r:id="rId196"/>
          <w:footerReference w:type="even" r:id="rId197"/>
          <w:footerReference w:type="default" r:id="rId198"/>
          <w:headerReference w:type="first" r:id="rId199"/>
          <w:type w:val="continuous"/>
          <w:pgSz w:w="12240" w:h="15840" w:code="1"/>
          <w:pgMar w:top="1440" w:right="1440" w:bottom="1440" w:left="1440" w:header="720" w:footer="720" w:gutter="0"/>
          <w:cols w:space="720"/>
          <w:docGrid w:linePitch="360"/>
        </w:sectPr>
      </w:pPr>
    </w:p>
    <w:p w14:paraId="766875B5"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Према Закону о јавном дугу, као правном основу задуживања Републике Србије, јавни дуг чине све директне обавезе Републике по основу задуживања, као и гаранције издате од Републике за задуживање јавних предузећа и јединица локалне самоуправе, као и других правних лица. </w:t>
      </w:r>
      <w:r w:rsidRPr="0007074F">
        <w:rPr>
          <w:rFonts w:ascii="Calibri" w:eastAsia="Calibri" w:hAnsi="Calibri" w:cs="Calibri"/>
          <w:bCs/>
          <w:spacing w:val="-2"/>
          <w:szCs w:val="72"/>
          <w:lang w:val="sr-Cyrl-CS"/>
        </w:rPr>
        <w:t>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w:t>
      </w:r>
      <w:r w:rsidRPr="0007074F">
        <w:rPr>
          <w:rFonts w:ascii="Calibri" w:eastAsia="Calibri" w:hAnsi="Calibri" w:cs="Calibri"/>
          <w:bCs/>
          <w:szCs w:val="72"/>
          <w:lang w:val="sr-Cyrl-CS"/>
        </w:rPr>
        <w:t xml:space="preserve"> Одредбама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w:t>
      </w:r>
    </w:p>
    <w:p w14:paraId="207896C5"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За формулисање Стратегије за управљање јавним дугом коришћен је квантитативни приступ, идентификујући могућа ограничења кроз макро-економске показатеље, анализу трошкова и ризика и тржишних услова који утичу на управљање јавним дугом. У сврху анализе коришћени су инструменти финансирања доступни на домаћем и међународном финансијском тржишту.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4D3CBA57"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Ситуација на међународном и домаћем финансијском тржишту, успешна примена мера фискалне консолидације уз добру координацију фискалне и монетарне политике довела је до значајног пада трошкова задуживања на динарским и евро деноминованим хартијама од вредности у периоду од 2012. до 2021. године и смањивања ризико премије за српске државне хартије од вредности. Међутим, почетком 2022. године долази до значајног раста каматних стопа изазваног екстерним утицајем, који је настављен и у 2023. години.</w:t>
      </w:r>
    </w:p>
    <w:p w14:paraId="2DC56CFB"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Фискална стратегија предвиђа смањење јавног дуга сектора државе до краја 2026. године на ниво </w:t>
      </w:r>
      <w:r w:rsidRPr="0007074F">
        <w:rPr>
          <w:rFonts w:ascii="Calibri" w:eastAsia="Calibri" w:hAnsi="Calibri" w:cs="Calibri"/>
          <w:bCs/>
          <w:szCs w:val="72"/>
          <w:lang w:val="sr-Cyrl-CS"/>
        </w:rPr>
        <w:t>од 51,9% БДП, при чему се у складу са смерницама управљања јавним дугом дефинисаним од стране Светске банке и ММФ, у оквиру Стратегије управљања јавним дугом врши стрес-сценарио анализа утицаја промене девизног курса домаће валуте у односу на валуте у којима је деноминован јавни дуг Републике Србије.</w:t>
      </w:r>
    </w:p>
    <w:p w14:paraId="09F296B4"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У последњих десет година учињен је значајан напредак у погледу повећања просечне рочности динарских државних хартија од вредности и смањења трошкова финансирања по основу овог вида задуживања, чиме је смањена изложеност ризику рефинансирања. Битно је напоменути да је у наведеном периоду просечна пондерисана купонска стопа на динарске државне хартије од вредности смањена са 13,68%, колико је износила на крају 2012. године, на 4,31% на крају марта 2023. године.</w:t>
      </w:r>
    </w:p>
    <w:p w14:paraId="3A8C2FBD"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Стратегијом управљања јавним дугом се дефинишу основне мере за даљи наставак развоја динарског тржишта државних хартија од вредности. Развојем овог тржишта очекује се да ће доћи до даљег раста унутрашњег дуга и повећања његовог учешћа у укупном дугу, као и смањења изложености јавног дуга према девизном ризику, што ће позитивно утицати на повећање кредитног рејтинга Републике Србије.</w:t>
      </w:r>
    </w:p>
    <w:p w14:paraId="2F102FEA"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Након успешно спроведених мера фискалне консолидације у 2016. години је преокренута растућа путања кретања јавног дуга и учешће јавног дуга у БДП, те долази до пада учешћа са 70,0% БДП колико је износило на централном нивоу власти на крају 2015. године на 67,7% на крају 2016. године. Током 2017. године дошло је до још значајнијег пада на 57,8% БДП. Тренд је настављен и током 2018. године када удео јавног дуга у БДП пада на 53,6%, као на крају 2019. године када је учешће јавног дуга у БДП смањено на ниво од 51,9% БДП. Како би се смањио утицај кризе изазване пандемијом вируса COVID-19, јавила се потреба за финансирањем мера подршке привреди и грађанима, што је резултирало растом учешћа дуга у БДП на 57,0% на крају 2020. године. Током 2021. године долази до благог пада наведеног показатеља, тако да је учешће јавног </w:t>
      </w:r>
      <w:r w:rsidRPr="0007074F">
        <w:rPr>
          <w:rFonts w:ascii="Calibri" w:eastAsia="Calibri" w:hAnsi="Calibri" w:cs="Calibri"/>
          <w:bCs/>
          <w:szCs w:val="72"/>
          <w:lang w:val="sr-Cyrl-CS"/>
        </w:rPr>
        <w:lastRenderedPageBreak/>
        <w:t>дуга у БДП на крају 2021. године износило 56,5%. Пад би био још интензивнији да током 2021. године нису обезбеђена значајна средства за финансирање дуга који је доспевао почетком 2022. године. Из тог разлога је дошло до нешто израженијег пада учешћа дуга централног нивоа власти у БДП на крају 2022. године на 55,1%, док је на крају марта 2023. године износило 51,0%.</w:t>
      </w:r>
    </w:p>
    <w:p w14:paraId="1B0AFE13"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Услед појачане контроле издавања гаранција у последњих десет година гарантовани јавни дуг је скоро преполовљен и бележи пад са 2,8 милијарде EUR колико је износио на крају 2013. године на 1,6 милијарди EUR на крају марта 2023. године.</w:t>
      </w:r>
    </w:p>
    <w:p w14:paraId="0FC1DF1F"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Позитивни фискални резултати које остварује Република Србија потврђени су и преко кретања кредитног рејтинга Србије последњих неколико година. Рејтинг агенције Fitch Ratings и Standard and Poor’s у 2019. години повећале су рејтинг Србије на ББ+ са ББ, док је рејтинг агенција Moody’s поправила изглед за повећање кредитног рејтинга Републике Србије са стабилног на позитивни. Рејтинг агенција Moody’s је у марту 2021. године повећала кредитни рејтинг Републике Србије на Ба2 са Ба3 као резултат веома успешног одговора на кризу изазвану пандемијом вируса COVID-19 и очувања макроекономске стабилности током јако тешке и изазовне 2020. године. Рејтинг агенција Standard and Poor’s је у извештају који је објављен 10. априла 2023. године потврдила оцену кредитног рејтинга Републике Србије на нивоу ББ+, уз стабилне изгледе за његово даље повећање. Fitch Ratings је у најновијем извештају од 17. фебруара 2023. године потврдио кредитни рејтинг Републике Србије на нивоу ББ+, уз стабилне изгледе за његово даље повећање.</w:t>
      </w:r>
    </w:p>
    <w:p w14:paraId="1B994EED"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Република Србија је током 2020. године у два наврата емитовала еврообвезнице како би финансирала пакет мера помоћи привреди и грађанима у циљу минимизирања утицаја кризе изазване пандемијом вируса COVID-19 и превремено отплатиле раније емитоване скупе еврообвезнице. Прва емисија еврообвезница је била 15. маја 2020. године, у еврима, у најделикатнијем тренутку у првом таласу пандемије, у укупном износу од 2,0 милијарде </w:t>
      </w:r>
      <w:r w:rsidRPr="0007074F">
        <w:rPr>
          <w:rFonts w:ascii="Calibri" w:eastAsia="Calibri" w:hAnsi="Calibri" w:cs="Calibri"/>
          <w:bCs/>
          <w:szCs w:val="72"/>
          <w:lang w:val="sr-Cyrl-CS"/>
        </w:rPr>
        <w:t>EUR. Купонска стопа је износила 3,125%, доспева 2027. године и листирана је на Лондонској берзи, једном од највећих и најрепрезентативнијих тржишта на свету. Друга емисија еврообвезница је била 1. децембра 2020. године, у укупном износу од 1,2 милијарде америчких долара са доспећем 2030. године. Купонска стопа је износила 2,125%, а финална каматна стопа у еврима, након реализације хеџинг трансакције 1,066%. Повратак на доларско тржиште хартија и нова емисија деноминована у доларима, омогућиле су Србији да остане присутна у индексу обвезница тржишта у развоју – EMBI Index, чиме је осигурана њена видљивост на америчком тржишту капитала, као и на широј међународној инвестиционој мапи. Средствима емисије еврообвезница из децембра 2020. године извршeна je превремена отплата 900 милиона долара еврообвезница емитованих 2011. године, од укупно 1,6 милијарде долара колико је доспевало у септембру 2021. године. Превремено су откупљене обвезнице које су биле емитоване по купонској стопи од чак 7,25%.</w:t>
      </w:r>
    </w:p>
    <w:p w14:paraId="6375A972" w14:textId="77777777" w:rsidR="00181BDB" w:rsidRPr="0007074F" w:rsidRDefault="00181BDB" w:rsidP="00C91F83">
      <w:pPr>
        <w:rPr>
          <w:lang w:val="sr-Cyrl-CS"/>
        </w:rPr>
      </w:pPr>
      <w:r w:rsidRPr="0007074F">
        <w:rPr>
          <w:rFonts w:ascii="Calibri" w:eastAsia="Calibri" w:hAnsi="Calibri" w:cs="Calibri"/>
          <w:bCs/>
          <w:spacing w:val="-2"/>
          <w:szCs w:val="72"/>
          <w:lang w:val="sr-Cyrl-CS"/>
        </w:rPr>
        <w:t xml:space="preserve">Како би снизила трошкове финансирања и продужила рочност дуга Република Србија је 3. марта 2021. године успешно искористила још увек повољне услове на међународном финансијском тржишту и по први пут емитовала дванаестогодишње еврообвезнице деноминоване у еврима у износу од једне милијарде евра </w:t>
      </w:r>
      <w:r w:rsidRPr="0007074F">
        <w:rPr>
          <w:rFonts w:ascii="Calibri" w:eastAsia="Calibri" w:hAnsi="Calibri" w:cs="Times New Roman"/>
          <w:spacing w:val="-2"/>
          <w:lang w:val="sr-Cyrl-CS"/>
        </w:rPr>
        <w:t xml:space="preserve">по купонској стопи од 1,65%. Република </w:t>
      </w:r>
      <w:r w:rsidRPr="0007074F">
        <w:rPr>
          <w:rFonts w:ascii="Calibri" w:hAnsi="Calibri"/>
          <w:spacing w:val="-2"/>
          <w:lang w:val="sr-Cyrl-CS"/>
        </w:rPr>
        <w:t xml:space="preserve">Србија је </w:t>
      </w:r>
      <w:r w:rsidRPr="0007074F">
        <w:rPr>
          <w:rFonts w:ascii="Calibri" w:eastAsia="Calibri" w:hAnsi="Calibri" w:cs="Times New Roman"/>
          <w:spacing w:val="-2"/>
          <w:lang w:val="sr-Cyrl-CS"/>
        </w:rPr>
        <w:t xml:space="preserve">23. септембра 2021. године </w:t>
      </w:r>
      <w:r w:rsidRPr="0007074F">
        <w:rPr>
          <w:rFonts w:ascii="Calibri" w:hAnsi="Calibri"/>
          <w:spacing w:val="-2"/>
          <w:lang w:val="sr-Cyrl-CS"/>
        </w:rPr>
        <w:t>поново померила границе у избору финансирања својих инвестиција изласком на међународно тржиште зелених обвезница. Зелена</w:t>
      </w:r>
      <w:r w:rsidRPr="0007074F">
        <w:rPr>
          <w:lang w:val="sr-Cyrl-CS"/>
        </w:rPr>
        <w:t xml:space="preserve"> еврообвезница емитована је у износу од 1,0 милијарде евра са роком доспећа од седам година и купонском стопом од 1,00%, најнижом до сада постигнутом на међународном тржишту. Република Србија се сврстала у ред ретких европских земаља које су на међународном финансијском тржишту емитовале зелене еврообвезнице намењене искључиво за финансирање еколошки прихватљивих пројеката. Истовремено, са емисијом зелене еврообвезнице, емитована је и петнаестогодишња еврообвезница најдуже рочности до сада у износу од 750 милиона евра, са годишњом купонском стопом од 2,05%, чијом емисијом је додатно повећана рочност јавног дуга.</w:t>
      </w:r>
    </w:p>
    <w:p w14:paraId="33F261F7" w14:textId="77777777" w:rsidR="00181BDB" w:rsidRPr="0007074F" w:rsidRDefault="00181BDB" w:rsidP="00C91F83">
      <w:pPr>
        <w:rPr>
          <w:lang w:val="sr-Cyrl-CS"/>
        </w:rPr>
      </w:pPr>
      <w:r w:rsidRPr="0007074F">
        <w:rPr>
          <w:lang w:val="sr-Cyrl-CS"/>
        </w:rPr>
        <w:lastRenderedPageBreak/>
        <w:t>У јануару 2023. године су издате еврообвезнице рочности пет и десет година у укупном износу од 1,75 милијарди долара (750 милиона долара на пет година и 1 милијарда долара на десет година). Еврообвезница рочности пет година емитована је уз купонску стопу од 6,25%, док је еврообвезница рочности десет година емитована уз купонску стопу од 6,50%. У циљу ефикасног управљања јавним дугом истовремено су закључене и хеџинг трансакције, тј. обавезе по основу емисије доларских еврообвезница одмах су конвертоване у обавезе у еврима.</w:t>
      </w:r>
    </w:p>
    <w:p w14:paraId="74A51B9E"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Водећи се најбољом међународном праксом активног управљања јавним дугом, Република Србија је у децембру 2020. године по први пут реализовала хеџинг трансакцију, тј. коришћење финансијских деривата у сврси заштите од девизног и каматног ризика, у складу са међународним ISDA стандардима (</w:t>
      </w:r>
      <w:r w:rsidRPr="0007074F">
        <w:rPr>
          <w:rFonts w:ascii="Calibri" w:eastAsia="Calibri" w:hAnsi="Calibri" w:cs="Calibri"/>
          <w:bCs/>
          <w:i/>
          <w:szCs w:val="72"/>
          <w:lang w:val="sr-Cyrl-CS"/>
        </w:rPr>
        <w:t>International Swaps and Derivatives Association</w:t>
      </w:r>
      <w:r w:rsidRPr="0007074F">
        <w:rPr>
          <w:rFonts w:ascii="Calibri" w:eastAsia="Calibri" w:hAnsi="Calibri" w:cs="Calibri"/>
          <w:bCs/>
          <w:szCs w:val="72"/>
          <w:lang w:val="sr-Cyrl-CS"/>
        </w:rPr>
        <w:t xml:space="preserve">), односно унакрсна валутна своп трансакција којом су обавезе по основу емитоване обвезнице конвертоване из америчких долара у евре по значајно нижој финалној каматној стопи. Своје обавезе по основу емисије деноминоване у доларима, у износу од 1,2 милијарди USD, Република Србија ће исплаћивати у еврима по купонској стопи од 1,066% на номиналну вредност емисије након конверзије од 1,016 милијарди евра. Искоришћен је повољан однос курса евра и америчког долара у датом тренутку, као и дивергенције између доларских и еварских каматних стопа на међународном тржишту капитала и постигнута је најповољнија цена задуживања, уз оптимизацију валутне структуре јавног дуга, а све у циљу заштите од ризика промене девизног курса. Током јануара 2021. године реализована је друга своп трансакција, којом је обавеза по основу Споразума о репрограму дуга између Републике Србије и Kuwait Investment Authority конвертована из америчких долара у евре, по значајно нижој каматној стопи. Обавезе по основу наведеног репрограмираног зајма, уговорене у доларима по каматној стопи од 1,5%, Република Србија ће исплаћивати у еврима по каматној стопи од 0,393%. У марту 2021. године је закључена нова своп трансакција којом је кредит код Export - </w:t>
      </w:r>
      <w:r w:rsidRPr="0007074F">
        <w:rPr>
          <w:rFonts w:ascii="Calibri" w:eastAsia="Calibri" w:hAnsi="Calibri" w:cs="Calibri"/>
          <w:bCs/>
          <w:szCs w:val="72"/>
          <w:lang w:val="sr-Cyrl-CS"/>
        </w:rPr>
        <w:t xml:space="preserve">Import Bank of China за пројекат изградње обилазнице око Београда на аутопуту Е70/Е75, који је 2018. године иницијално уговорен у кинеским јуанима конвертован у евре са негативном каматном стопом. Наведени зајам, на који је плаћана фиксна каматна стопа од 2,50% годишње у кинеским јуанима, конвертован је у евре по фиксној негативној каматној стопи од </w:t>
      </w:r>
      <w:r w:rsidRPr="0007074F">
        <w:rPr>
          <w:rFonts w:ascii="Calibri" w:eastAsia="Calibri" w:hAnsi="Calibri" w:cs="Calibri"/>
          <w:bCs/>
          <w:szCs w:val="72"/>
          <w:lang w:val="sr-Cyrl-CS"/>
        </w:rPr>
        <w:br w:type="textWrapping" w:clear="all"/>
        <w:t xml:space="preserve">-0,07%. Како је уговорена негативна каматна стопа, Република Србија неће имати никакве трошкове по основу камата у првих пет година своп аранжмана, који важи до 2030. године, већ ће остваривати додатна примања од банака са којима је трансакција закључена. </w:t>
      </w:r>
      <w:r w:rsidRPr="0007074F">
        <w:rPr>
          <w:lang w:val="sr-Cyrl-CS"/>
        </w:rPr>
        <w:t xml:space="preserve">Реализована је, </w:t>
      </w:r>
      <w:r w:rsidRPr="0007074F">
        <w:rPr>
          <w:rFonts w:ascii="Calibri" w:eastAsia="Calibri" w:hAnsi="Calibri" w:cs="Calibri"/>
          <w:bCs/>
          <w:szCs w:val="72"/>
          <w:lang w:val="sr-Cyrl-CS"/>
        </w:rPr>
        <w:t xml:space="preserve">24. новембра 2021. године, </w:t>
      </w:r>
      <w:r w:rsidRPr="0007074F">
        <w:rPr>
          <w:lang w:val="sr-Cyrl-CS"/>
        </w:rPr>
        <w:t>још једна, четврта по реду, своп трансакција којом су обавезе по основу зајма узетог од Фонда за развој Абу Дабија, 2016. године, иницијално уговорене у дирхамима, са плаћањем у америчким доларима, конвертоване у евре. Дуг и обавезе по основу наведеног зајма на који је плаћана фиксна каматна стопа од 2,25% годишње, замењени су у евре по годишњој каматној стопи од 0,96%. У 2023. години су одмах након емитовања еврообвезница закључене хеџинг трансакције, тј. обавезе по основу емисије доларских еврообвезница су конвертоване у обавезе у еврима, тако да након извршеног cross currency swap-а, варијабилна каматна стопа за петогодишњу обвезницу износи шестомесечни еuribor + 2,908%, а за десетогодишњу обвезницу шестомесечни еuribor + 3,073%.</w:t>
      </w:r>
    </w:p>
    <w:p w14:paraId="7D2162E6"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Током 2020. године настављено је са емитовањем „бенчмарк</w:t>
      </w:r>
      <w:r w:rsidRPr="0007074F">
        <w:rPr>
          <w:rFonts w:eastAsia="MS PGothic" w:cstheme="minorHAnsi"/>
          <w:szCs w:val="20"/>
          <w:lang w:val="sr-Cyrl-CS" w:eastAsia="ja-JP"/>
        </w:rPr>
        <w:t>”</w:t>
      </w:r>
      <w:r w:rsidRPr="0007074F">
        <w:rPr>
          <w:rFonts w:ascii="Calibri" w:eastAsia="Calibri" w:hAnsi="Calibri" w:cs="Calibri"/>
          <w:bCs/>
          <w:szCs w:val="72"/>
          <w:lang w:val="sr-Cyrl-CS"/>
        </w:rPr>
        <w:t xml:space="preserve"> обвезница на домаћем тржишту. Емитоване су обвезнице рочности 5,5 и 12,5 година у RSD номиналнe вредности од по 100 милијарди динара, чији обими су повећани на по 150 милијарди током 2021. године. 30. јуна 2021. године динарске бенчмарк обвезнице Републике Србије рочности 7, 10 и 12,5 година укључене су у J.P. Morgan GBI-EM Index. Укључивањем у наведени индекс начињен је значајан напредак у јачању ликвидности секундарног тржишта државних обвезница и обезбеђен долазак нових међународних страних инвестиционих фондова, што ће резултирати већом конкуренцијом и даљим падом трошкова задуживања. У октобру 2021. године, Clearstream, међународни централни регистар хартија од вредности, који </w:t>
      </w:r>
      <w:r w:rsidRPr="0007074F">
        <w:rPr>
          <w:rFonts w:ascii="Calibri" w:eastAsia="Calibri" w:hAnsi="Calibri" w:cs="Calibri"/>
          <w:bCs/>
          <w:szCs w:val="72"/>
          <w:lang w:val="sr-Cyrl-CS"/>
        </w:rPr>
        <w:lastRenderedPageBreak/>
        <w:t>обавља послове клиринга и салдирања (ICSD), отворио је рачун хартија од вредности у домаћем регистру и путем посредника – овлашћеног учесника на локалном тржишту,</w:t>
      </w:r>
      <w:r w:rsidRPr="0007074F">
        <w:rPr>
          <w:lang w:val="sr-Cyrl-CS"/>
        </w:rPr>
        <w:t xml:space="preserve"> </w:t>
      </w:r>
      <w:r w:rsidRPr="0007074F">
        <w:rPr>
          <w:rFonts w:ascii="Calibri" w:eastAsia="Calibri" w:hAnsi="Calibri" w:cs="Calibri"/>
          <w:bCs/>
          <w:szCs w:val="72"/>
          <w:lang w:val="sr-Cyrl-CS"/>
        </w:rPr>
        <w:t>омогућио страним инвеститорима салдирање српских обвезница у динарима (РСД).</w:t>
      </w:r>
    </w:p>
    <w:p w14:paraId="04DBFDFB"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Валутни ризик је смањен током претходних година, иако у је током последње две године дошло до извесног погоршања овог показатеља услед специфичних околности на тржишту, те неопходности интензивнијег коришћења међународног финансијског тржишта, како би се минимизирали трошкови задуживања. Удео јавног дуга у домаћој валути у укупном јавном дугу централног нивоа власти је на крају 2008. године износио само 2,6%, а до краја 2020. године је порастао на 30,5%, али је након тога услед задуживања у већој мери на иностраном тржишту због повољнијих услова, дошло до пада учешћа на 22,9% на крају марта 2023. године. Расту динарског дуга претходних година су пре свега допринеле емисије динарских државних хартија од вредности на домаћем тржишту хартија од вредности. Током 2019. и 2020. године је извршен превремени откуп скупих еврообвезница емитованих у 2011. и 2013. години у америчким доларима, а током фебруара 2020. године редовна отплата доларске обвезнице емитоване у 2013. години. У децембру 2020. године је </w:t>
      </w:r>
      <w:r w:rsidRPr="0007074F">
        <w:rPr>
          <w:rFonts w:ascii="Calibri" w:eastAsia="Calibri" w:hAnsi="Calibri" w:cs="Calibri"/>
          <w:bCs/>
          <w:szCs w:val="72"/>
          <w:lang w:val="sr-Cyrl-CS"/>
        </w:rPr>
        <w:t>закључена и прва хеџинг трансакција којом је емитована еврообвезница у америчким доларима, одмах конвертована у евре. У јануару 2021. године је закључена још једна хеџинг трансакција којом су обавезе у америчким доларима конвертоване у евре. У јануару 2023. године су закључене нове хеџинг трансакције којим су емитоване еврообвезнице у америчким доларима, одмах конвертована у евре. Захваљујући свим овим трансакцијама, дошло је до пада његовог учешћа у укупном јавном дугу са 33,9% колико је износило на крају 2016. године на 13,3% на крају марта 2023. године.</w:t>
      </w:r>
    </w:p>
    <w:p w14:paraId="06AB335F"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Трошкови задуживања су такође значајно снижени током претходних година. Учешће трошкова камата у БДП је пало са 2,9% (централни ниво власти) колико је износило 2015. године на 1,5% у 2022. години.</w:t>
      </w:r>
    </w:p>
    <w:p w14:paraId="70DE64ED" w14:textId="77777777" w:rsidR="00181BDB" w:rsidRPr="0007074F" w:rsidRDefault="00181BDB" w:rsidP="00523B7B">
      <w:pPr>
        <w:spacing w:after="240"/>
        <w:rPr>
          <w:rFonts w:ascii="Calibri" w:eastAsia="Calibri" w:hAnsi="Calibri" w:cs="Calibri"/>
          <w:bCs/>
          <w:szCs w:val="72"/>
          <w:lang w:val="sr-Cyrl-CS"/>
        </w:rPr>
      </w:pPr>
      <w:r w:rsidRPr="0007074F">
        <w:rPr>
          <w:rFonts w:ascii="Calibri" w:eastAsia="Calibri" w:hAnsi="Calibri" w:cs="Calibri"/>
          <w:bCs/>
          <w:szCs w:val="72"/>
          <w:lang w:val="sr-Cyrl-CS"/>
        </w:rPr>
        <w:t>На крају марта 2023. године укупно стање јавног дуга сектора државе износило је 4.169,5 млрд динара, односно 51,5% БДП. Од тога се на директне обавезе односило 3.943,1 млрд динара, на индиректне обавезе 191,7 млрд динара, док се 30,9 млрд динара односи на негарантовани дуг јединица локалне самоуправе и 3,8 млрд динара на негарантовани дуг ЈП „Путеви Србије” и предузећа „Коридори Србије” д.о.о.</w:t>
      </w:r>
    </w:p>
    <w:p w14:paraId="1ED2D8C0" w14:textId="77777777" w:rsidR="00181BDB" w:rsidRPr="0007074F" w:rsidRDefault="00181BDB" w:rsidP="00523B7B">
      <w:pPr>
        <w:spacing w:after="240" w:line="254" w:lineRule="auto"/>
        <w:rPr>
          <w:rFonts w:ascii="Calibri" w:eastAsia="Calibri" w:hAnsi="Calibri" w:cs="Calibri"/>
          <w:bCs/>
          <w:szCs w:val="72"/>
          <w:lang w:val="sr-Cyrl-CS"/>
        </w:rPr>
        <w:sectPr w:rsidR="00181BDB" w:rsidRPr="0007074F" w:rsidSect="00C91F83">
          <w:type w:val="continuous"/>
          <w:pgSz w:w="12240" w:h="15840"/>
          <w:pgMar w:top="1440" w:right="1440" w:bottom="1440" w:left="1440" w:header="720" w:footer="720" w:gutter="0"/>
          <w:cols w:num="2" w:space="720"/>
        </w:sectPr>
      </w:pPr>
    </w:p>
    <w:p w14:paraId="19D212F2" w14:textId="77777777" w:rsidR="00181BDB" w:rsidRPr="0007074F" w:rsidRDefault="00181BDB" w:rsidP="00523B7B">
      <w:pPr>
        <w:rPr>
          <w:lang w:val="sr-Cyrl-CS"/>
        </w:rPr>
      </w:pPr>
    </w:p>
    <w:p w14:paraId="2B2D958C" w14:textId="77777777" w:rsidR="00181BDB" w:rsidRPr="0007074F" w:rsidRDefault="00181BDB" w:rsidP="00C91F83">
      <w:pPr>
        <w:spacing w:after="0" w:line="257"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Учешће јавног дуга сектора државе у БДП,%</w:t>
      </w:r>
    </w:p>
    <w:p w14:paraId="0ECEE837" w14:textId="77777777" w:rsidR="00181BDB" w:rsidRPr="0007074F" w:rsidRDefault="00181BDB" w:rsidP="00C91F83">
      <w:pPr>
        <w:spacing w:line="256" w:lineRule="auto"/>
        <w:jc w:val="center"/>
        <w:rPr>
          <w:lang w:val="sr-Cyrl-CS"/>
        </w:rPr>
      </w:pPr>
      <w:r w:rsidRPr="0007074F">
        <w:rPr>
          <w:rFonts w:ascii="Calibri" w:eastAsia="Calibri" w:hAnsi="Calibri" w:cs="Times New Roman"/>
          <w:noProof/>
        </w:rPr>
        <w:drawing>
          <wp:inline distT="0" distB="0" distL="0" distR="0" wp14:anchorId="322AE93A" wp14:editId="334222CC">
            <wp:extent cx="3667125" cy="2181225"/>
            <wp:effectExtent l="0" t="0" r="0" b="0"/>
            <wp:docPr id="44"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0"/>
              </a:graphicData>
            </a:graphic>
          </wp:inline>
        </w:drawing>
      </w:r>
    </w:p>
    <w:p w14:paraId="30E5AC96" w14:textId="77777777" w:rsidR="00181BDB" w:rsidRPr="0007074F" w:rsidRDefault="00181BDB">
      <w:pPr>
        <w:jc w:val="left"/>
        <w:rPr>
          <w:rFonts w:ascii="Calibri" w:eastAsia="Calibri" w:hAnsi="Calibri" w:cs="Times New Roman"/>
          <w:b/>
          <w:color w:val="002060"/>
          <w:lang w:val="sr-Cyrl-CS"/>
        </w:rPr>
      </w:pPr>
      <w:r w:rsidRPr="0007074F">
        <w:rPr>
          <w:rFonts w:ascii="Calibri" w:eastAsia="Calibri" w:hAnsi="Calibri" w:cs="Times New Roman"/>
          <w:b/>
          <w:color w:val="002060"/>
          <w:lang w:val="sr-Cyrl-CS"/>
        </w:rPr>
        <w:br w:type="page"/>
      </w:r>
    </w:p>
    <w:p w14:paraId="32AF3CFB" w14:textId="31C10721" w:rsidR="00181BDB" w:rsidRPr="0007074F" w:rsidRDefault="00181BDB" w:rsidP="00C91F83">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lastRenderedPageBreak/>
        <w:t xml:space="preserve">Табела 21. </w:t>
      </w:r>
      <w:r w:rsidRPr="0007074F">
        <w:rPr>
          <w:rFonts w:ascii="Calibri" w:eastAsia="Calibri" w:hAnsi="Calibri" w:cs="Times New Roman"/>
          <w:b/>
          <w:bCs/>
          <w:color w:val="002060"/>
          <w:lang w:val="sr-Cyrl-CS"/>
        </w:rPr>
        <w:t xml:space="preserve">Јавни дуг сектора државе Републике Србије у периоду </w:t>
      </w:r>
      <w:r w:rsidRPr="0007074F">
        <w:rPr>
          <w:rFonts w:ascii="Calibri" w:eastAsia="Calibri" w:hAnsi="Calibri" w:cs="Times New Roman"/>
          <w:b/>
          <w:bCs/>
          <w:color w:val="002060"/>
          <w:lang w:val="sr-Cyrl-CS"/>
        </w:rPr>
        <w:br w:type="textWrapping" w:clear="all"/>
        <w:t>крај 2020</w:t>
      </w:r>
      <w:r w:rsidR="00F74220" w:rsidRPr="0007074F">
        <w:rPr>
          <w:rFonts w:ascii="Calibri" w:eastAsia="Calibri" w:hAnsi="Calibri" w:cs="Times New Roman"/>
          <w:b/>
          <w:bCs/>
          <w:color w:val="002060"/>
          <w:lang w:val="sr-Cyrl-CS"/>
        </w:rPr>
        <w:t xml:space="preserve"> </w:t>
      </w:r>
      <w:r w:rsidRPr="0007074F">
        <w:rPr>
          <w:rFonts w:ascii="Calibri" w:eastAsia="Calibri" w:hAnsi="Calibri" w:cs="Times New Roman"/>
          <w:b/>
          <w:bCs/>
          <w:color w:val="002060"/>
          <w:lang w:val="sr-Cyrl-CS"/>
        </w:rPr>
        <w:t>–31.март 2023. године</w:t>
      </w:r>
    </w:p>
    <w:tbl>
      <w:tblPr>
        <w:tblStyle w:val="LightShading-Accent12121"/>
        <w:tblW w:w="5000" w:type="pct"/>
        <w:tblInd w:w="0" w:type="dxa"/>
        <w:tblLook w:val="04A0" w:firstRow="1" w:lastRow="0" w:firstColumn="1" w:lastColumn="0" w:noHBand="0" w:noVBand="1"/>
      </w:tblPr>
      <w:tblGrid>
        <w:gridCol w:w="4046"/>
        <w:gridCol w:w="1328"/>
        <w:gridCol w:w="1330"/>
        <w:gridCol w:w="1327"/>
        <w:gridCol w:w="1329"/>
      </w:tblGrid>
      <w:tr w:rsidR="00181BDB" w:rsidRPr="0007074F" w14:paraId="2C36FBEF" w14:textId="77777777" w:rsidTr="00482D55">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002060"/>
              <w:bottom w:val="single" w:sz="4" w:space="0" w:color="FFFFFF" w:themeColor="background1"/>
            </w:tcBorders>
            <w:noWrap/>
            <w:hideMark/>
          </w:tcPr>
          <w:p w14:paraId="07C3291A" w14:textId="77777777" w:rsidR="00181BDB" w:rsidRPr="0007074F" w:rsidRDefault="00181BDB" w:rsidP="00523B7B">
            <w:pPr>
              <w:jc w:val="center"/>
              <w:rPr>
                <w:rFonts w:ascii="Calibri" w:hAnsi="Calibri" w:cs="Calibri"/>
                <w:color w:val="002060"/>
                <w:sz w:val="18"/>
                <w:szCs w:val="18"/>
                <w:lang w:val="sr-Cyrl-CS"/>
              </w:rPr>
            </w:pPr>
            <w:r w:rsidRPr="0007074F">
              <w:rPr>
                <w:rFonts w:ascii="Calibri" w:hAnsi="Calibri" w:cs="Calibri"/>
                <w:color w:val="002060"/>
                <w:sz w:val="18"/>
                <w:szCs w:val="18"/>
                <w:lang w:val="sr-Cyrl-CS"/>
              </w:rPr>
              <w:t> </w:t>
            </w:r>
          </w:p>
        </w:tc>
        <w:tc>
          <w:tcPr>
            <w:tcW w:w="709" w:type="pct"/>
            <w:tcBorders>
              <w:top w:val="single" w:sz="4" w:space="0" w:color="002060"/>
              <w:bottom w:val="single" w:sz="4" w:space="0" w:color="002060"/>
            </w:tcBorders>
            <w:vAlign w:val="center"/>
            <w:hideMark/>
          </w:tcPr>
          <w:p w14:paraId="650C7B99"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2020</w:t>
            </w:r>
          </w:p>
        </w:tc>
        <w:tc>
          <w:tcPr>
            <w:tcW w:w="710" w:type="pct"/>
            <w:tcBorders>
              <w:top w:val="single" w:sz="4" w:space="0" w:color="002060"/>
              <w:bottom w:val="single" w:sz="4" w:space="0" w:color="002060"/>
            </w:tcBorders>
            <w:vAlign w:val="center"/>
            <w:hideMark/>
          </w:tcPr>
          <w:p w14:paraId="2AEE7C6B"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2021</w:t>
            </w:r>
          </w:p>
        </w:tc>
        <w:tc>
          <w:tcPr>
            <w:tcW w:w="709" w:type="pct"/>
            <w:tcBorders>
              <w:top w:val="single" w:sz="4" w:space="0" w:color="002060"/>
              <w:bottom w:val="single" w:sz="4" w:space="0" w:color="002060"/>
            </w:tcBorders>
            <w:noWrap/>
            <w:vAlign w:val="center"/>
            <w:hideMark/>
          </w:tcPr>
          <w:p w14:paraId="1A27D490"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2022</w:t>
            </w:r>
          </w:p>
        </w:tc>
        <w:tc>
          <w:tcPr>
            <w:tcW w:w="710" w:type="pct"/>
            <w:tcBorders>
              <w:top w:val="single" w:sz="4" w:space="0" w:color="002060"/>
              <w:bottom w:val="single" w:sz="4" w:space="0" w:color="002060"/>
            </w:tcBorders>
            <w:noWrap/>
            <w:vAlign w:val="center"/>
            <w:hideMark/>
          </w:tcPr>
          <w:p w14:paraId="05125AED"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2023/III</w:t>
            </w:r>
          </w:p>
        </w:tc>
      </w:tr>
      <w:tr w:rsidR="00181BDB" w:rsidRPr="0007074F" w14:paraId="63322D84" w14:textId="77777777" w:rsidTr="00482D55">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FFFFFF" w:themeColor="background1"/>
              <w:bottom w:val="nil"/>
            </w:tcBorders>
            <w:shd w:val="clear" w:color="auto" w:fill="E7E6E6" w:themeFill="background2"/>
            <w:noWrap/>
            <w:vAlign w:val="center"/>
            <w:hideMark/>
          </w:tcPr>
          <w:p w14:paraId="546BBE63"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Јавни дуг (у млрд динара)</w:t>
            </w:r>
          </w:p>
        </w:tc>
        <w:tc>
          <w:tcPr>
            <w:tcW w:w="709" w:type="pct"/>
            <w:tcBorders>
              <w:top w:val="single" w:sz="4" w:space="0" w:color="002060"/>
              <w:bottom w:val="nil"/>
            </w:tcBorders>
            <w:shd w:val="clear" w:color="auto" w:fill="E7E6E6" w:themeFill="background2"/>
            <w:vAlign w:val="center"/>
            <w:hideMark/>
          </w:tcPr>
          <w:p w14:paraId="4473CF8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3.181,2</w:t>
            </w:r>
          </w:p>
        </w:tc>
        <w:tc>
          <w:tcPr>
            <w:tcW w:w="710" w:type="pct"/>
            <w:tcBorders>
              <w:top w:val="single" w:sz="4" w:space="0" w:color="002060"/>
              <w:bottom w:val="nil"/>
            </w:tcBorders>
            <w:shd w:val="clear" w:color="auto" w:fill="E7E6E6" w:themeFill="background2"/>
            <w:vAlign w:val="center"/>
            <w:hideMark/>
          </w:tcPr>
          <w:p w14:paraId="29EC6527"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3.581,8</w:t>
            </w:r>
          </w:p>
        </w:tc>
        <w:tc>
          <w:tcPr>
            <w:tcW w:w="709" w:type="pct"/>
            <w:tcBorders>
              <w:top w:val="single" w:sz="4" w:space="0" w:color="002060"/>
              <w:bottom w:val="nil"/>
            </w:tcBorders>
            <w:shd w:val="clear" w:color="auto" w:fill="E7E6E6" w:themeFill="background2"/>
            <w:noWrap/>
            <w:vAlign w:val="center"/>
            <w:hideMark/>
          </w:tcPr>
          <w:p w14:paraId="6CF1421C"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3.945,8</w:t>
            </w:r>
          </w:p>
        </w:tc>
        <w:tc>
          <w:tcPr>
            <w:tcW w:w="710" w:type="pct"/>
            <w:tcBorders>
              <w:top w:val="single" w:sz="4" w:space="0" w:color="002060"/>
              <w:bottom w:val="nil"/>
            </w:tcBorders>
            <w:shd w:val="clear" w:color="auto" w:fill="E7E6E6" w:themeFill="background2"/>
            <w:noWrap/>
            <w:vAlign w:val="center"/>
            <w:hideMark/>
          </w:tcPr>
          <w:p w14:paraId="7E822E2B"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4.169,5</w:t>
            </w:r>
          </w:p>
        </w:tc>
      </w:tr>
      <w:tr w:rsidR="00181BDB" w:rsidRPr="0007074F" w14:paraId="4342AA92" w14:textId="77777777" w:rsidTr="00482D55">
        <w:trPr>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left w:val="nil"/>
              <w:bottom w:val="nil"/>
              <w:right w:val="nil"/>
            </w:tcBorders>
            <w:noWrap/>
            <w:vAlign w:val="center"/>
            <w:hideMark/>
          </w:tcPr>
          <w:p w14:paraId="17091193"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Јавни дуг (у мил. евра)</w:t>
            </w:r>
          </w:p>
        </w:tc>
        <w:tc>
          <w:tcPr>
            <w:tcW w:w="709" w:type="pct"/>
            <w:tcBorders>
              <w:top w:val="nil"/>
              <w:left w:val="nil"/>
              <w:bottom w:val="nil"/>
              <w:right w:val="nil"/>
            </w:tcBorders>
            <w:vAlign w:val="center"/>
            <w:hideMark/>
          </w:tcPr>
          <w:p w14:paraId="51F3E81A"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27.055,8</w:t>
            </w:r>
          </w:p>
        </w:tc>
        <w:tc>
          <w:tcPr>
            <w:tcW w:w="710" w:type="pct"/>
            <w:tcBorders>
              <w:top w:val="nil"/>
              <w:left w:val="nil"/>
              <w:bottom w:val="nil"/>
              <w:right w:val="nil"/>
            </w:tcBorders>
            <w:vAlign w:val="center"/>
            <w:hideMark/>
          </w:tcPr>
          <w:p w14:paraId="151C1406"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30.461,8</w:t>
            </w:r>
          </w:p>
        </w:tc>
        <w:tc>
          <w:tcPr>
            <w:tcW w:w="709" w:type="pct"/>
            <w:tcBorders>
              <w:top w:val="nil"/>
              <w:left w:val="nil"/>
              <w:bottom w:val="nil"/>
              <w:right w:val="nil"/>
            </w:tcBorders>
            <w:noWrap/>
            <w:vAlign w:val="center"/>
            <w:hideMark/>
          </w:tcPr>
          <w:p w14:paraId="7138F734"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33.632,2</w:t>
            </w:r>
          </w:p>
        </w:tc>
        <w:tc>
          <w:tcPr>
            <w:tcW w:w="710" w:type="pct"/>
            <w:tcBorders>
              <w:top w:val="nil"/>
              <w:left w:val="nil"/>
              <w:bottom w:val="nil"/>
              <w:right w:val="nil"/>
            </w:tcBorders>
            <w:noWrap/>
            <w:vAlign w:val="center"/>
            <w:hideMark/>
          </w:tcPr>
          <w:p w14:paraId="31707B9B"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35.548,0</w:t>
            </w:r>
          </w:p>
        </w:tc>
      </w:tr>
      <w:tr w:rsidR="00181BDB" w:rsidRPr="0007074F" w14:paraId="65A17E63" w14:textId="77777777" w:rsidTr="00482D55">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bottom w:val="single" w:sz="4" w:space="0" w:color="002060"/>
            </w:tcBorders>
            <w:shd w:val="clear" w:color="auto" w:fill="E7E6E6" w:themeFill="background2"/>
            <w:noWrap/>
            <w:vAlign w:val="center"/>
            <w:hideMark/>
          </w:tcPr>
          <w:p w14:paraId="6F9684E5"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Јавни дуг (у мил. долара)</w:t>
            </w:r>
          </w:p>
        </w:tc>
        <w:tc>
          <w:tcPr>
            <w:tcW w:w="709" w:type="pct"/>
            <w:tcBorders>
              <w:top w:val="nil"/>
              <w:bottom w:val="single" w:sz="4" w:space="0" w:color="002060"/>
            </w:tcBorders>
            <w:shd w:val="clear" w:color="auto" w:fill="E7E6E6" w:themeFill="background2"/>
            <w:vAlign w:val="center"/>
            <w:hideMark/>
          </w:tcPr>
          <w:p w14:paraId="7C752792"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33.254,3</w:t>
            </w:r>
          </w:p>
        </w:tc>
        <w:tc>
          <w:tcPr>
            <w:tcW w:w="710" w:type="pct"/>
            <w:tcBorders>
              <w:top w:val="nil"/>
              <w:bottom w:val="single" w:sz="4" w:space="0" w:color="002060"/>
            </w:tcBorders>
            <w:shd w:val="clear" w:color="auto" w:fill="E7E6E6" w:themeFill="background2"/>
            <w:vAlign w:val="center"/>
            <w:hideMark/>
          </w:tcPr>
          <w:p w14:paraId="357BF8E9"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34.464,5</w:t>
            </w:r>
          </w:p>
        </w:tc>
        <w:tc>
          <w:tcPr>
            <w:tcW w:w="709" w:type="pct"/>
            <w:tcBorders>
              <w:top w:val="nil"/>
              <w:bottom w:val="single" w:sz="4" w:space="0" w:color="002060"/>
            </w:tcBorders>
            <w:shd w:val="clear" w:color="auto" w:fill="E7E6E6" w:themeFill="background2"/>
            <w:noWrap/>
            <w:vAlign w:val="center"/>
            <w:hideMark/>
          </w:tcPr>
          <w:p w14:paraId="7008D9A2"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35.821,6</w:t>
            </w:r>
          </w:p>
        </w:tc>
        <w:tc>
          <w:tcPr>
            <w:tcW w:w="710" w:type="pct"/>
            <w:tcBorders>
              <w:top w:val="nil"/>
              <w:bottom w:val="single" w:sz="4" w:space="0" w:color="002060"/>
            </w:tcBorders>
            <w:shd w:val="clear" w:color="auto" w:fill="E7E6E6" w:themeFill="background2"/>
            <w:noWrap/>
            <w:vAlign w:val="center"/>
            <w:hideMark/>
          </w:tcPr>
          <w:p w14:paraId="1E9217A3"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38.765,1</w:t>
            </w:r>
          </w:p>
        </w:tc>
      </w:tr>
    </w:tbl>
    <w:p w14:paraId="7F7A8250" w14:textId="77777777" w:rsidR="00181BDB" w:rsidRPr="0007074F" w:rsidRDefault="00181BDB" w:rsidP="00523B7B">
      <w:pPr>
        <w:rPr>
          <w:lang w:val="sr-Cyrl-CS"/>
        </w:rPr>
      </w:pPr>
    </w:p>
    <w:p w14:paraId="19E63BEA" w14:textId="77777777" w:rsidR="00181BDB" w:rsidRPr="0007074F" w:rsidRDefault="00181BDB" w:rsidP="00523B7B">
      <w:pPr>
        <w:rPr>
          <w:rFonts w:cs="Calibri"/>
          <w:bCs/>
          <w:sz w:val="10"/>
          <w:szCs w:val="10"/>
          <w:lang w:val="sr-Cyrl-CS"/>
        </w:rPr>
        <w:sectPr w:rsidR="00181BDB" w:rsidRPr="0007074F">
          <w:type w:val="continuous"/>
          <w:pgSz w:w="12240" w:h="15840"/>
          <w:pgMar w:top="1440" w:right="1440" w:bottom="1440" w:left="1440" w:header="720" w:footer="720" w:gutter="0"/>
          <w:cols w:space="720"/>
        </w:sectPr>
      </w:pPr>
    </w:p>
    <w:p w14:paraId="3095356F" w14:textId="25EF05DE" w:rsidR="00181BDB" w:rsidRPr="0007074F" w:rsidRDefault="00181BDB" w:rsidP="00523B7B">
      <w:pPr>
        <w:spacing w:after="280"/>
        <w:rPr>
          <w:rFonts w:ascii="Calibri" w:eastAsia="Calibri" w:hAnsi="Calibri" w:cs="Calibri"/>
          <w:bCs/>
          <w:szCs w:val="72"/>
          <w:lang w:val="sr-Cyrl-CS"/>
        </w:rPr>
      </w:pPr>
      <w:r w:rsidRPr="0007074F">
        <w:rPr>
          <w:rFonts w:ascii="Calibri" w:eastAsia="Calibri" w:hAnsi="Calibri" w:cs="Calibri"/>
          <w:bCs/>
          <w:szCs w:val="72"/>
          <w:lang w:val="sr-Cyrl-CS"/>
        </w:rPr>
        <w:t xml:space="preserve">У последње две године приметан је интензиван раст јавног дуга централног нивоа власти у еврима. Услед повољнијих услова за задуживање на иностраном тржишту, емитоване су у два наврата еврообвезнице у еврима. Поред тога део дуга у америчким доларима, кинеским јуанима и УАЕ дирхамима је конвертован у евре, услед далеко мање осцилације курса евра према динару, у односу на наведене валуте, како би се смањио валутни ризик. Током 2022. и 2023. године дошло је до раста дуга у специјалним правима вучења, услед задуживања код ММФ по повољним условима. Током 2020. и 2021. године </w:t>
      </w:r>
      <w:r w:rsidRPr="0007074F">
        <w:rPr>
          <w:rFonts w:ascii="Calibri" w:eastAsia="Calibri" w:hAnsi="Calibri" w:cs="Calibri"/>
          <w:bCs/>
          <w:szCs w:val="72"/>
          <w:lang w:val="sr-Cyrl-CS"/>
        </w:rPr>
        <w:t>је растао дуг у динарима услед интензивног задуживања у домаћој валути, како би се додатно подстакао развој домаћег тржишта. Токо</w:t>
      </w:r>
      <w:r w:rsidR="00751929" w:rsidRPr="0007074F">
        <w:rPr>
          <w:rFonts w:ascii="Calibri" w:eastAsia="Calibri" w:hAnsi="Calibri" w:cs="Calibri"/>
          <w:bCs/>
          <w:szCs w:val="72"/>
          <w:lang w:val="sr-Cyrl-CS"/>
        </w:rPr>
        <w:t>м 2022. и 2023. године</w:t>
      </w:r>
      <w:r w:rsidRPr="0007074F">
        <w:rPr>
          <w:rFonts w:ascii="Calibri" w:eastAsia="Calibri" w:hAnsi="Calibri" w:cs="Calibri"/>
          <w:bCs/>
          <w:szCs w:val="72"/>
          <w:lang w:val="sr-Cyrl-CS"/>
        </w:rPr>
        <w:t xml:space="preserve"> приметан је пад, због редовне отплате доспелих државних обвезница. Честе осцилације курса америчког долара према динару показују пуну оправданост одлуке да се максимално смањи доларски дуг и на тај начин минимизира валутни ризик, као и да је за закључивање своп трансакција изабран прави моменат. Услед закључених своп трансакција, а такође са циљем да се минимизира валутни ризик, значајно је смањен дуг у осталим валутама.</w:t>
      </w:r>
    </w:p>
    <w:p w14:paraId="672FAA5B" w14:textId="77777777" w:rsidR="00181BDB" w:rsidRPr="0007074F" w:rsidRDefault="00181BDB" w:rsidP="00C91F83">
      <w:pPr>
        <w:spacing w:after="400"/>
        <w:rPr>
          <w:rFonts w:ascii="Calibri" w:eastAsia="Calibri" w:hAnsi="Calibri" w:cs="Calibri"/>
          <w:bCs/>
          <w:szCs w:val="72"/>
          <w:lang w:val="sr-Cyrl-CS"/>
        </w:rPr>
        <w:sectPr w:rsidR="00181BDB" w:rsidRPr="0007074F">
          <w:type w:val="continuous"/>
          <w:pgSz w:w="12240" w:h="15840"/>
          <w:pgMar w:top="1440" w:right="1440" w:bottom="1440" w:left="1440" w:header="720" w:footer="720" w:gutter="0"/>
          <w:cols w:num="2" w:space="720"/>
        </w:sectPr>
      </w:pPr>
    </w:p>
    <w:p w14:paraId="2AA74664" w14:textId="77777777" w:rsidR="00181BDB" w:rsidRPr="0007074F" w:rsidRDefault="00181BDB" w:rsidP="00C91F83">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 xml:space="preserve">Табела 22. Стање јавног дуга централног нивоа државе по оригиналним валутама у периоду </w:t>
      </w:r>
      <w:r w:rsidRPr="0007074F">
        <w:rPr>
          <w:rFonts w:ascii="Calibri" w:eastAsia="Calibri" w:hAnsi="Calibri" w:cs="Times New Roman"/>
          <w:b/>
          <w:color w:val="002060"/>
          <w:lang w:val="sr-Cyrl-CS"/>
        </w:rPr>
        <w:br/>
        <w:t>крај 2020–31. март 2023. године, у милионима</w:t>
      </w:r>
    </w:p>
    <w:tbl>
      <w:tblPr>
        <w:tblStyle w:val="LightShading-Accent12121"/>
        <w:tblW w:w="5000" w:type="pct"/>
        <w:tblInd w:w="-48" w:type="dxa"/>
        <w:tblLook w:val="04A0" w:firstRow="1" w:lastRow="0" w:firstColumn="1" w:lastColumn="0" w:noHBand="0" w:noVBand="1"/>
      </w:tblPr>
      <w:tblGrid>
        <w:gridCol w:w="3230"/>
        <w:gridCol w:w="1532"/>
        <w:gridCol w:w="1534"/>
        <w:gridCol w:w="1531"/>
        <w:gridCol w:w="1533"/>
      </w:tblGrid>
      <w:tr w:rsidR="00181BDB" w:rsidRPr="0007074F" w14:paraId="46286C5B" w14:textId="77777777" w:rsidTr="00482D55">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002060"/>
              <w:bottom w:val="single" w:sz="4" w:space="0" w:color="FFFFFF" w:themeColor="background1"/>
            </w:tcBorders>
            <w:noWrap/>
            <w:hideMark/>
          </w:tcPr>
          <w:p w14:paraId="6E44424B"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 </w:t>
            </w:r>
          </w:p>
        </w:tc>
        <w:tc>
          <w:tcPr>
            <w:tcW w:w="818" w:type="pct"/>
            <w:tcBorders>
              <w:top w:val="single" w:sz="4" w:space="0" w:color="002060"/>
              <w:bottom w:val="single" w:sz="4" w:space="0" w:color="002060"/>
            </w:tcBorders>
            <w:noWrap/>
            <w:hideMark/>
          </w:tcPr>
          <w:p w14:paraId="4BB01A87"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2020</w:t>
            </w:r>
          </w:p>
        </w:tc>
        <w:tc>
          <w:tcPr>
            <w:tcW w:w="819" w:type="pct"/>
            <w:tcBorders>
              <w:top w:val="single" w:sz="4" w:space="0" w:color="002060"/>
              <w:bottom w:val="single" w:sz="4" w:space="0" w:color="002060"/>
            </w:tcBorders>
            <w:noWrap/>
            <w:hideMark/>
          </w:tcPr>
          <w:p w14:paraId="3DF67A72"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2021</w:t>
            </w:r>
          </w:p>
        </w:tc>
        <w:tc>
          <w:tcPr>
            <w:tcW w:w="818" w:type="pct"/>
            <w:tcBorders>
              <w:top w:val="single" w:sz="4" w:space="0" w:color="002060"/>
              <w:bottom w:val="single" w:sz="4" w:space="0" w:color="002060"/>
            </w:tcBorders>
            <w:noWrap/>
            <w:hideMark/>
          </w:tcPr>
          <w:p w14:paraId="33C4333E"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2022</w:t>
            </w:r>
          </w:p>
        </w:tc>
        <w:tc>
          <w:tcPr>
            <w:tcW w:w="819" w:type="pct"/>
            <w:tcBorders>
              <w:top w:val="single" w:sz="4" w:space="0" w:color="002060"/>
              <w:bottom w:val="single" w:sz="4" w:space="0" w:color="002060"/>
            </w:tcBorders>
            <w:noWrap/>
            <w:hideMark/>
          </w:tcPr>
          <w:p w14:paraId="08EEA479"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2023/III</w:t>
            </w:r>
          </w:p>
        </w:tc>
      </w:tr>
      <w:tr w:rsidR="00181BDB" w:rsidRPr="0007074F" w14:paraId="5643CA2F"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FFFFFF" w:themeColor="background1"/>
              <w:bottom w:val="nil"/>
            </w:tcBorders>
            <w:shd w:val="clear" w:color="auto" w:fill="E7E6E6" w:themeFill="background2"/>
            <w:noWrap/>
            <w:hideMark/>
          </w:tcPr>
          <w:p w14:paraId="17D1B3F5"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EUR</w:t>
            </w:r>
          </w:p>
        </w:tc>
        <w:tc>
          <w:tcPr>
            <w:tcW w:w="818" w:type="pct"/>
            <w:tcBorders>
              <w:top w:val="single" w:sz="4" w:space="0" w:color="002060"/>
              <w:bottom w:val="nil"/>
            </w:tcBorders>
            <w:shd w:val="clear" w:color="auto" w:fill="E7E6E6" w:themeFill="background2"/>
            <w:noWrap/>
            <w:hideMark/>
          </w:tcPr>
          <w:p w14:paraId="62F169C3"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13.222,5</w:t>
            </w:r>
          </w:p>
        </w:tc>
        <w:tc>
          <w:tcPr>
            <w:tcW w:w="819" w:type="pct"/>
            <w:tcBorders>
              <w:top w:val="single" w:sz="4" w:space="0" w:color="002060"/>
              <w:bottom w:val="nil"/>
            </w:tcBorders>
            <w:shd w:val="clear" w:color="auto" w:fill="E7E6E6" w:themeFill="background2"/>
            <w:noWrap/>
            <w:hideMark/>
          </w:tcPr>
          <w:p w14:paraId="62733AAD"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17.386,4</w:t>
            </w:r>
          </w:p>
        </w:tc>
        <w:tc>
          <w:tcPr>
            <w:tcW w:w="818" w:type="pct"/>
            <w:tcBorders>
              <w:top w:val="single" w:sz="4" w:space="0" w:color="002060"/>
              <w:bottom w:val="nil"/>
            </w:tcBorders>
            <w:shd w:val="clear" w:color="auto" w:fill="E7E6E6" w:themeFill="background2"/>
            <w:noWrap/>
            <w:hideMark/>
          </w:tcPr>
          <w:p w14:paraId="799EDAB5"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18.585,2</w:t>
            </w:r>
          </w:p>
        </w:tc>
        <w:tc>
          <w:tcPr>
            <w:tcW w:w="819" w:type="pct"/>
            <w:tcBorders>
              <w:top w:val="single" w:sz="4" w:space="0" w:color="002060"/>
              <w:bottom w:val="nil"/>
            </w:tcBorders>
            <w:shd w:val="clear" w:color="auto" w:fill="E7E6E6" w:themeFill="background2"/>
            <w:noWrap/>
            <w:hideMark/>
          </w:tcPr>
          <w:p w14:paraId="5E39461E"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19.979,9</w:t>
            </w:r>
          </w:p>
        </w:tc>
      </w:tr>
      <w:tr w:rsidR="00181BDB" w:rsidRPr="0007074F" w14:paraId="62478450"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01B04C63"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USD</w:t>
            </w:r>
          </w:p>
        </w:tc>
        <w:tc>
          <w:tcPr>
            <w:tcW w:w="818" w:type="pct"/>
            <w:tcBorders>
              <w:top w:val="nil"/>
              <w:left w:val="nil"/>
              <w:bottom w:val="nil"/>
              <w:right w:val="nil"/>
            </w:tcBorders>
            <w:noWrap/>
            <w:hideMark/>
          </w:tcPr>
          <w:p w14:paraId="636F273D"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4.323,9</w:t>
            </w:r>
          </w:p>
        </w:tc>
        <w:tc>
          <w:tcPr>
            <w:tcW w:w="819" w:type="pct"/>
            <w:tcBorders>
              <w:top w:val="nil"/>
              <w:left w:val="nil"/>
              <w:bottom w:val="nil"/>
              <w:right w:val="nil"/>
            </w:tcBorders>
            <w:noWrap/>
            <w:hideMark/>
          </w:tcPr>
          <w:p w14:paraId="3A412E9F"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3.694,6</w:t>
            </w:r>
          </w:p>
        </w:tc>
        <w:tc>
          <w:tcPr>
            <w:tcW w:w="818" w:type="pct"/>
            <w:tcBorders>
              <w:top w:val="nil"/>
              <w:left w:val="nil"/>
              <w:bottom w:val="nil"/>
              <w:right w:val="nil"/>
            </w:tcBorders>
            <w:noWrap/>
            <w:hideMark/>
          </w:tcPr>
          <w:p w14:paraId="71A663F9"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5.076,7</w:t>
            </w:r>
          </w:p>
        </w:tc>
        <w:tc>
          <w:tcPr>
            <w:tcW w:w="819" w:type="pct"/>
            <w:tcBorders>
              <w:top w:val="nil"/>
              <w:left w:val="nil"/>
              <w:bottom w:val="nil"/>
              <w:right w:val="nil"/>
            </w:tcBorders>
            <w:noWrap/>
            <w:hideMark/>
          </w:tcPr>
          <w:p w14:paraId="17563BF9"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5.117,3</w:t>
            </w:r>
          </w:p>
        </w:tc>
      </w:tr>
      <w:tr w:rsidR="00181BDB" w:rsidRPr="0007074F" w14:paraId="0A74E5A0"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6CABEE7D"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RSD</w:t>
            </w:r>
          </w:p>
        </w:tc>
        <w:tc>
          <w:tcPr>
            <w:tcW w:w="818" w:type="pct"/>
            <w:tcBorders>
              <w:top w:val="nil"/>
              <w:bottom w:val="nil"/>
            </w:tcBorders>
            <w:shd w:val="clear" w:color="auto" w:fill="E7E6E6" w:themeFill="background2"/>
            <w:noWrap/>
            <w:hideMark/>
          </w:tcPr>
          <w:p w14:paraId="1AE9342A"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957.952,2</w:t>
            </w:r>
          </w:p>
        </w:tc>
        <w:tc>
          <w:tcPr>
            <w:tcW w:w="819" w:type="pct"/>
            <w:tcBorders>
              <w:top w:val="nil"/>
              <w:bottom w:val="nil"/>
            </w:tcBorders>
            <w:shd w:val="clear" w:color="auto" w:fill="E7E6E6" w:themeFill="background2"/>
            <w:noWrap/>
            <w:hideMark/>
          </w:tcPr>
          <w:p w14:paraId="7F82E162"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1.010.176,5</w:t>
            </w:r>
          </w:p>
        </w:tc>
        <w:tc>
          <w:tcPr>
            <w:tcW w:w="818" w:type="pct"/>
            <w:tcBorders>
              <w:top w:val="nil"/>
              <w:bottom w:val="nil"/>
            </w:tcBorders>
            <w:shd w:val="clear" w:color="auto" w:fill="E7E6E6" w:themeFill="background2"/>
            <w:noWrap/>
            <w:hideMark/>
          </w:tcPr>
          <w:p w14:paraId="5B0D5A4C"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983.500,7</w:t>
            </w:r>
          </w:p>
        </w:tc>
        <w:tc>
          <w:tcPr>
            <w:tcW w:w="819" w:type="pct"/>
            <w:tcBorders>
              <w:top w:val="nil"/>
              <w:bottom w:val="nil"/>
            </w:tcBorders>
            <w:shd w:val="clear" w:color="auto" w:fill="E7E6E6" w:themeFill="background2"/>
            <w:noWrap/>
            <w:hideMark/>
          </w:tcPr>
          <w:p w14:paraId="2A4DEC74"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945.909,8</w:t>
            </w:r>
          </w:p>
        </w:tc>
      </w:tr>
      <w:tr w:rsidR="00181BDB" w:rsidRPr="0007074F" w14:paraId="494C09A8"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4199E98A"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CHF</w:t>
            </w:r>
          </w:p>
        </w:tc>
        <w:tc>
          <w:tcPr>
            <w:tcW w:w="818" w:type="pct"/>
            <w:tcBorders>
              <w:top w:val="nil"/>
              <w:left w:val="nil"/>
              <w:bottom w:val="nil"/>
              <w:right w:val="nil"/>
            </w:tcBorders>
            <w:noWrap/>
            <w:hideMark/>
          </w:tcPr>
          <w:p w14:paraId="48A138BC"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90,3</w:t>
            </w:r>
          </w:p>
        </w:tc>
        <w:tc>
          <w:tcPr>
            <w:tcW w:w="819" w:type="pct"/>
            <w:tcBorders>
              <w:top w:val="nil"/>
              <w:left w:val="nil"/>
              <w:bottom w:val="nil"/>
              <w:right w:val="nil"/>
            </w:tcBorders>
            <w:noWrap/>
            <w:hideMark/>
          </w:tcPr>
          <w:p w14:paraId="6C0A69D3"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73,7</w:t>
            </w:r>
          </w:p>
        </w:tc>
        <w:tc>
          <w:tcPr>
            <w:tcW w:w="818" w:type="pct"/>
            <w:tcBorders>
              <w:top w:val="nil"/>
              <w:left w:val="nil"/>
              <w:bottom w:val="nil"/>
              <w:right w:val="nil"/>
            </w:tcBorders>
            <w:noWrap/>
            <w:hideMark/>
          </w:tcPr>
          <w:p w14:paraId="668AA236"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27,2</w:t>
            </w:r>
          </w:p>
        </w:tc>
        <w:tc>
          <w:tcPr>
            <w:tcW w:w="819" w:type="pct"/>
            <w:tcBorders>
              <w:top w:val="nil"/>
              <w:left w:val="nil"/>
              <w:bottom w:val="nil"/>
              <w:right w:val="nil"/>
            </w:tcBorders>
            <w:noWrap/>
            <w:hideMark/>
          </w:tcPr>
          <w:p w14:paraId="6F7DD472"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18,7</w:t>
            </w:r>
          </w:p>
        </w:tc>
      </w:tr>
      <w:tr w:rsidR="00181BDB" w:rsidRPr="0007074F" w14:paraId="08B08DAB"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051B4FC5"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Специјална права вучења</w:t>
            </w:r>
          </w:p>
        </w:tc>
        <w:tc>
          <w:tcPr>
            <w:tcW w:w="818" w:type="pct"/>
            <w:tcBorders>
              <w:top w:val="nil"/>
              <w:bottom w:val="nil"/>
            </w:tcBorders>
            <w:shd w:val="clear" w:color="auto" w:fill="E7E6E6" w:themeFill="background2"/>
            <w:noWrap/>
            <w:hideMark/>
          </w:tcPr>
          <w:p w14:paraId="03CFF4F6"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522,7</w:t>
            </w:r>
          </w:p>
        </w:tc>
        <w:tc>
          <w:tcPr>
            <w:tcW w:w="819" w:type="pct"/>
            <w:tcBorders>
              <w:top w:val="nil"/>
              <w:bottom w:val="nil"/>
            </w:tcBorders>
            <w:shd w:val="clear" w:color="auto" w:fill="E7E6E6" w:themeFill="background2"/>
            <w:noWrap/>
            <w:hideMark/>
          </w:tcPr>
          <w:p w14:paraId="5BF54447"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475,0</w:t>
            </w:r>
          </w:p>
        </w:tc>
        <w:tc>
          <w:tcPr>
            <w:tcW w:w="818" w:type="pct"/>
            <w:tcBorders>
              <w:top w:val="nil"/>
              <w:bottom w:val="nil"/>
            </w:tcBorders>
            <w:shd w:val="clear" w:color="auto" w:fill="E7E6E6" w:themeFill="background2"/>
            <w:noWrap/>
            <w:hideMark/>
          </w:tcPr>
          <w:p w14:paraId="6B49397F"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1.064,9</w:t>
            </w:r>
          </w:p>
        </w:tc>
        <w:tc>
          <w:tcPr>
            <w:tcW w:w="819" w:type="pct"/>
            <w:tcBorders>
              <w:top w:val="nil"/>
              <w:bottom w:val="nil"/>
            </w:tcBorders>
            <w:shd w:val="clear" w:color="auto" w:fill="E7E6E6" w:themeFill="background2"/>
            <w:noWrap/>
            <w:hideMark/>
          </w:tcPr>
          <w:p w14:paraId="732FB7F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1.835,3</w:t>
            </w:r>
          </w:p>
        </w:tc>
      </w:tr>
      <w:tr w:rsidR="00181BDB" w:rsidRPr="0007074F" w14:paraId="50794F49"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single" w:sz="4" w:space="0" w:color="002060"/>
              <w:right w:val="nil"/>
            </w:tcBorders>
            <w:noWrap/>
            <w:hideMark/>
          </w:tcPr>
          <w:p w14:paraId="783788FF"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Друге валуте (у RSD)</w:t>
            </w:r>
          </w:p>
        </w:tc>
        <w:tc>
          <w:tcPr>
            <w:tcW w:w="818" w:type="pct"/>
            <w:tcBorders>
              <w:top w:val="nil"/>
              <w:left w:val="nil"/>
              <w:bottom w:val="single" w:sz="4" w:space="0" w:color="002060"/>
              <w:right w:val="nil"/>
            </w:tcBorders>
            <w:noWrap/>
            <w:hideMark/>
          </w:tcPr>
          <w:p w14:paraId="058FA177"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127.674,8</w:t>
            </w:r>
          </w:p>
        </w:tc>
        <w:tc>
          <w:tcPr>
            <w:tcW w:w="819" w:type="pct"/>
            <w:tcBorders>
              <w:top w:val="nil"/>
              <w:left w:val="nil"/>
              <w:bottom w:val="single" w:sz="4" w:space="0" w:color="002060"/>
              <w:right w:val="nil"/>
            </w:tcBorders>
            <w:noWrap/>
            <w:hideMark/>
          </w:tcPr>
          <w:p w14:paraId="72320B66"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27.304,8</w:t>
            </w:r>
          </w:p>
        </w:tc>
        <w:tc>
          <w:tcPr>
            <w:tcW w:w="818" w:type="pct"/>
            <w:tcBorders>
              <w:top w:val="nil"/>
              <w:left w:val="nil"/>
              <w:bottom w:val="single" w:sz="4" w:space="0" w:color="002060"/>
              <w:right w:val="nil"/>
            </w:tcBorders>
            <w:noWrap/>
            <w:hideMark/>
          </w:tcPr>
          <w:p w14:paraId="04EC389A"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27.375,6</w:t>
            </w:r>
          </w:p>
        </w:tc>
        <w:tc>
          <w:tcPr>
            <w:tcW w:w="819" w:type="pct"/>
            <w:tcBorders>
              <w:top w:val="nil"/>
              <w:left w:val="nil"/>
              <w:bottom w:val="single" w:sz="4" w:space="0" w:color="002060"/>
              <w:right w:val="nil"/>
            </w:tcBorders>
            <w:noWrap/>
            <w:hideMark/>
          </w:tcPr>
          <w:p w14:paraId="754418D3"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27.170,1</w:t>
            </w:r>
          </w:p>
        </w:tc>
      </w:tr>
    </w:tbl>
    <w:p w14:paraId="58E38E71" w14:textId="77777777" w:rsidR="00181BDB" w:rsidRPr="0007074F" w:rsidRDefault="00181BDB" w:rsidP="00523B7B">
      <w:pPr>
        <w:spacing w:after="120" w:line="257" w:lineRule="auto"/>
        <w:jc w:val="left"/>
        <w:rPr>
          <w:rFonts w:ascii="Calibri" w:eastAsia="Calibri" w:hAnsi="Calibri" w:cs="Calibri"/>
          <w:sz w:val="14"/>
          <w:lang w:val="sr-Cyrl-CS"/>
        </w:rPr>
        <w:sectPr w:rsidR="00181BDB" w:rsidRPr="0007074F">
          <w:type w:val="continuous"/>
          <w:pgSz w:w="12240" w:h="15840"/>
          <w:pgMar w:top="1440" w:right="1440" w:bottom="1440" w:left="1440" w:header="720" w:footer="720" w:gutter="0"/>
          <w:cols w:space="720"/>
        </w:sectPr>
      </w:pPr>
    </w:p>
    <w:p w14:paraId="2CDC669C" w14:textId="77777777" w:rsidR="00181BDB" w:rsidRPr="0007074F" w:rsidRDefault="00181BDB" w:rsidP="00523B7B">
      <w:pPr>
        <w:spacing w:line="257" w:lineRule="auto"/>
        <w:rPr>
          <w:rFonts w:ascii="Calibri" w:eastAsia="Calibri" w:hAnsi="Calibri" w:cs="Calibri"/>
          <w:bCs/>
          <w:szCs w:val="72"/>
          <w:lang w:val="sr-Cyrl-CS"/>
        </w:rPr>
      </w:pPr>
      <w:r w:rsidRPr="0007074F">
        <w:rPr>
          <w:rFonts w:ascii="Calibri" w:eastAsia="Calibri" w:hAnsi="Calibri" w:cs="Calibri"/>
          <w:bCs/>
          <w:szCs w:val="72"/>
          <w:lang w:val="sr-Cyrl-CS"/>
        </w:rPr>
        <w:t>Према подацима од 31. марта 2023. године, највећи део јавног дуга сектора државе Републике Србије је деноминован у еврима и износи 57,0%. Затим су највише заступљени динар са 22,7% и амерички долар са 13,2%. Остатак дуга је деноминован у специјалним правима вучења 6,4% и осталим валутама 0,7%. Захваљујући континуираном развоју домаћег тржишта хартија од вредности и постепеном повећању обима емисија у домаћој валути, дошло је до раста учешћа дуга у домаћој валути у претходним годинама, са 16,4%, на крају 2011. године на 30,4% у 2020, али након тога долази до његовог пада услед нешто већих потреба за финансирањем и промењених тржишних околности.</w:t>
      </w:r>
    </w:p>
    <w:p w14:paraId="1E59352F" w14:textId="77777777" w:rsidR="00181BDB" w:rsidRPr="0007074F" w:rsidRDefault="00181BDB" w:rsidP="00523B7B">
      <w:pPr>
        <w:spacing w:line="257"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Валутна структура дуга сектора државе у периоду од 2020. до 31. марта 2023. године</w:t>
      </w:r>
    </w:p>
    <w:p w14:paraId="5F59FCA0" w14:textId="77777777" w:rsidR="00181BDB" w:rsidRPr="0007074F" w:rsidRDefault="00181BDB" w:rsidP="00523B7B">
      <w:pPr>
        <w:spacing w:line="256" w:lineRule="auto"/>
        <w:rPr>
          <w:rFonts w:ascii="Calibri" w:eastAsia="Calibri" w:hAnsi="Calibri" w:cs="Times New Roman"/>
          <w:b/>
          <w:lang w:val="sr-Cyrl-CS"/>
        </w:rPr>
      </w:pPr>
      <w:r w:rsidRPr="0007074F">
        <w:rPr>
          <w:rFonts w:ascii="Calibri" w:eastAsia="Calibri" w:hAnsi="Calibri" w:cs="Times New Roman"/>
          <w:noProof/>
        </w:rPr>
        <w:drawing>
          <wp:inline distT="0" distB="0" distL="0" distR="0" wp14:anchorId="0B3DC5F4" wp14:editId="5BDFCCF3">
            <wp:extent cx="2797810" cy="1581150"/>
            <wp:effectExtent l="0" t="0" r="2540" b="0"/>
            <wp:docPr id="61"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1"/>
              </a:graphicData>
            </a:graphic>
          </wp:inline>
        </w:drawing>
      </w:r>
    </w:p>
    <w:p w14:paraId="1A3D7AF1" w14:textId="77777777" w:rsidR="00181BDB" w:rsidRPr="0007074F" w:rsidRDefault="00181BDB">
      <w:pPr>
        <w:jc w:val="left"/>
        <w:rPr>
          <w:rFonts w:ascii="Calibri" w:eastAsia="Calibri" w:hAnsi="Calibri" w:cs="Calibri"/>
          <w:bCs/>
          <w:szCs w:val="72"/>
          <w:lang w:val="sr-Cyrl-CS"/>
        </w:rPr>
      </w:pPr>
      <w:r w:rsidRPr="0007074F">
        <w:rPr>
          <w:rFonts w:ascii="Calibri" w:eastAsia="Calibri" w:hAnsi="Calibri" w:cs="Calibri"/>
          <w:bCs/>
          <w:szCs w:val="72"/>
          <w:lang w:val="sr-Cyrl-CS"/>
        </w:rPr>
        <w:br w:type="page"/>
      </w:r>
    </w:p>
    <w:p w14:paraId="43A229D8"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lastRenderedPageBreak/>
        <w:t>На дан 31. март 2023. године, највећи део јавног дуга сектора државе Републике Србије је са фиксном каматном стопом – 74,8%, док се на јавни дуг са варијабилном каматном стопом односи 25,2% укупног јавног дуга. Међу варијабилним каматним стопама највише је заступљен EURIBOR са учешћем од 70,7%, затим варијабилна каматна стопа за специјална права вучења 24,8% и Belibor 3,5%, док је учешће обавеза са осталим каматним стопама 1,0%.</w:t>
      </w:r>
    </w:p>
    <w:p w14:paraId="3F2C2972" w14:textId="77777777" w:rsidR="00181BDB" w:rsidRPr="0007074F" w:rsidRDefault="00181BDB" w:rsidP="00C91F83">
      <w:pPr>
        <w:spacing w:line="256" w:lineRule="auto"/>
        <w:jc w:val="center"/>
        <w:rPr>
          <w:rFonts w:ascii="Calibri" w:eastAsia="Calibri" w:hAnsi="Calibri" w:cs="Calibri"/>
          <w:bCs/>
          <w:color w:val="002060"/>
          <w:szCs w:val="72"/>
          <w:lang w:val="sr-Cyrl-CS"/>
        </w:rPr>
      </w:pPr>
      <w:r w:rsidRPr="0007074F">
        <w:rPr>
          <w:rFonts w:ascii="Calibri" w:eastAsia="Calibri" w:hAnsi="Calibri" w:cs="Times New Roman"/>
          <w:b/>
          <w:color w:val="002060"/>
          <w:lang w:val="sr-Cyrl-CS"/>
        </w:rPr>
        <w:t>Структура каматних стопа дуга сектора државе у периоду од 2020. до 31. марта 2023. године, %</w:t>
      </w:r>
    </w:p>
    <w:p w14:paraId="1C3EDC6C" w14:textId="77777777" w:rsidR="00181BDB" w:rsidRPr="0007074F" w:rsidRDefault="00181BDB" w:rsidP="00C91F83">
      <w:pPr>
        <w:spacing w:line="256" w:lineRule="auto"/>
        <w:rPr>
          <w:rFonts w:ascii="Calibri" w:eastAsia="Calibri" w:hAnsi="Calibri" w:cs="Calibri"/>
          <w:bCs/>
          <w:szCs w:val="72"/>
          <w:lang w:val="sr-Cyrl-CS"/>
        </w:rPr>
      </w:pPr>
      <w:r w:rsidRPr="0007074F">
        <w:rPr>
          <w:rFonts w:ascii="Calibri" w:eastAsia="Calibri" w:hAnsi="Calibri" w:cs="Times New Roman"/>
          <w:noProof/>
        </w:rPr>
        <w:drawing>
          <wp:inline distT="0" distB="0" distL="0" distR="0" wp14:anchorId="33C65FAB" wp14:editId="5C50F158">
            <wp:extent cx="2743200" cy="2124000"/>
            <wp:effectExtent l="0" t="0" r="0" b="0"/>
            <wp:docPr id="64"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2"/>
              </a:graphicData>
            </a:graphic>
          </wp:inline>
        </w:drawing>
      </w:r>
    </w:p>
    <w:p w14:paraId="329AE531"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У периоду од 2014. до 2021. године дошло је до значајног пада трошкова задуживања, који је најизраженији код државних хартија од вредности емитованих на домаћем тржишту. До пада је дошло захваљујући развоју тржишта капитала државних обвезница, расту кредитног рејтинга земље, односно смањењу премије ризика, ниској стопи инфлације и смањењу референтне каматне стопе НБС. Просечно пондерисана каматна стопа на јавни дуг је пала са 5,70% колико је износила на крају 2014. године на 2,53% колико је износила на крају 2021. године. У истом периоду приметан је још израженији пад код динарских државних хартија од вредности, код којих је просечна пондерисана купонска стопа смањена са 10,68% на крају 2014. године на 4,31 % на крају марта 2023. године. Током последњих годину дана, услед високе инфлације, дошло је до најинтензивнијег раста каматних стопа на међународном финансијском тржишту у овом веку. Ово се у извесној мери одразило и на раст трошкова задуживања Републике Србије. Тако је </w:t>
      </w:r>
      <w:r w:rsidRPr="0007074F">
        <w:rPr>
          <w:rFonts w:ascii="Calibri" w:eastAsia="Calibri" w:hAnsi="Calibri" w:cs="Calibri"/>
          <w:bCs/>
          <w:szCs w:val="72"/>
          <w:lang w:val="sr-Cyrl-CS"/>
        </w:rPr>
        <w:t>на крају марта 2023. године просечна пондерисана стопа на укупни јавни дуг износила 3,14%.</w:t>
      </w:r>
    </w:p>
    <w:p w14:paraId="7B5746FD" w14:textId="77777777" w:rsidR="00181BDB" w:rsidRPr="0007074F" w:rsidRDefault="00181BDB" w:rsidP="00523B7B">
      <w:pPr>
        <w:spacing w:line="256" w:lineRule="auto"/>
        <w:jc w:val="center"/>
        <w:rPr>
          <w:rFonts w:ascii="Calibri" w:eastAsia="Calibri" w:hAnsi="Calibri" w:cs="Times New Roman"/>
          <w:b/>
          <w:color w:val="002060"/>
          <w:spacing w:val="-2"/>
          <w:lang w:val="sr-Cyrl-CS"/>
        </w:rPr>
      </w:pPr>
      <w:r w:rsidRPr="0007074F">
        <w:rPr>
          <w:rFonts w:ascii="Calibri" w:eastAsia="Calibri" w:hAnsi="Calibri" w:cs="Times New Roman"/>
          <w:b/>
          <w:color w:val="002060"/>
          <w:spacing w:val="-2"/>
          <w:lang w:val="sr-Cyrl-CS"/>
        </w:rPr>
        <w:t>Преглед кретања просечних извршних каматних стопа на динарске државне хартије од вредности у периоду 2011–31. март 2023. године</w:t>
      </w:r>
    </w:p>
    <w:p w14:paraId="5E4B4EF8" w14:textId="77777777" w:rsidR="00181BDB" w:rsidRPr="0007074F" w:rsidRDefault="00181BDB" w:rsidP="00523B7B">
      <w:pPr>
        <w:spacing w:line="256" w:lineRule="auto"/>
        <w:jc w:val="center"/>
        <w:rPr>
          <w:lang w:val="sr-Cyrl-CS"/>
        </w:rPr>
      </w:pPr>
      <w:r w:rsidRPr="0007074F">
        <w:rPr>
          <w:noProof/>
        </w:rPr>
        <w:drawing>
          <wp:inline distT="0" distB="0" distL="0" distR="0" wp14:anchorId="2847AF16" wp14:editId="6114AAF8">
            <wp:extent cx="2859983" cy="2457810"/>
            <wp:effectExtent l="0" t="0" r="0" b="0"/>
            <wp:docPr id="67" name="Picture 67" descr="C:\Users\Admin\Desktop\Razni dokumenti\Za Fiskalnu Strategiju\RSD - Izvrsne st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Razni dokumenti\Za Fiskalnu Strategiju\RSD - Izvrsne stope.jpg"/>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2873854" cy="2469730"/>
                    </a:xfrm>
                    <a:prstGeom prst="rect">
                      <a:avLst/>
                    </a:prstGeom>
                    <a:noFill/>
                    <a:ln>
                      <a:noFill/>
                    </a:ln>
                  </pic:spPr>
                </pic:pic>
              </a:graphicData>
            </a:graphic>
          </wp:inline>
        </w:drawing>
      </w:r>
    </w:p>
    <w:p w14:paraId="0A217210" w14:textId="77777777" w:rsidR="00181BDB" w:rsidRPr="0007074F" w:rsidRDefault="00181BDB" w:rsidP="00523B7B">
      <w:pPr>
        <w:spacing w:line="256" w:lineRule="auto"/>
        <w:jc w:val="center"/>
        <w:rPr>
          <w:lang w:val="sr-Cyrl-CS"/>
        </w:rPr>
      </w:pPr>
    </w:p>
    <w:p w14:paraId="40218DDA" w14:textId="77777777" w:rsidR="00181BDB" w:rsidRPr="0007074F" w:rsidRDefault="00181BDB" w:rsidP="00523B7B">
      <w:pPr>
        <w:spacing w:line="256" w:lineRule="auto"/>
        <w:jc w:val="center"/>
        <w:rPr>
          <w:rFonts w:ascii="Calibri" w:eastAsia="Calibri" w:hAnsi="Calibri" w:cs="Times New Roman"/>
          <w:b/>
          <w:color w:val="002060"/>
          <w:spacing w:val="-2"/>
          <w:lang w:val="sr-Cyrl-CS"/>
        </w:rPr>
      </w:pPr>
      <w:r w:rsidRPr="0007074F">
        <w:rPr>
          <w:rFonts w:ascii="Calibri" w:eastAsia="Calibri" w:hAnsi="Calibri" w:cs="Times New Roman"/>
          <w:b/>
          <w:color w:val="002060"/>
          <w:spacing w:val="-2"/>
          <w:lang w:val="sr-Cyrl-CS"/>
        </w:rPr>
        <w:t>Преглед кретања просечних извршних каматних стопа на евро деноминоване државне хартије од вредности у периоду 2011–31. март 2023. године</w:t>
      </w:r>
    </w:p>
    <w:p w14:paraId="624BCD51" w14:textId="77777777" w:rsidR="00181BDB" w:rsidRPr="0007074F" w:rsidRDefault="00181BDB" w:rsidP="00C91F83">
      <w:pPr>
        <w:spacing w:line="256" w:lineRule="auto"/>
        <w:rPr>
          <w:lang w:val="sr-Cyrl-CS"/>
        </w:rPr>
      </w:pPr>
      <w:r w:rsidRPr="0007074F">
        <w:rPr>
          <w:noProof/>
        </w:rPr>
        <w:drawing>
          <wp:inline distT="0" distB="0" distL="0" distR="0" wp14:anchorId="70EFCCF9" wp14:editId="3A976757">
            <wp:extent cx="2743070" cy="2518012"/>
            <wp:effectExtent l="0" t="0" r="635" b="0"/>
            <wp:docPr id="69" name="Picture 69" descr="C:\Users\Admin\Desktop\Razni dokumenti\Za Fiskalnu Strategiju\EUR - Izvrsne st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Razni dokumenti\Za Fiskalnu Strategiju\EUR - Izvrsne stope.jpg"/>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778389" cy="2550433"/>
                    </a:xfrm>
                    <a:prstGeom prst="rect">
                      <a:avLst/>
                    </a:prstGeom>
                    <a:noFill/>
                    <a:ln>
                      <a:noFill/>
                    </a:ln>
                  </pic:spPr>
                </pic:pic>
              </a:graphicData>
            </a:graphic>
          </wp:inline>
        </w:drawing>
      </w:r>
    </w:p>
    <w:p w14:paraId="11109690" w14:textId="77777777" w:rsidR="00181BDB" w:rsidRPr="0007074F" w:rsidRDefault="00181BDB" w:rsidP="00C91F83">
      <w:pPr>
        <w:spacing w:line="256" w:lineRule="auto"/>
        <w:jc w:val="center"/>
        <w:rPr>
          <w:rFonts w:ascii="Calibri" w:eastAsia="Calibri" w:hAnsi="Calibri" w:cs="Times New Roman"/>
          <w:b/>
          <w:bCs/>
          <w:color w:val="002060"/>
          <w:spacing w:val="-4"/>
          <w:lang w:val="sr-Cyrl-CS"/>
        </w:rPr>
        <w:sectPr w:rsidR="00181BDB" w:rsidRPr="0007074F">
          <w:type w:val="continuous"/>
          <w:pgSz w:w="12240" w:h="15840"/>
          <w:pgMar w:top="1440" w:right="1440" w:bottom="1440" w:left="1440" w:header="720" w:footer="720" w:gutter="0"/>
          <w:cols w:num="2" w:space="720"/>
        </w:sectPr>
      </w:pPr>
    </w:p>
    <w:tbl>
      <w:tblPr>
        <w:tblStyle w:val="TableGrid621"/>
        <w:tblW w:w="94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8"/>
        <w:gridCol w:w="4726"/>
      </w:tblGrid>
      <w:tr w:rsidR="00181BDB" w:rsidRPr="0007074F" w14:paraId="4AD606A2" w14:textId="77777777" w:rsidTr="00523B7B">
        <w:trPr>
          <w:trHeight w:val="3044"/>
        </w:trPr>
        <w:tc>
          <w:tcPr>
            <w:tcW w:w="4708" w:type="dxa"/>
            <w:tcMar>
              <w:left w:w="57" w:type="dxa"/>
              <w:right w:w="57" w:type="dxa"/>
            </w:tcMar>
          </w:tcPr>
          <w:p w14:paraId="446CC8A3" w14:textId="77777777" w:rsidR="00181BDB" w:rsidRPr="0007074F" w:rsidRDefault="00181BDB" w:rsidP="00523B7B">
            <w:pPr>
              <w:spacing w:line="256" w:lineRule="auto"/>
              <w:jc w:val="center"/>
              <w:rPr>
                <w:rFonts w:ascii="Calibri" w:eastAsia="Calibri" w:hAnsi="Calibri" w:cs="Times New Roman"/>
                <w:b/>
                <w:bCs/>
                <w:color w:val="002060"/>
                <w:spacing w:val="-4"/>
                <w:lang w:val="sr-Cyrl-CS"/>
              </w:rPr>
            </w:pPr>
            <w:r w:rsidRPr="0007074F">
              <w:rPr>
                <w:rFonts w:ascii="Calibri" w:eastAsia="Calibri" w:hAnsi="Calibri" w:cs="Times New Roman"/>
                <w:b/>
                <w:bCs/>
                <w:color w:val="002060"/>
                <w:spacing w:val="-4"/>
                <w:lang w:val="sr-Cyrl-CS"/>
              </w:rPr>
              <w:lastRenderedPageBreak/>
              <w:t xml:space="preserve">Преглед кретања цене и приноса на </w:t>
            </w:r>
            <w:r w:rsidRPr="0007074F">
              <w:rPr>
                <w:rFonts w:ascii="Calibri" w:eastAsia="Calibri" w:hAnsi="Calibri" w:cs="Times New Roman"/>
                <w:b/>
                <w:bCs/>
                <w:color w:val="002060"/>
                <w:spacing w:val="-4"/>
                <w:lang w:val="sr-Cyrl-CS"/>
              </w:rPr>
              <w:br w:type="textWrapping" w:clear="all"/>
              <w:t>еврообвезницу Србија (EB 2027 / 3,125%)</w:t>
            </w:r>
          </w:p>
          <w:p w14:paraId="1C59E325" w14:textId="77777777" w:rsidR="00181BDB" w:rsidRPr="0007074F" w:rsidRDefault="00181BDB" w:rsidP="00523B7B">
            <w:pPr>
              <w:jc w:val="center"/>
              <w:rPr>
                <w:color w:val="002060"/>
                <w:lang w:val="sr-Cyrl-CS"/>
              </w:rPr>
            </w:pPr>
            <w:r w:rsidRPr="0007074F">
              <w:rPr>
                <w:noProof/>
              </w:rPr>
              <w:drawing>
                <wp:inline distT="0" distB="0" distL="0" distR="0" wp14:anchorId="5D644A3F" wp14:editId="6B814453">
                  <wp:extent cx="2747668" cy="22479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5"/>
                          <a:srcRect l="39193" t="34188" r="39056" b="33618"/>
                          <a:stretch/>
                        </pic:blipFill>
                        <pic:spPr bwMode="auto">
                          <a:xfrm>
                            <a:off x="0" y="0"/>
                            <a:ext cx="2820130" cy="2307182"/>
                          </a:xfrm>
                          <a:prstGeom prst="rect">
                            <a:avLst/>
                          </a:prstGeom>
                          <a:ln>
                            <a:noFill/>
                          </a:ln>
                          <a:extLst>
                            <a:ext uri="{53640926-AAD7-44D8-BBD7-CCE9431645EC}">
                              <a14:shadowObscured xmlns:a14="http://schemas.microsoft.com/office/drawing/2010/main"/>
                            </a:ext>
                          </a:extLst>
                        </pic:spPr>
                      </pic:pic>
                    </a:graphicData>
                  </a:graphic>
                </wp:inline>
              </w:drawing>
            </w:r>
          </w:p>
        </w:tc>
        <w:tc>
          <w:tcPr>
            <w:tcW w:w="4726" w:type="dxa"/>
            <w:tcMar>
              <w:left w:w="57" w:type="dxa"/>
              <w:right w:w="57" w:type="dxa"/>
            </w:tcMar>
          </w:tcPr>
          <w:p w14:paraId="3F6BB252" w14:textId="77777777" w:rsidR="00181BDB" w:rsidRPr="0007074F" w:rsidRDefault="00181BDB" w:rsidP="00523B7B">
            <w:pPr>
              <w:spacing w:line="256" w:lineRule="auto"/>
              <w:jc w:val="center"/>
              <w:rPr>
                <w:rFonts w:ascii="Calibri" w:eastAsia="Calibri" w:hAnsi="Calibri" w:cs="Times New Roman"/>
                <w:b/>
                <w:bCs/>
                <w:color w:val="002060"/>
                <w:spacing w:val="-4"/>
                <w:lang w:val="sr-Cyrl-CS"/>
              </w:rPr>
            </w:pPr>
            <w:r w:rsidRPr="0007074F">
              <w:rPr>
                <w:rFonts w:ascii="Calibri" w:eastAsia="Calibri" w:hAnsi="Calibri" w:cs="Times New Roman"/>
                <w:b/>
                <w:bCs/>
                <w:color w:val="002060"/>
                <w:spacing w:val="-4"/>
                <w:lang w:val="sr-Cyrl-CS"/>
              </w:rPr>
              <w:t xml:space="preserve">Преглед кретања цене и приноса на </w:t>
            </w:r>
            <w:r w:rsidRPr="0007074F">
              <w:rPr>
                <w:rFonts w:ascii="Calibri" w:eastAsia="Calibri" w:hAnsi="Calibri" w:cs="Times New Roman"/>
                <w:b/>
                <w:bCs/>
                <w:color w:val="002060"/>
                <w:spacing w:val="-4"/>
                <w:lang w:val="sr-Cyrl-CS"/>
              </w:rPr>
              <w:br w:type="textWrapping" w:clear="all"/>
              <w:t>еврообвезницу Србија (EB 2028 / 1,000%)</w:t>
            </w:r>
          </w:p>
          <w:p w14:paraId="21A4D041" w14:textId="77777777" w:rsidR="00181BDB" w:rsidRPr="0007074F" w:rsidRDefault="00181BDB" w:rsidP="00523B7B">
            <w:pPr>
              <w:jc w:val="center"/>
              <w:rPr>
                <w:color w:val="002060"/>
                <w:lang w:val="sr-Cyrl-CS"/>
              </w:rPr>
            </w:pPr>
            <w:r w:rsidRPr="0007074F">
              <w:rPr>
                <w:noProof/>
                <w:color w:val="002060"/>
              </w:rPr>
              <w:drawing>
                <wp:inline distT="0" distB="0" distL="0" distR="0" wp14:anchorId="59272481" wp14:editId="4DB0488C">
                  <wp:extent cx="2746800" cy="2294705"/>
                  <wp:effectExtent l="0" t="0" r="0" b="0"/>
                  <wp:docPr id="71" name="Picture 71" descr="C:\Users\Admin\Desktop\Razni dokumenti\Za Fiskalnu Strategiju\2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Razni dokumenti\Za Fiskalnu Strategiju\2028.jpg"/>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2746800" cy="2294705"/>
                          </a:xfrm>
                          <a:prstGeom prst="rect">
                            <a:avLst/>
                          </a:prstGeom>
                          <a:noFill/>
                          <a:ln>
                            <a:noFill/>
                          </a:ln>
                        </pic:spPr>
                      </pic:pic>
                    </a:graphicData>
                  </a:graphic>
                </wp:inline>
              </w:drawing>
            </w:r>
          </w:p>
        </w:tc>
      </w:tr>
      <w:tr w:rsidR="00181BDB" w:rsidRPr="0007074F" w14:paraId="50793273" w14:textId="77777777" w:rsidTr="00523B7B">
        <w:trPr>
          <w:trHeight w:val="4374"/>
        </w:trPr>
        <w:tc>
          <w:tcPr>
            <w:tcW w:w="4708" w:type="dxa"/>
            <w:tcMar>
              <w:left w:w="57" w:type="dxa"/>
              <w:right w:w="57" w:type="dxa"/>
            </w:tcMar>
          </w:tcPr>
          <w:p w14:paraId="0FC95776" w14:textId="77777777" w:rsidR="00181BDB" w:rsidRPr="0007074F" w:rsidRDefault="00181BDB" w:rsidP="00523B7B">
            <w:pPr>
              <w:spacing w:before="60" w:line="257" w:lineRule="auto"/>
              <w:jc w:val="center"/>
              <w:rPr>
                <w:rFonts w:ascii="Calibri" w:eastAsia="Calibri" w:hAnsi="Calibri" w:cs="Times New Roman"/>
                <w:b/>
                <w:bCs/>
                <w:color w:val="002060"/>
                <w:spacing w:val="-4"/>
                <w:lang w:val="sr-Cyrl-CS"/>
              </w:rPr>
            </w:pPr>
            <w:r w:rsidRPr="0007074F">
              <w:rPr>
                <w:rFonts w:ascii="Calibri" w:eastAsia="Calibri" w:hAnsi="Calibri" w:cs="Times New Roman"/>
                <w:b/>
                <w:bCs/>
                <w:color w:val="002060"/>
                <w:spacing w:val="-4"/>
                <w:lang w:val="sr-Cyrl-CS"/>
              </w:rPr>
              <w:t xml:space="preserve">Преглед кретања цене и приноса на </w:t>
            </w:r>
            <w:r w:rsidRPr="0007074F">
              <w:rPr>
                <w:rFonts w:ascii="Calibri" w:eastAsia="Calibri" w:hAnsi="Calibri" w:cs="Times New Roman"/>
                <w:b/>
                <w:bCs/>
                <w:color w:val="002060"/>
                <w:spacing w:val="-4"/>
                <w:lang w:val="sr-Cyrl-CS"/>
              </w:rPr>
              <w:br w:type="textWrapping" w:clear="all"/>
              <w:t>еврообвезницу Србија (EB 2029 / 1,500%)</w:t>
            </w:r>
          </w:p>
          <w:p w14:paraId="3A2CFED8" w14:textId="77777777" w:rsidR="00181BDB" w:rsidRPr="0007074F" w:rsidRDefault="00181BDB" w:rsidP="00523B7B">
            <w:pPr>
              <w:spacing w:before="60"/>
              <w:jc w:val="center"/>
              <w:rPr>
                <w:color w:val="002060"/>
                <w:lang w:val="sr-Cyrl-CS"/>
              </w:rPr>
            </w:pPr>
            <w:r w:rsidRPr="0007074F">
              <w:rPr>
                <w:noProof/>
                <w:color w:val="002060"/>
              </w:rPr>
              <w:drawing>
                <wp:inline distT="0" distB="0" distL="0" distR="0" wp14:anchorId="7EDBFAF9" wp14:editId="583813AC">
                  <wp:extent cx="2818800" cy="2361864"/>
                  <wp:effectExtent l="0" t="0" r="635" b="635"/>
                  <wp:docPr id="72" name="Picture 72" descr="C:\Users\Admin\Desktop\Razni dokumenti\Za Fiskalnu Strategiju\2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Razni dokumenti\Za Fiskalnu Strategiju\2029.jpg"/>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818800" cy="2361864"/>
                          </a:xfrm>
                          <a:prstGeom prst="rect">
                            <a:avLst/>
                          </a:prstGeom>
                          <a:noFill/>
                          <a:ln>
                            <a:noFill/>
                          </a:ln>
                        </pic:spPr>
                      </pic:pic>
                    </a:graphicData>
                  </a:graphic>
                </wp:inline>
              </w:drawing>
            </w:r>
          </w:p>
        </w:tc>
        <w:tc>
          <w:tcPr>
            <w:tcW w:w="4726" w:type="dxa"/>
            <w:tcMar>
              <w:left w:w="57" w:type="dxa"/>
              <w:right w:w="57" w:type="dxa"/>
            </w:tcMar>
          </w:tcPr>
          <w:p w14:paraId="6B39680D" w14:textId="77777777" w:rsidR="00181BDB" w:rsidRPr="0007074F" w:rsidRDefault="00181BDB" w:rsidP="00523B7B">
            <w:pPr>
              <w:spacing w:before="60" w:line="257" w:lineRule="auto"/>
              <w:jc w:val="center"/>
              <w:rPr>
                <w:rFonts w:ascii="Calibri" w:eastAsia="Calibri" w:hAnsi="Calibri" w:cs="Times New Roman"/>
                <w:b/>
                <w:bCs/>
                <w:color w:val="002060"/>
                <w:spacing w:val="-4"/>
                <w:lang w:val="sr-Cyrl-CS"/>
              </w:rPr>
            </w:pPr>
            <w:r w:rsidRPr="0007074F">
              <w:rPr>
                <w:rFonts w:ascii="Calibri" w:eastAsia="Calibri" w:hAnsi="Calibri" w:cs="Times New Roman"/>
                <w:b/>
                <w:bCs/>
                <w:color w:val="002060"/>
                <w:spacing w:val="-4"/>
                <w:lang w:val="sr-Cyrl-CS"/>
              </w:rPr>
              <w:t xml:space="preserve">Преглед кретања цене и приноса на </w:t>
            </w:r>
            <w:r w:rsidRPr="0007074F">
              <w:rPr>
                <w:rFonts w:ascii="Calibri" w:eastAsia="Calibri" w:hAnsi="Calibri" w:cs="Times New Roman"/>
                <w:b/>
                <w:bCs/>
                <w:color w:val="002060"/>
                <w:spacing w:val="-4"/>
                <w:lang w:val="sr-Cyrl-CS"/>
              </w:rPr>
              <w:br w:type="textWrapping" w:clear="all"/>
              <w:t>еврообвезницу Србија (EB 2030 / 2,125%)</w:t>
            </w:r>
          </w:p>
          <w:p w14:paraId="1459B4C9" w14:textId="77777777" w:rsidR="00181BDB" w:rsidRPr="0007074F" w:rsidRDefault="00181BDB" w:rsidP="00523B7B">
            <w:pPr>
              <w:spacing w:before="60" w:after="60"/>
              <w:jc w:val="center"/>
              <w:rPr>
                <w:color w:val="002060"/>
                <w:lang w:val="sr-Cyrl-CS"/>
              </w:rPr>
            </w:pPr>
            <w:r w:rsidRPr="0007074F">
              <w:rPr>
                <w:noProof/>
                <w:color w:val="002060"/>
              </w:rPr>
              <w:drawing>
                <wp:inline distT="0" distB="0" distL="0" distR="0" wp14:anchorId="7A579901" wp14:editId="0D95AE4F">
                  <wp:extent cx="2818485" cy="2361600"/>
                  <wp:effectExtent l="0" t="0" r="1270" b="635"/>
                  <wp:docPr id="73" name="Picture 73" descr="C:\Users\Admin\Desktop\Razni dokumenti\Za Fiskalnu Strategiju\2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Razni dokumenti\Za Fiskalnu Strategiju\2030.jpg"/>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818485" cy="2361600"/>
                          </a:xfrm>
                          <a:prstGeom prst="rect">
                            <a:avLst/>
                          </a:prstGeom>
                          <a:noFill/>
                          <a:ln>
                            <a:noFill/>
                          </a:ln>
                        </pic:spPr>
                      </pic:pic>
                    </a:graphicData>
                  </a:graphic>
                </wp:inline>
              </w:drawing>
            </w:r>
          </w:p>
        </w:tc>
      </w:tr>
      <w:tr w:rsidR="00181BDB" w:rsidRPr="0007074F" w14:paraId="65588FA1" w14:textId="77777777" w:rsidTr="00523B7B">
        <w:trPr>
          <w:trHeight w:val="3944"/>
        </w:trPr>
        <w:tc>
          <w:tcPr>
            <w:tcW w:w="4708" w:type="dxa"/>
            <w:tcMar>
              <w:left w:w="57" w:type="dxa"/>
              <w:right w:w="57" w:type="dxa"/>
            </w:tcMar>
          </w:tcPr>
          <w:p w14:paraId="54913ECB" w14:textId="77777777" w:rsidR="00181BDB" w:rsidRPr="0007074F" w:rsidRDefault="00181BDB" w:rsidP="00523B7B">
            <w:pPr>
              <w:spacing w:before="60" w:line="257" w:lineRule="auto"/>
              <w:jc w:val="center"/>
              <w:rPr>
                <w:rFonts w:ascii="Calibri" w:eastAsia="Calibri" w:hAnsi="Calibri" w:cs="Times New Roman"/>
                <w:b/>
                <w:bCs/>
                <w:color w:val="002060"/>
                <w:spacing w:val="-4"/>
                <w:lang w:val="sr-Cyrl-CS"/>
              </w:rPr>
            </w:pPr>
            <w:r w:rsidRPr="0007074F">
              <w:rPr>
                <w:rFonts w:ascii="Calibri" w:eastAsia="Calibri" w:hAnsi="Calibri" w:cs="Times New Roman"/>
                <w:b/>
                <w:bCs/>
                <w:color w:val="002060"/>
                <w:spacing w:val="-4"/>
                <w:lang w:val="sr-Cyrl-CS"/>
              </w:rPr>
              <w:t xml:space="preserve">Преглед кретања цене и приноса на </w:t>
            </w:r>
            <w:r w:rsidRPr="0007074F">
              <w:rPr>
                <w:rFonts w:ascii="Calibri" w:eastAsia="Calibri" w:hAnsi="Calibri" w:cs="Times New Roman"/>
                <w:b/>
                <w:bCs/>
                <w:color w:val="002060"/>
                <w:spacing w:val="-4"/>
                <w:lang w:val="sr-Cyrl-CS"/>
              </w:rPr>
              <w:br w:type="textWrapping" w:clear="all"/>
              <w:t>еврообвезницу Срbija (EB 2033 / 1,650%)</w:t>
            </w:r>
          </w:p>
          <w:p w14:paraId="6322C37E" w14:textId="77777777" w:rsidR="00181BDB" w:rsidRPr="0007074F" w:rsidRDefault="00181BDB" w:rsidP="00523B7B">
            <w:pPr>
              <w:jc w:val="center"/>
              <w:rPr>
                <w:color w:val="002060"/>
                <w:lang w:val="sr-Cyrl-CS"/>
              </w:rPr>
            </w:pPr>
            <w:r w:rsidRPr="0007074F">
              <w:rPr>
                <w:noProof/>
                <w:color w:val="002060"/>
              </w:rPr>
              <w:drawing>
                <wp:inline distT="0" distB="0" distL="0" distR="0" wp14:anchorId="424CB263" wp14:editId="136467D2">
                  <wp:extent cx="2887200" cy="2414593"/>
                  <wp:effectExtent l="0" t="0" r="8890" b="5080"/>
                  <wp:docPr id="74" name="Picture 74" descr="C:\Users\Admin\Desktop\Razni dokumenti\Za Fiskalnu Strategiju\2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Razni dokumenti\Za Fiskalnu Strategiju\2033.jpg"/>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887200" cy="2414593"/>
                          </a:xfrm>
                          <a:prstGeom prst="rect">
                            <a:avLst/>
                          </a:prstGeom>
                          <a:noFill/>
                          <a:ln>
                            <a:noFill/>
                          </a:ln>
                        </pic:spPr>
                      </pic:pic>
                    </a:graphicData>
                  </a:graphic>
                </wp:inline>
              </w:drawing>
            </w:r>
          </w:p>
        </w:tc>
        <w:tc>
          <w:tcPr>
            <w:tcW w:w="4726" w:type="dxa"/>
            <w:tcMar>
              <w:left w:w="57" w:type="dxa"/>
              <w:right w:w="57" w:type="dxa"/>
            </w:tcMar>
          </w:tcPr>
          <w:p w14:paraId="47B29922" w14:textId="77777777" w:rsidR="00181BDB" w:rsidRPr="0007074F" w:rsidRDefault="00181BDB" w:rsidP="00523B7B">
            <w:pPr>
              <w:spacing w:before="60" w:line="257" w:lineRule="auto"/>
              <w:jc w:val="center"/>
              <w:rPr>
                <w:rFonts w:ascii="Calibri" w:eastAsia="Calibri" w:hAnsi="Calibri" w:cs="Times New Roman"/>
                <w:b/>
                <w:bCs/>
                <w:color w:val="002060"/>
                <w:spacing w:val="-4"/>
                <w:lang w:val="sr-Cyrl-CS"/>
              </w:rPr>
            </w:pPr>
            <w:r w:rsidRPr="0007074F">
              <w:rPr>
                <w:rFonts w:ascii="Calibri" w:eastAsia="Calibri" w:hAnsi="Calibri" w:cs="Times New Roman"/>
                <w:b/>
                <w:bCs/>
                <w:color w:val="002060"/>
                <w:spacing w:val="-4"/>
                <w:lang w:val="sr-Cyrl-CS"/>
              </w:rPr>
              <w:t xml:space="preserve">Преглед кретања цене и приноса на </w:t>
            </w:r>
            <w:r w:rsidRPr="0007074F">
              <w:rPr>
                <w:rFonts w:ascii="Calibri" w:eastAsia="Calibri" w:hAnsi="Calibri" w:cs="Times New Roman"/>
                <w:b/>
                <w:bCs/>
                <w:color w:val="002060"/>
                <w:spacing w:val="-4"/>
                <w:lang w:val="sr-Cyrl-CS"/>
              </w:rPr>
              <w:br w:type="textWrapping" w:clear="all"/>
              <w:t>еврообвезницу Србија (EB 2036 / 2,050%)</w:t>
            </w:r>
          </w:p>
          <w:p w14:paraId="29A97775" w14:textId="77777777" w:rsidR="00181BDB" w:rsidRPr="0007074F" w:rsidRDefault="00181BDB" w:rsidP="00523B7B">
            <w:pPr>
              <w:spacing w:before="60"/>
              <w:jc w:val="center"/>
              <w:rPr>
                <w:color w:val="002060"/>
                <w:lang w:val="sr-Cyrl-CS" w:eastAsia="en-GB"/>
              </w:rPr>
            </w:pPr>
            <w:r w:rsidRPr="0007074F">
              <w:rPr>
                <w:noProof/>
                <w:color w:val="002060"/>
              </w:rPr>
              <w:drawing>
                <wp:inline distT="0" distB="0" distL="0" distR="0" wp14:anchorId="0DEF8D54" wp14:editId="3A0D7F2C">
                  <wp:extent cx="2818486" cy="2361600"/>
                  <wp:effectExtent l="0" t="0" r="1270" b="635"/>
                  <wp:docPr id="75" name="Picture 75" descr="C:\Users\Admin\Desktop\Razni dokumenti\Za Fiskalnu Strategiju\2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Razni dokumenti\Za Fiskalnu Strategiju\2036.jpg"/>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2818486" cy="2361600"/>
                          </a:xfrm>
                          <a:prstGeom prst="rect">
                            <a:avLst/>
                          </a:prstGeom>
                          <a:noFill/>
                          <a:ln>
                            <a:noFill/>
                          </a:ln>
                        </pic:spPr>
                      </pic:pic>
                    </a:graphicData>
                  </a:graphic>
                </wp:inline>
              </w:drawing>
            </w:r>
          </w:p>
        </w:tc>
      </w:tr>
    </w:tbl>
    <w:tbl>
      <w:tblPr>
        <w:tblStyle w:val="TableGrid621"/>
        <w:tblpPr w:leftFromText="180" w:rightFromText="180" w:vertAnchor="text" w:tblpY="-359"/>
        <w:tblW w:w="94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8"/>
        <w:gridCol w:w="4726"/>
      </w:tblGrid>
      <w:tr w:rsidR="00181BDB" w:rsidRPr="0007074F" w14:paraId="4CA86B98" w14:textId="77777777" w:rsidTr="00523B7B">
        <w:trPr>
          <w:trHeight w:val="3044"/>
        </w:trPr>
        <w:tc>
          <w:tcPr>
            <w:tcW w:w="4708" w:type="dxa"/>
            <w:tcMar>
              <w:left w:w="57" w:type="dxa"/>
              <w:right w:w="57" w:type="dxa"/>
            </w:tcMar>
          </w:tcPr>
          <w:p w14:paraId="118B024F" w14:textId="77777777" w:rsidR="00181BDB" w:rsidRPr="0007074F" w:rsidRDefault="00181BDB" w:rsidP="00523B7B">
            <w:pPr>
              <w:spacing w:line="256" w:lineRule="auto"/>
              <w:jc w:val="center"/>
              <w:rPr>
                <w:rFonts w:ascii="Calibri" w:eastAsia="Calibri" w:hAnsi="Calibri" w:cs="Times New Roman"/>
                <w:b/>
                <w:bCs/>
                <w:color w:val="002060"/>
                <w:spacing w:val="-4"/>
                <w:lang w:val="sr-Cyrl-CS"/>
              </w:rPr>
            </w:pPr>
            <w:r w:rsidRPr="0007074F">
              <w:rPr>
                <w:rFonts w:ascii="Calibri" w:eastAsia="Calibri" w:hAnsi="Calibri" w:cs="Times New Roman"/>
                <w:b/>
                <w:bCs/>
                <w:color w:val="002060"/>
                <w:spacing w:val="-4"/>
                <w:lang w:val="sr-Cyrl-CS"/>
              </w:rPr>
              <w:lastRenderedPageBreak/>
              <w:t xml:space="preserve">Преглед кретања цене и приноса на </w:t>
            </w:r>
            <w:r w:rsidRPr="0007074F">
              <w:rPr>
                <w:rFonts w:ascii="Calibri" w:eastAsia="Calibri" w:hAnsi="Calibri" w:cs="Times New Roman"/>
                <w:b/>
                <w:bCs/>
                <w:color w:val="002060"/>
                <w:spacing w:val="-4"/>
                <w:lang w:val="sr-Cyrl-CS"/>
              </w:rPr>
              <w:br w:type="textWrapping" w:clear="all"/>
              <w:t>еврообвезницу Србија (EB 2028 / 6,250%)</w:t>
            </w:r>
          </w:p>
          <w:p w14:paraId="1CE45CFB" w14:textId="77777777" w:rsidR="00181BDB" w:rsidRPr="0007074F" w:rsidRDefault="00181BDB" w:rsidP="00523B7B">
            <w:pPr>
              <w:jc w:val="center"/>
              <w:rPr>
                <w:color w:val="002060"/>
                <w:lang w:val="sr-Cyrl-CS"/>
              </w:rPr>
            </w:pPr>
            <w:r w:rsidRPr="0007074F">
              <w:rPr>
                <w:noProof/>
              </w:rPr>
              <w:drawing>
                <wp:inline distT="0" distB="0" distL="0" distR="0" wp14:anchorId="32D4828B" wp14:editId="1DA0D3E2">
                  <wp:extent cx="2652533" cy="2164715"/>
                  <wp:effectExtent l="0" t="0" r="0" b="698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1"/>
                          <a:srcRect l="37544" t="31685" r="37372" b="35561"/>
                          <a:stretch/>
                        </pic:blipFill>
                        <pic:spPr bwMode="auto">
                          <a:xfrm>
                            <a:off x="0" y="0"/>
                            <a:ext cx="2669128" cy="2178258"/>
                          </a:xfrm>
                          <a:prstGeom prst="rect">
                            <a:avLst/>
                          </a:prstGeom>
                          <a:ln>
                            <a:noFill/>
                          </a:ln>
                          <a:extLst>
                            <a:ext uri="{53640926-AAD7-44D8-BBD7-CCE9431645EC}">
                              <a14:shadowObscured xmlns:a14="http://schemas.microsoft.com/office/drawing/2010/main"/>
                            </a:ext>
                          </a:extLst>
                        </pic:spPr>
                      </pic:pic>
                    </a:graphicData>
                  </a:graphic>
                </wp:inline>
              </w:drawing>
            </w:r>
          </w:p>
        </w:tc>
        <w:tc>
          <w:tcPr>
            <w:tcW w:w="4726" w:type="dxa"/>
            <w:tcMar>
              <w:left w:w="57" w:type="dxa"/>
              <w:right w:w="57" w:type="dxa"/>
            </w:tcMar>
          </w:tcPr>
          <w:p w14:paraId="7FCFB936" w14:textId="77777777" w:rsidR="00181BDB" w:rsidRPr="0007074F" w:rsidRDefault="00181BDB" w:rsidP="00523B7B">
            <w:pPr>
              <w:spacing w:line="256" w:lineRule="auto"/>
              <w:jc w:val="center"/>
              <w:rPr>
                <w:rFonts w:ascii="Calibri" w:eastAsia="Calibri" w:hAnsi="Calibri" w:cs="Times New Roman"/>
                <w:b/>
                <w:bCs/>
                <w:color w:val="002060"/>
                <w:spacing w:val="-4"/>
                <w:lang w:val="sr-Cyrl-CS"/>
              </w:rPr>
            </w:pPr>
            <w:r w:rsidRPr="0007074F">
              <w:rPr>
                <w:rFonts w:ascii="Calibri" w:eastAsia="Calibri" w:hAnsi="Calibri" w:cs="Times New Roman"/>
                <w:b/>
                <w:bCs/>
                <w:color w:val="002060"/>
                <w:spacing w:val="-4"/>
                <w:lang w:val="sr-Cyrl-CS"/>
              </w:rPr>
              <w:t xml:space="preserve">Преглед кретања цене и приноса на </w:t>
            </w:r>
            <w:r w:rsidRPr="0007074F">
              <w:rPr>
                <w:rFonts w:ascii="Calibri" w:eastAsia="Calibri" w:hAnsi="Calibri" w:cs="Times New Roman"/>
                <w:b/>
                <w:bCs/>
                <w:color w:val="002060"/>
                <w:spacing w:val="-4"/>
                <w:lang w:val="sr-Cyrl-CS"/>
              </w:rPr>
              <w:br w:type="textWrapping" w:clear="all"/>
              <w:t>еврообвезницу Србија (EB 2033 / 6,500%)</w:t>
            </w:r>
          </w:p>
          <w:p w14:paraId="5F013704" w14:textId="77777777" w:rsidR="00181BDB" w:rsidRPr="0007074F" w:rsidRDefault="00181BDB" w:rsidP="00523B7B">
            <w:pPr>
              <w:jc w:val="center"/>
              <w:rPr>
                <w:color w:val="002060"/>
                <w:lang w:val="sr-Cyrl-CS"/>
              </w:rPr>
            </w:pPr>
            <w:r w:rsidRPr="0007074F">
              <w:rPr>
                <w:noProof/>
              </w:rPr>
              <w:drawing>
                <wp:inline distT="0" distB="0" distL="0" distR="0" wp14:anchorId="3DED4038" wp14:editId="51C58A3F">
                  <wp:extent cx="2581374" cy="2164715"/>
                  <wp:effectExtent l="0" t="0" r="9525" b="698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2"/>
                          <a:srcRect l="37454" t="31210" r="37664" b="35404"/>
                          <a:stretch/>
                        </pic:blipFill>
                        <pic:spPr bwMode="auto">
                          <a:xfrm>
                            <a:off x="0" y="0"/>
                            <a:ext cx="2597385" cy="2178141"/>
                          </a:xfrm>
                          <a:prstGeom prst="rect">
                            <a:avLst/>
                          </a:prstGeom>
                          <a:ln>
                            <a:noFill/>
                          </a:ln>
                          <a:extLst>
                            <a:ext uri="{53640926-AAD7-44D8-BBD7-CCE9431645EC}">
                              <a14:shadowObscured xmlns:a14="http://schemas.microsoft.com/office/drawing/2010/main"/>
                            </a:ext>
                          </a:extLst>
                        </pic:spPr>
                      </pic:pic>
                    </a:graphicData>
                  </a:graphic>
                </wp:inline>
              </w:drawing>
            </w:r>
          </w:p>
        </w:tc>
      </w:tr>
    </w:tbl>
    <w:p w14:paraId="74348992" w14:textId="77777777" w:rsidR="00181BDB" w:rsidRPr="0007074F" w:rsidRDefault="00181BDB" w:rsidP="00523B7B">
      <w:pPr>
        <w:rPr>
          <w:lang w:val="sr-Cyrl-CS"/>
        </w:rPr>
      </w:pPr>
    </w:p>
    <w:p w14:paraId="1E8EA0B3" w14:textId="77777777" w:rsidR="00181BDB" w:rsidRPr="0007074F" w:rsidRDefault="00181BDB" w:rsidP="00C91F83">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Табела 23. Пројекције отплате камата и главница до 2026. године</w:t>
      </w:r>
      <w:r w:rsidRPr="0007074F">
        <w:rPr>
          <w:rFonts w:ascii="Calibri" w:eastAsia="Calibri" w:hAnsi="Calibri" w:cs="Times New Roman"/>
          <w:color w:val="002060"/>
          <w:lang w:val="sr-Cyrl-CS"/>
        </w:rPr>
        <w:t xml:space="preserve"> </w:t>
      </w:r>
      <w:r w:rsidRPr="0007074F">
        <w:rPr>
          <w:rFonts w:ascii="Calibri" w:eastAsia="Calibri" w:hAnsi="Calibri" w:cs="Times New Roman"/>
          <w:b/>
          <w:color w:val="002060"/>
          <w:lang w:val="sr-Cyrl-CS"/>
        </w:rPr>
        <w:t>(млрд динара)</w:t>
      </w:r>
    </w:p>
    <w:tbl>
      <w:tblPr>
        <w:tblStyle w:val="LightShading-Accent1222"/>
        <w:tblW w:w="5000" w:type="pct"/>
        <w:tblInd w:w="0" w:type="dxa"/>
        <w:tblLook w:val="0420" w:firstRow="1" w:lastRow="0" w:firstColumn="0" w:lastColumn="0" w:noHBand="0" w:noVBand="1"/>
      </w:tblPr>
      <w:tblGrid>
        <w:gridCol w:w="4937"/>
        <w:gridCol w:w="1105"/>
        <w:gridCol w:w="1106"/>
        <w:gridCol w:w="1106"/>
        <w:gridCol w:w="1106"/>
      </w:tblGrid>
      <w:tr w:rsidR="00181BDB" w:rsidRPr="0007074F" w14:paraId="0CE2D414" w14:textId="77777777" w:rsidTr="00C91F83">
        <w:trPr>
          <w:cnfStyle w:val="100000000000" w:firstRow="1" w:lastRow="0" w:firstColumn="0" w:lastColumn="0" w:oddVBand="0" w:evenVBand="0" w:oddHBand="0" w:evenHBand="0" w:firstRowFirstColumn="0" w:firstRowLastColumn="0" w:lastRowFirstColumn="0" w:lastRowLastColumn="0"/>
          <w:trHeight w:val="226"/>
        </w:trPr>
        <w:tc>
          <w:tcPr>
            <w:tcW w:w="2637" w:type="pct"/>
            <w:tcBorders>
              <w:top w:val="single" w:sz="4" w:space="0" w:color="002060"/>
              <w:bottom w:val="single" w:sz="4" w:space="0" w:color="FFFFFF" w:themeColor="background1"/>
            </w:tcBorders>
            <w:noWrap/>
            <w:hideMark/>
          </w:tcPr>
          <w:p w14:paraId="60B7B3D7" w14:textId="77777777" w:rsidR="00181BDB" w:rsidRPr="0007074F" w:rsidRDefault="00181BDB" w:rsidP="00523B7B">
            <w:pPr>
              <w:rPr>
                <w:rFonts w:ascii="Calibri" w:eastAsia="Times New Roman" w:hAnsi="Calibri" w:cs="Calibri"/>
                <w:color w:val="002060"/>
                <w:sz w:val="18"/>
                <w:szCs w:val="18"/>
                <w:lang w:val="sr-Cyrl-CS" w:eastAsia="ja-JP"/>
              </w:rPr>
            </w:pPr>
            <w:r w:rsidRPr="0007074F">
              <w:rPr>
                <w:rFonts w:ascii="Calibri" w:eastAsia="Times New Roman" w:hAnsi="Calibri" w:cs="Calibri"/>
                <w:color w:val="002060"/>
                <w:sz w:val="18"/>
                <w:szCs w:val="18"/>
                <w:lang w:val="sr-Cyrl-CS" w:eastAsia="ja-JP"/>
              </w:rPr>
              <w:t> </w:t>
            </w:r>
          </w:p>
        </w:tc>
        <w:tc>
          <w:tcPr>
            <w:tcW w:w="590" w:type="pct"/>
            <w:tcBorders>
              <w:top w:val="single" w:sz="4" w:space="0" w:color="002060"/>
              <w:bottom w:val="single" w:sz="4" w:space="0" w:color="002060"/>
            </w:tcBorders>
            <w:noWrap/>
            <w:hideMark/>
          </w:tcPr>
          <w:p w14:paraId="027B1D85"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2023 п</w:t>
            </w:r>
          </w:p>
        </w:tc>
        <w:tc>
          <w:tcPr>
            <w:tcW w:w="591" w:type="pct"/>
            <w:tcBorders>
              <w:top w:val="single" w:sz="4" w:space="0" w:color="002060"/>
              <w:bottom w:val="single" w:sz="4" w:space="0" w:color="002060"/>
            </w:tcBorders>
            <w:noWrap/>
            <w:hideMark/>
          </w:tcPr>
          <w:p w14:paraId="482825B2"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2024 п</w:t>
            </w:r>
          </w:p>
        </w:tc>
        <w:tc>
          <w:tcPr>
            <w:tcW w:w="591" w:type="pct"/>
            <w:tcBorders>
              <w:top w:val="single" w:sz="4" w:space="0" w:color="002060"/>
              <w:bottom w:val="single" w:sz="4" w:space="0" w:color="002060"/>
            </w:tcBorders>
            <w:noWrap/>
            <w:hideMark/>
          </w:tcPr>
          <w:p w14:paraId="473B0837"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2025 п</w:t>
            </w:r>
          </w:p>
        </w:tc>
        <w:tc>
          <w:tcPr>
            <w:tcW w:w="591" w:type="pct"/>
            <w:tcBorders>
              <w:top w:val="single" w:sz="4" w:space="0" w:color="002060"/>
              <w:bottom w:val="single" w:sz="4" w:space="0" w:color="002060"/>
            </w:tcBorders>
            <w:noWrap/>
            <w:hideMark/>
          </w:tcPr>
          <w:p w14:paraId="3EB6FBB3"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2026 п</w:t>
            </w:r>
          </w:p>
        </w:tc>
      </w:tr>
      <w:tr w:rsidR="00181BDB" w:rsidRPr="0007074F" w14:paraId="65D32123" w14:textId="77777777" w:rsidTr="00C91F83">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single" w:sz="4" w:space="0" w:color="FFFFFF" w:themeColor="background1"/>
              <w:bottom w:val="nil"/>
            </w:tcBorders>
            <w:shd w:val="clear" w:color="auto" w:fill="E7E6E6" w:themeFill="background2"/>
            <w:noWrap/>
            <w:hideMark/>
          </w:tcPr>
          <w:p w14:paraId="74EEB2C4"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bCs/>
                <w:color w:val="002060"/>
                <w:sz w:val="18"/>
                <w:szCs w:val="18"/>
                <w:lang w:val="sr-Cyrl-CS"/>
              </w:rPr>
              <w:t>Главница*</w:t>
            </w:r>
          </w:p>
        </w:tc>
        <w:tc>
          <w:tcPr>
            <w:tcW w:w="590" w:type="pct"/>
            <w:tcBorders>
              <w:top w:val="single" w:sz="4" w:space="0" w:color="002060"/>
              <w:bottom w:val="nil"/>
            </w:tcBorders>
            <w:shd w:val="clear" w:color="auto" w:fill="E7E6E6" w:themeFill="background2"/>
            <w:noWrap/>
            <w:hideMark/>
          </w:tcPr>
          <w:p w14:paraId="044D0F8E"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655,1</w:t>
            </w:r>
          </w:p>
        </w:tc>
        <w:tc>
          <w:tcPr>
            <w:tcW w:w="591" w:type="pct"/>
            <w:tcBorders>
              <w:top w:val="single" w:sz="4" w:space="0" w:color="002060"/>
              <w:bottom w:val="nil"/>
            </w:tcBorders>
            <w:shd w:val="clear" w:color="auto" w:fill="E7E6E6" w:themeFill="background2"/>
            <w:noWrap/>
            <w:hideMark/>
          </w:tcPr>
          <w:p w14:paraId="1B5A61ED"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626,5</w:t>
            </w:r>
          </w:p>
        </w:tc>
        <w:tc>
          <w:tcPr>
            <w:tcW w:w="591" w:type="pct"/>
            <w:tcBorders>
              <w:top w:val="single" w:sz="4" w:space="0" w:color="002060"/>
              <w:bottom w:val="nil"/>
            </w:tcBorders>
            <w:shd w:val="clear" w:color="auto" w:fill="E7E6E6" w:themeFill="background2"/>
            <w:noWrap/>
            <w:hideMark/>
          </w:tcPr>
          <w:p w14:paraId="756B826F"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501,4</w:t>
            </w:r>
          </w:p>
        </w:tc>
        <w:tc>
          <w:tcPr>
            <w:tcW w:w="591" w:type="pct"/>
            <w:tcBorders>
              <w:top w:val="single" w:sz="4" w:space="0" w:color="002060"/>
              <w:bottom w:val="nil"/>
            </w:tcBorders>
            <w:shd w:val="clear" w:color="auto" w:fill="E7E6E6" w:themeFill="background2"/>
            <w:noWrap/>
            <w:hideMark/>
          </w:tcPr>
          <w:p w14:paraId="3877C526"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606,2</w:t>
            </w:r>
          </w:p>
        </w:tc>
      </w:tr>
      <w:tr w:rsidR="00181BDB" w:rsidRPr="0007074F" w14:paraId="5E993DD4" w14:textId="77777777" w:rsidTr="00C91F83">
        <w:trPr>
          <w:trHeight w:val="226"/>
        </w:trPr>
        <w:tc>
          <w:tcPr>
            <w:tcW w:w="2637" w:type="pct"/>
            <w:tcBorders>
              <w:top w:val="nil"/>
              <w:left w:val="nil"/>
              <w:bottom w:val="nil"/>
              <w:right w:val="nil"/>
            </w:tcBorders>
            <w:noWrap/>
            <w:hideMark/>
          </w:tcPr>
          <w:p w14:paraId="6FAB2FDA"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Камата</w:t>
            </w:r>
          </w:p>
        </w:tc>
        <w:tc>
          <w:tcPr>
            <w:tcW w:w="590" w:type="pct"/>
            <w:tcBorders>
              <w:top w:val="nil"/>
              <w:left w:val="nil"/>
              <w:bottom w:val="nil"/>
              <w:right w:val="nil"/>
            </w:tcBorders>
            <w:noWrap/>
            <w:hideMark/>
          </w:tcPr>
          <w:p w14:paraId="1557ACDE"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143,5</w:t>
            </w:r>
          </w:p>
        </w:tc>
        <w:tc>
          <w:tcPr>
            <w:tcW w:w="591" w:type="pct"/>
            <w:tcBorders>
              <w:top w:val="nil"/>
              <w:left w:val="nil"/>
              <w:bottom w:val="nil"/>
              <w:right w:val="nil"/>
            </w:tcBorders>
            <w:noWrap/>
            <w:hideMark/>
          </w:tcPr>
          <w:p w14:paraId="5F8F7F10"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182,8</w:t>
            </w:r>
          </w:p>
        </w:tc>
        <w:tc>
          <w:tcPr>
            <w:tcW w:w="591" w:type="pct"/>
            <w:tcBorders>
              <w:top w:val="nil"/>
              <w:left w:val="nil"/>
              <w:bottom w:val="nil"/>
              <w:right w:val="nil"/>
            </w:tcBorders>
            <w:noWrap/>
            <w:hideMark/>
          </w:tcPr>
          <w:p w14:paraId="1F0A6E6B"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211,9</w:t>
            </w:r>
          </w:p>
        </w:tc>
        <w:tc>
          <w:tcPr>
            <w:tcW w:w="591" w:type="pct"/>
            <w:tcBorders>
              <w:top w:val="nil"/>
              <w:left w:val="nil"/>
              <w:bottom w:val="nil"/>
              <w:right w:val="nil"/>
            </w:tcBorders>
            <w:noWrap/>
            <w:hideMark/>
          </w:tcPr>
          <w:p w14:paraId="6E3ABE08"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242,5</w:t>
            </w:r>
          </w:p>
        </w:tc>
      </w:tr>
      <w:tr w:rsidR="00181BDB" w:rsidRPr="0007074F" w14:paraId="3DA42B99" w14:textId="77777777" w:rsidTr="00C91F83">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nil"/>
              <w:bottom w:val="nil"/>
            </w:tcBorders>
            <w:shd w:val="clear" w:color="auto" w:fill="E7E6E6" w:themeFill="background2"/>
            <w:noWrap/>
            <w:hideMark/>
          </w:tcPr>
          <w:p w14:paraId="37E5D0D9"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bCs/>
                <w:color w:val="002060"/>
                <w:sz w:val="18"/>
                <w:szCs w:val="18"/>
                <w:lang w:val="sr-Cyrl-CS"/>
              </w:rPr>
              <w:t>Укупно</w:t>
            </w:r>
          </w:p>
        </w:tc>
        <w:tc>
          <w:tcPr>
            <w:tcW w:w="590" w:type="pct"/>
            <w:tcBorders>
              <w:top w:val="nil"/>
              <w:bottom w:val="nil"/>
            </w:tcBorders>
            <w:shd w:val="clear" w:color="auto" w:fill="E7E6E6" w:themeFill="background2"/>
            <w:noWrap/>
            <w:hideMark/>
          </w:tcPr>
          <w:p w14:paraId="0689DEB7"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798,6</w:t>
            </w:r>
          </w:p>
        </w:tc>
        <w:tc>
          <w:tcPr>
            <w:tcW w:w="591" w:type="pct"/>
            <w:tcBorders>
              <w:top w:val="nil"/>
              <w:bottom w:val="nil"/>
            </w:tcBorders>
            <w:shd w:val="clear" w:color="auto" w:fill="E7E6E6" w:themeFill="background2"/>
            <w:noWrap/>
            <w:hideMark/>
          </w:tcPr>
          <w:p w14:paraId="7231C9B3"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809,3</w:t>
            </w:r>
          </w:p>
        </w:tc>
        <w:tc>
          <w:tcPr>
            <w:tcW w:w="591" w:type="pct"/>
            <w:tcBorders>
              <w:top w:val="nil"/>
              <w:bottom w:val="nil"/>
            </w:tcBorders>
            <w:shd w:val="clear" w:color="auto" w:fill="E7E6E6" w:themeFill="background2"/>
            <w:noWrap/>
            <w:hideMark/>
          </w:tcPr>
          <w:p w14:paraId="7B13D335"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713,3</w:t>
            </w:r>
          </w:p>
        </w:tc>
        <w:tc>
          <w:tcPr>
            <w:tcW w:w="591" w:type="pct"/>
            <w:tcBorders>
              <w:top w:val="nil"/>
              <w:bottom w:val="nil"/>
            </w:tcBorders>
            <w:shd w:val="clear" w:color="auto" w:fill="E7E6E6" w:themeFill="background2"/>
            <w:noWrap/>
            <w:hideMark/>
          </w:tcPr>
          <w:p w14:paraId="429A89C5"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848,7</w:t>
            </w:r>
          </w:p>
        </w:tc>
      </w:tr>
      <w:tr w:rsidR="00181BDB" w:rsidRPr="0007074F" w14:paraId="003F2562" w14:textId="77777777" w:rsidTr="00C91F83">
        <w:trPr>
          <w:trHeight w:val="226"/>
        </w:trPr>
        <w:tc>
          <w:tcPr>
            <w:tcW w:w="2637" w:type="pct"/>
            <w:tcBorders>
              <w:top w:val="nil"/>
              <w:left w:val="nil"/>
              <w:bottom w:val="single" w:sz="4" w:space="0" w:color="002060"/>
              <w:right w:val="nil"/>
            </w:tcBorders>
            <w:noWrap/>
            <w:hideMark/>
          </w:tcPr>
          <w:p w14:paraId="5E296F09"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 xml:space="preserve"> У односу на јавни дуг на дан 31.3.2023. године</w:t>
            </w:r>
          </w:p>
        </w:tc>
        <w:tc>
          <w:tcPr>
            <w:tcW w:w="590" w:type="pct"/>
            <w:tcBorders>
              <w:top w:val="nil"/>
              <w:left w:val="nil"/>
              <w:bottom w:val="single" w:sz="4" w:space="0" w:color="002060"/>
              <w:right w:val="nil"/>
            </w:tcBorders>
            <w:noWrap/>
            <w:hideMark/>
          </w:tcPr>
          <w:p w14:paraId="7695A008"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19,3%</w:t>
            </w:r>
          </w:p>
        </w:tc>
        <w:tc>
          <w:tcPr>
            <w:tcW w:w="591" w:type="pct"/>
            <w:tcBorders>
              <w:top w:val="nil"/>
              <w:left w:val="nil"/>
              <w:bottom w:val="single" w:sz="4" w:space="0" w:color="002060"/>
              <w:right w:val="nil"/>
            </w:tcBorders>
            <w:noWrap/>
            <w:hideMark/>
          </w:tcPr>
          <w:p w14:paraId="65294518"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19,6%</w:t>
            </w:r>
          </w:p>
        </w:tc>
        <w:tc>
          <w:tcPr>
            <w:tcW w:w="591" w:type="pct"/>
            <w:tcBorders>
              <w:top w:val="nil"/>
              <w:left w:val="nil"/>
              <w:bottom w:val="single" w:sz="4" w:space="0" w:color="002060"/>
              <w:right w:val="nil"/>
            </w:tcBorders>
            <w:noWrap/>
            <w:hideMark/>
          </w:tcPr>
          <w:p w14:paraId="7B4CA306"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17,3%</w:t>
            </w:r>
          </w:p>
        </w:tc>
        <w:tc>
          <w:tcPr>
            <w:tcW w:w="591" w:type="pct"/>
            <w:tcBorders>
              <w:top w:val="nil"/>
              <w:left w:val="nil"/>
              <w:bottom w:val="single" w:sz="4" w:space="0" w:color="002060"/>
              <w:right w:val="nil"/>
            </w:tcBorders>
            <w:noWrap/>
            <w:hideMark/>
          </w:tcPr>
          <w:p w14:paraId="4617204E"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20,5%</w:t>
            </w:r>
          </w:p>
        </w:tc>
      </w:tr>
    </w:tbl>
    <w:p w14:paraId="1189DA4D" w14:textId="77777777" w:rsidR="00181BDB" w:rsidRPr="0007074F" w:rsidRDefault="00181BDB" w:rsidP="00C91F83">
      <w:pPr>
        <w:spacing w:after="240" w:line="240" w:lineRule="auto"/>
        <w:rPr>
          <w:rFonts w:ascii="Calibri" w:eastAsia="Calibri" w:hAnsi="Calibri" w:cs="Calibri"/>
          <w:bCs/>
          <w:sz w:val="18"/>
          <w:szCs w:val="18"/>
          <w:lang w:val="sr-Cyrl-CS"/>
        </w:rPr>
      </w:pPr>
      <w:r w:rsidRPr="0007074F">
        <w:rPr>
          <w:rFonts w:ascii="Calibri" w:eastAsia="Calibri" w:hAnsi="Calibri" w:cs="Calibri"/>
          <w:bCs/>
          <w:sz w:val="18"/>
          <w:szCs w:val="18"/>
          <w:lang w:val="sr-Cyrl-CS"/>
        </w:rPr>
        <w:t>*</w:t>
      </w:r>
      <w:r w:rsidRPr="0007074F">
        <w:rPr>
          <w:lang w:val="sr-Cyrl-CS"/>
        </w:rPr>
        <w:t xml:space="preserve"> </w:t>
      </w:r>
      <w:r w:rsidRPr="0007074F">
        <w:rPr>
          <w:rFonts w:ascii="Calibri" w:eastAsia="Calibri" w:hAnsi="Calibri" w:cs="Calibri"/>
          <w:bCs/>
          <w:sz w:val="18"/>
          <w:szCs w:val="18"/>
          <w:lang w:val="sr-Cyrl-CS"/>
        </w:rPr>
        <w:t xml:space="preserve">укључена и средства за </w:t>
      </w:r>
      <w:r w:rsidRPr="0007074F">
        <w:rPr>
          <w:rFonts w:ascii="Calibri" w:eastAsia="Calibri" w:hAnsi="Calibri" w:cs="Calibri"/>
          <w:bCs/>
          <w:i/>
          <w:sz w:val="18"/>
          <w:szCs w:val="18"/>
          <w:lang w:val="sr-Cyrl-CS"/>
        </w:rPr>
        <w:t>buy-back</w:t>
      </w:r>
      <w:r w:rsidRPr="0007074F">
        <w:rPr>
          <w:rFonts w:ascii="Calibri" w:eastAsia="Calibri" w:hAnsi="Calibri" w:cs="Calibri"/>
          <w:bCs/>
          <w:sz w:val="18"/>
          <w:szCs w:val="18"/>
          <w:lang w:val="sr-Cyrl-CS"/>
        </w:rPr>
        <w:t xml:space="preserve"> операције</w:t>
      </w:r>
    </w:p>
    <w:p w14:paraId="70886A34" w14:textId="77777777" w:rsidR="00181BDB" w:rsidRPr="0007074F" w:rsidRDefault="00181BDB" w:rsidP="00C91F83">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Табела 24. Пројекције отплате камата и главница до 2026. године (% БДП)</w:t>
      </w:r>
    </w:p>
    <w:tbl>
      <w:tblPr>
        <w:tblStyle w:val="LightShading-Accent1222"/>
        <w:tblW w:w="5000" w:type="pct"/>
        <w:tblInd w:w="0" w:type="dxa"/>
        <w:tblLook w:val="0420" w:firstRow="1" w:lastRow="0" w:firstColumn="0" w:lastColumn="0" w:noHBand="0" w:noVBand="1"/>
      </w:tblPr>
      <w:tblGrid>
        <w:gridCol w:w="4949"/>
        <w:gridCol w:w="1102"/>
        <w:gridCol w:w="1103"/>
        <w:gridCol w:w="1103"/>
        <w:gridCol w:w="1103"/>
      </w:tblGrid>
      <w:tr w:rsidR="00181BDB" w:rsidRPr="0007074F" w14:paraId="29A77A30" w14:textId="77777777" w:rsidTr="00C91F83">
        <w:trPr>
          <w:cnfStyle w:val="100000000000" w:firstRow="1" w:lastRow="0" w:firstColumn="0" w:lastColumn="0" w:oddVBand="0" w:evenVBand="0" w:oddHBand="0" w:evenHBand="0" w:firstRowFirstColumn="0" w:firstRowLastColumn="0" w:lastRowFirstColumn="0" w:lastRowLastColumn="0"/>
          <w:trHeight w:val="220"/>
        </w:trPr>
        <w:tc>
          <w:tcPr>
            <w:tcW w:w="2644" w:type="pct"/>
            <w:tcBorders>
              <w:top w:val="single" w:sz="4" w:space="0" w:color="002060"/>
              <w:bottom w:val="single" w:sz="4" w:space="0" w:color="FFFFFF" w:themeColor="background1"/>
            </w:tcBorders>
            <w:noWrap/>
            <w:hideMark/>
          </w:tcPr>
          <w:p w14:paraId="3C5F37DF"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 </w:t>
            </w:r>
          </w:p>
        </w:tc>
        <w:tc>
          <w:tcPr>
            <w:tcW w:w="589" w:type="pct"/>
            <w:tcBorders>
              <w:top w:val="single" w:sz="4" w:space="0" w:color="002060"/>
              <w:bottom w:val="single" w:sz="4" w:space="0" w:color="002060"/>
            </w:tcBorders>
            <w:noWrap/>
            <w:hideMark/>
          </w:tcPr>
          <w:p w14:paraId="2BEF301E"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2023 п</w:t>
            </w:r>
          </w:p>
        </w:tc>
        <w:tc>
          <w:tcPr>
            <w:tcW w:w="589" w:type="pct"/>
            <w:tcBorders>
              <w:top w:val="single" w:sz="4" w:space="0" w:color="002060"/>
              <w:bottom w:val="single" w:sz="4" w:space="0" w:color="002060"/>
            </w:tcBorders>
            <w:noWrap/>
            <w:hideMark/>
          </w:tcPr>
          <w:p w14:paraId="1215BB07"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2024 п</w:t>
            </w:r>
          </w:p>
        </w:tc>
        <w:tc>
          <w:tcPr>
            <w:tcW w:w="589" w:type="pct"/>
            <w:tcBorders>
              <w:top w:val="single" w:sz="4" w:space="0" w:color="002060"/>
              <w:bottom w:val="single" w:sz="4" w:space="0" w:color="002060"/>
            </w:tcBorders>
            <w:noWrap/>
            <w:hideMark/>
          </w:tcPr>
          <w:p w14:paraId="66B4C3FF"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2025 п</w:t>
            </w:r>
          </w:p>
        </w:tc>
        <w:tc>
          <w:tcPr>
            <w:tcW w:w="589" w:type="pct"/>
            <w:tcBorders>
              <w:top w:val="single" w:sz="4" w:space="0" w:color="002060"/>
              <w:bottom w:val="single" w:sz="4" w:space="0" w:color="002060"/>
            </w:tcBorders>
            <w:noWrap/>
            <w:hideMark/>
          </w:tcPr>
          <w:p w14:paraId="3FD00047"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2026 п</w:t>
            </w:r>
          </w:p>
        </w:tc>
      </w:tr>
      <w:tr w:rsidR="00181BDB" w:rsidRPr="0007074F" w14:paraId="12B165F7" w14:textId="77777777" w:rsidTr="00C91F83">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nil"/>
            </w:tcBorders>
            <w:shd w:val="clear" w:color="auto" w:fill="E7E6E6" w:themeFill="background2"/>
            <w:noWrap/>
            <w:hideMark/>
          </w:tcPr>
          <w:p w14:paraId="1907477A"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Главница</w:t>
            </w:r>
          </w:p>
        </w:tc>
        <w:tc>
          <w:tcPr>
            <w:tcW w:w="589" w:type="pct"/>
            <w:tcBorders>
              <w:top w:val="nil"/>
              <w:bottom w:val="nil"/>
            </w:tcBorders>
            <w:shd w:val="clear" w:color="auto" w:fill="E7E6E6" w:themeFill="background2"/>
            <w:noWrap/>
            <w:hideMark/>
          </w:tcPr>
          <w:p w14:paraId="474DC419"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8,1%</w:t>
            </w:r>
          </w:p>
        </w:tc>
        <w:tc>
          <w:tcPr>
            <w:tcW w:w="589" w:type="pct"/>
            <w:tcBorders>
              <w:top w:val="nil"/>
              <w:bottom w:val="nil"/>
            </w:tcBorders>
            <w:shd w:val="clear" w:color="auto" w:fill="E7E6E6" w:themeFill="background2"/>
            <w:noWrap/>
            <w:hideMark/>
          </w:tcPr>
          <w:p w14:paraId="0D68D671"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7,1%</w:t>
            </w:r>
          </w:p>
        </w:tc>
        <w:tc>
          <w:tcPr>
            <w:tcW w:w="589" w:type="pct"/>
            <w:tcBorders>
              <w:top w:val="nil"/>
              <w:bottom w:val="nil"/>
            </w:tcBorders>
            <w:shd w:val="clear" w:color="auto" w:fill="E7E6E6" w:themeFill="background2"/>
            <w:noWrap/>
            <w:hideMark/>
          </w:tcPr>
          <w:p w14:paraId="09F75AFC"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5,3%</w:t>
            </w:r>
          </w:p>
        </w:tc>
        <w:tc>
          <w:tcPr>
            <w:tcW w:w="589" w:type="pct"/>
            <w:tcBorders>
              <w:top w:val="nil"/>
              <w:bottom w:val="nil"/>
            </w:tcBorders>
            <w:shd w:val="clear" w:color="auto" w:fill="E7E6E6" w:themeFill="background2"/>
            <w:noWrap/>
            <w:hideMark/>
          </w:tcPr>
          <w:p w14:paraId="716A3648"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6,0%</w:t>
            </w:r>
          </w:p>
        </w:tc>
      </w:tr>
      <w:tr w:rsidR="00181BDB" w:rsidRPr="0007074F" w14:paraId="118B3732" w14:textId="77777777" w:rsidTr="00C91F83">
        <w:trPr>
          <w:trHeight w:val="220"/>
        </w:trPr>
        <w:tc>
          <w:tcPr>
            <w:tcW w:w="2644" w:type="pct"/>
            <w:tcBorders>
              <w:top w:val="nil"/>
              <w:left w:val="nil"/>
              <w:bottom w:val="nil"/>
              <w:right w:val="nil"/>
            </w:tcBorders>
            <w:noWrap/>
            <w:hideMark/>
          </w:tcPr>
          <w:p w14:paraId="3AA1674F"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bCs/>
                <w:color w:val="002060"/>
                <w:sz w:val="18"/>
                <w:szCs w:val="18"/>
                <w:lang w:val="sr-Cyrl-CS"/>
              </w:rPr>
              <w:t>Камата</w:t>
            </w:r>
          </w:p>
        </w:tc>
        <w:tc>
          <w:tcPr>
            <w:tcW w:w="589" w:type="pct"/>
            <w:tcBorders>
              <w:top w:val="nil"/>
              <w:left w:val="nil"/>
              <w:bottom w:val="nil"/>
              <w:right w:val="nil"/>
            </w:tcBorders>
            <w:noWrap/>
            <w:hideMark/>
          </w:tcPr>
          <w:p w14:paraId="5D050C7A"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1,8%</w:t>
            </w:r>
          </w:p>
        </w:tc>
        <w:tc>
          <w:tcPr>
            <w:tcW w:w="589" w:type="pct"/>
            <w:tcBorders>
              <w:top w:val="nil"/>
              <w:left w:val="nil"/>
              <w:bottom w:val="nil"/>
              <w:right w:val="nil"/>
            </w:tcBorders>
            <w:noWrap/>
            <w:hideMark/>
          </w:tcPr>
          <w:p w14:paraId="25BC88CD"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2,1%</w:t>
            </w:r>
          </w:p>
        </w:tc>
        <w:tc>
          <w:tcPr>
            <w:tcW w:w="589" w:type="pct"/>
            <w:tcBorders>
              <w:top w:val="nil"/>
              <w:left w:val="nil"/>
              <w:bottom w:val="nil"/>
              <w:right w:val="nil"/>
            </w:tcBorders>
            <w:noWrap/>
            <w:hideMark/>
          </w:tcPr>
          <w:p w14:paraId="4CD8EA34"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2,2%</w:t>
            </w:r>
          </w:p>
        </w:tc>
        <w:tc>
          <w:tcPr>
            <w:tcW w:w="589" w:type="pct"/>
            <w:tcBorders>
              <w:top w:val="nil"/>
              <w:left w:val="nil"/>
              <w:bottom w:val="nil"/>
              <w:right w:val="nil"/>
            </w:tcBorders>
            <w:noWrap/>
            <w:hideMark/>
          </w:tcPr>
          <w:p w14:paraId="389D9C8A"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2,4%</w:t>
            </w:r>
          </w:p>
        </w:tc>
      </w:tr>
      <w:tr w:rsidR="00181BDB" w:rsidRPr="0007074F" w14:paraId="158471F3" w14:textId="77777777" w:rsidTr="00C91F83">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single" w:sz="4" w:space="0" w:color="002060"/>
            </w:tcBorders>
            <w:shd w:val="clear" w:color="auto" w:fill="E7E6E6" w:themeFill="background2"/>
            <w:noWrap/>
            <w:hideMark/>
          </w:tcPr>
          <w:p w14:paraId="24D14392"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Укупно</w:t>
            </w:r>
          </w:p>
        </w:tc>
        <w:tc>
          <w:tcPr>
            <w:tcW w:w="589" w:type="pct"/>
            <w:tcBorders>
              <w:top w:val="nil"/>
              <w:bottom w:val="single" w:sz="4" w:space="0" w:color="002060"/>
            </w:tcBorders>
            <w:shd w:val="clear" w:color="auto" w:fill="E7E6E6" w:themeFill="background2"/>
            <w:noWrap/>
            <w:hideMark/>
          </w:tcPr>
          <w:p w14:paraId="0B19F9AE"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9,9%</w:t>
            </w:r>
          </w:p>
        </w:tc>
        <w:tc>
          <w:tcPr>
            <w:tcW w:w="589" w:type="pct"/>
            <w:tcBorders>
              <w:top w:val="nil"/>
              <w:bottom w:val="single" w:sz="4" w:space="0" w:color="002060"/>
            </w:tcBorders>
            <w:shd w:val="clear" w:color="auto" w:fill="E7E6E6" w:themeFill="background2"/>
            <w:noWrap/>
            <w:hideMark/>
          </w:tcPr>
          <w:p w14:paraId="7E8C402E"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9,2%</w:t>
            </w:r>
          </w:p>
        </w:tc>
        <w:tc>
          <w:tcPr>
            <w:tcW w:w="589" w:type="pct"/>
            <w:tcBorders>
              <w:top w:val="nil"/>
              <w:bottom w:val="single" w:sz="4" w:space="0" w:color="002060"/>
            </w:tcBorders>
            <w:shd w:val="clear" w:color="auto" w:fill="E7E6E6" w:themeFill="background2"/>
            <w:noWrap/>
            <w:hideMark/>
          </w:tcPr>
          <w:p w14:paraId="658718D9"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7,5%</w:t>
            </w:r>
          </w:p>
        </w:tc>
        <w:tc>
          <w:tcPr>
            <w:tcW w:w="589" w:type="pct"/>
            <w:tcBorders>
              <w:top w:val="nil"/>
              <w:bottom w:val="single" w:sz="4" w:space="0" w:color="002060"/>
            </w:tcBorders>
            <w:shd w:val="clear" w:color="auto" w:fill="E7E6E6" w:themeFill="background2"/>
            <w:noWrap/>
            <w:hideMark/>
          </w:tcPr>
          <w:p w14:paraId="0AD12BA8"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8,4%</w:t>
            </w:r>
          </w:p>
        </w:tc>
      </w:tr>
    </w:tbl>
    <w:p w14:paraId="1514274F" w14:textId="77777777" w:rsidR="00181BDB" w:rsidRPr="0007074F" w:rsidRDefault="00181BDB" w:rsidP="00C91F83">
      <w:pPr>
        <w:rPr>
          <w:rFonts w:ascii="Calibri" w:eastAsia="Calibri" w:hAnsi="Calibri" w:cs="Calibri"/>
          <w:bCs/>
          <w:szCs w:val="72"/>
          <w:lang w:val="sr-Cyrl-CS"/>
        </w:rPr>
      </w:pPr>
    </w:p>
    <w:p w14:paraId="4134C5BC" w14:textId="77777777" w:rsidR="00181BDB" w:rsidRPr="0007074F" w:rsidRDefault="00181BDB" w:rsidP="00C91F83">
      <w:pPr>
        <w:rPr>
          <w:rFonts w:ascii="Calibri" w:eastAsia="Calibri" w:hAnsi="Calibri" w:cs="Calibri"/>
          <w:bCs/>
          <w:szCs w:val="72"/>
          <w:lang w:val="sr-Cyrl-CS"/>
        </w:rPr>
        <w:sectPr w:rsidR="00181BDB" w:rsidRPr="0007074F" w:rsidSect="00523B7B">
          <w:pgSz w:w="12240" w:h="15840"/>
          <w:pgMar w:top="1440" w:right="1440" w:bottom="1440" w:left="1440" w:header="720" w:footer="720" w:gutter="0"/>
          <w:cols w:space="720"/>
          <w15:footnoteColumns w:val="1"/>
        </w:sectPr>
      </w:pPr>
    </w:p>
    <w:p w14:paraId="20929471"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Планирани износи за отплату камата и главница, на централном нивоу државе, укључују и средства за </w:t>
      </w:r>
      <w:r w:rsidRPr="0007074F">
        <w:rPr>
          <w:rFonts w:ascii="Calibri" w:eastAsia="Calibri" w:hAnsi="Calibri" w:cs="Calibri"/>
          <w:bCs/>
          <w:i/>
          <w:szCs w:val="72"/>
          <w:lang w:val="sr-Cyrl-CS"/>
        </w:rPr>
        <w:t>buy-back</w:t>
      </w:r>
      <w:r w:rsidRPr="0007074F">
        <w:rPr>
          <w:rFonts w:ascii="Calibri" w:eastAsia="Calibri" w:hAnsi="Calibri" w:cs="Calibri"/>
          <w:bCs/>
          <w:szCs w:val="72"/>
          <w:lang w:val="sr-Cyrl-CS"/>
        </w:rPr>
        <w:t xml:space="preserve"> операције, тј. превремену отплату дуга, како би се скупљи дуг заменио јефтинијим, као и премије осигурања на експортне кредите.</w:t>
      </w:r>
    </w:p>
    <w:p w14:paraId="3255700B" w14:textId="77777777" w:rsidR="00181BDB" w:rsidRPr="0007074F" w:rsidRDefault="00181BDB" w:rsidP="00C91F83">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t>Пројекција стања јавног дуга сектора државе у периоду 2023–2026. године</w:t>
      </w:r>
    </w:p>
    <w:p w14:paraId="12B82A4B" w14:textId="77777777" w:rsidR="00181BDB" w:rsidRPr="0007074F" w:rsidRDefault="00181BDB" w:rsidP="00523B7B">
      <w:pPr>
        <w:spacing w:after="240"/>
        <w:rPr>
          <w:rFonts w:ascii="Calibri" w:eastAsia="Calibri" w:hAnsi="Calibri" w:cs="Calibri"/>
          <w:bCs/>
          <w:szCs w:val="72"/>
          <w:lang w:val="sr-Cyrl-CS"/>
        </w:rPr>
      </w:pPr>
      <w:r w:rsidRPr="0007074F">
        <w:rPr>
          <w:rFonts w:ascii="Calibri" w:eastAsia="Calibri" w:hAnsi="Calibri" w:cs="Calibri"/>
          <w:bCs/>
          <w:szCs w:val="72"/>
          <w:lang w:val="sr-Cyrl-CS"/>
        </w:rPr>
        <w:t xml:space="preserve">Имајући у виду пројектовани примарни резултат буџета Републике Србије за период 2023–2026. </w:t>
      </w:r>
      <w:r w:rsidRPr="0007074F">
        <w:rPr>
          <w:rFonts w:ascii="Calibri" w:eastAsia="Calibri" w:hAnsi="Calibri" w:cs="Calibri"/>
          <w:bCs/>
          <w:szCs w:val="72"/>
          <w:lang w:val="sr-Cyrl-CS"/>
        </w:rPr>
        <w:t>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основном макроекономском сценарију, стање дуга централног нивоа државе требало би да буде на нивоу од 50,9% БДП на крају 2026. године.</w:t>
      </w:r>
    </w:p>
    <w:p w14:paraId="3E3B3FFC" w14:textId="77777777" w:rsidR="00181BDB" w:rsidRPr="0007074F" w:rsidRDefault="00181BDB" w:rsidP="00523B7B">
      <w:pPr>
        <w:spacing w:after="720"/>
        <w:rPr>
          <w:lang w:val="sr-Cyrl-CS"/>
        </w:rPr>
      </w:pPr>
    </w:p>
    <w:p w14:paraId="02127DFE" w14:textId="77777777" w:rsidR="00181BDB" w:rsidRPr="0007074F" w:rsidRDefault="00181BDB" w:rsidP="00523B7B">
      <w:pPr>
        <w:rPr>
          <w:lang w:val="sr-Cyrl-CS"/>
        </w:rPr>
        <w:sectPr w:rsidR="00181BDB" w:rsidRPr="0007074F" w:rsidSect="00523B7B">
          <w:type w:val="continuous"/>
          <w:pgSz w:w="12240" w:h="15840"/>
          <w:pgMar w:top="1440" w:right="1440" w:bottom="1440" w:left="1440" w:header="720" w:footer="720" w:gutter="0"/>
          <w:cols w:num="2" w:space="720"/>
          <w15:footnoteColumns w:val="1"/>
        </w:sectPr>
      </w:pPr>
    </w:p>
    <w:p w14:paraId="1A782BC7" w14:textId="77777777" w:rsidR="00181BDB" w:rsidRPr="0007074F" w:rsidRDefault="00181BDB" w:rsidP="00C91F83">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Табела 25. Основна пројекција стања јавног дуга сектора државе до 2026. године</w:t>
      </w:r>
    </w:p>
    <w:tbl>
      <w:tblPr>
        <w:tblStyle w:val="LightShading-Accent1222"/>
        <w:tblW w:w="5000" w:type="pct"/>
        <w:tblInd w:w="0" w:type="dxa"/>
        <w:tblLook w:val="0420" w:firstRow="1" w:lastRow="0" w:firstColumn="0" w:lastColumn="0" w:noHBand="0" w:noVBand="1"/>
      </w:tblPr>
      <w:tblGrid>
        <w:gridCol w:w="5100"/>
        <w:gridCol w:w="1065"/>
        <w:gridCol w:w="1065"/>
        <w:gridCol w:w="1065"/>
        <w:gridCol w:w="1065"/>
      </w:tblGrid>
      <w:tr w:rsidR="00181BDB" w:rsidRPr="0007074F" w14:paraId="5882CB37" w14:textId="77777777" w:rsidTr="00C91F83">
        <w:trPr>
          <w:cnfStyle w:val="100000000000" w:firstRow="1" w:lastRow="0" w:firstColumn="0" w:lastColumn="0" w:oddVBand="0" w:evenVBand="0" w:oddHBand="0" w:evenHBand="0" w:firstRowFirstColumn="0" w:firstRowLastColumn="0" w:lastRowFirstColumn="0" w:lastRowLastColumn="0"/>
          <w:trHeight w:val="20"/>
        </w:trPr>
        <w:tc>
          <w:tcPr>
            <w:tcW w:w="2724" w:type="pct"/>
            <w:tcBorders>
              <w:top w:val="single" w:sz="4" w:space="0" w:color="002060"/>
              <w:bottom w:val="single" w:sz="8" w:space="0" w:color="FFFFFF" w:themeColor="background1"/>
            </w:tcBorders>
            <w:noWrap/>
            <w:hideMark/>
          </w:tcPr>
          <w:p w14:paraId="0F34351C" w14:textId="77777777" w:rsidR="00181BDB" w:rsidRPr="0007074F" w:rsidRDefault="00181BDB" w:rsidP="00523B7B">
            <w:pPr>
              <w:spacing w:line="256" w:lineRule="auto"/>
              <w:rPr>
                <w:rFonts w:ascii="Calibri" w:hAnsi="Calibri"/>
                <w:color w:val="002060"/>
                <w:lang w:val="sr-Cyrl-CS"/>
              </w:rPr>
            </w:pPr>
          </w:p>
        </w:tc>
        <w:tc>
          <w:tcPr>
            <w:tcW w:w="569" w:type="pct"/>
            <w:tcBorders>
              <w:top w:val="single" w:sz="4" w:space="0" w:color="002060"/>
              <w:bottom w:val="single" w:sz="4" w:space="0" w:color="002060"/>
            </w:tcBorders>
            <w:noWrap/>
            <w:hideMark/>
          </w:tcPr>
          <w:p w14:paraId="60E6260C"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2023 п</w:t>
            </w:r>
          </w:p>
        </w:tc>
        <w:tc>
          <w:tcPr>
            <w:tcW w:w="569" w:type="pct"/>
            <w:tcBorders>
              <w:top w:val="single" w:sz="4" w:space="0" w:color="002060"/>
              <w:bottom w:val="single" w:sz="4" w:space="0" w:color="002060"/>
            </w:tcBorders>
            <w:noWrap/>
            <w:hideMark/>
          </w:tcPr>
          <w:p w14:paraId="784E8102"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2024 п</w:t>
            </w:r>
          </w:p>
        </w:tc>
        <w:tc>
          <w:tcPr>
            <w:tcW w:w="569" w:type="pct"/>
            <w:tcBorders>
              <w:top w:val="single" w:sz="4" w:space="0" w:color="002060"/>
              <w:bottom w:val="single" w:sz="4" w:space="0" w:color="002060"/>
            </w:tcBorders>
            <w:noWrap/>
            <w:hideMark/>
          </w:tcPr>
          <w:p w14:paraId="76B82415"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2025 п</w:t>
            </w:r>
          </w:p>
        </w:tc>
        <w:tc>
          <w:tcPr>
            <w:tcW w:w="569" w:type="pct"/>
            <w:tcBorders>
              <w:top w:val="single" w:sz="4" w:space="0" w:color="002060"/>
              <w:bottom w:val="single" w:sz="4" w:space="0" w:color="002060"/>
            </w:tcBorders>
            <w:noWrap/>
            <w:hideMark/>
          </w:tcPr>
          <w:p w14:paraId="114D2B4C" w14:textId="77777777" w:rsidR="00181BDB" w:rsidRPr="0007074F" w:rsidRDefault="00181BDB" w:rsidP="00523B7B">
            <w:pPr>
              <w:jc w:val="right"/>
              <w:rPr>
                <w:rFonts w:ascii="Calibri" w:hAnsi="Calibri" w:cs="Calibri"/>
                <w:color w:val="002060"/>
                <w:sz w:val="18"/>
                <w:szCs w:val="18"/>
                <w:lang w:val="sr-Cyrl-CS"/>
              </w:rPr>
            </w:pPr>
            <w:r w:rsidRPr="0007074F">
              <w:rPr>
                <w:rFonts w:ascii="Calibri" w:hAnsi="Calibri" w:cs="Calibri"/>
                <w:color w:val="002060"/>
                <w:sz w:val="18"/>
                <w:szCs w:val="18"/>
                <w:lang w:val="sr-Cyrl-CS"/>
              </w:rPr>
              <w:t>2026 п</w:t>
            </w:r>
          </w:p>
        </w:tc>
      </w:tr>
      <w:tr w:rsidR="00181BDB" w:rsidRPr="0007074F" w14:paraId="3AD53BD2" w14:textId="77777777" w:rsidTr="00C91F83">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noWrap/>
            <w:hideMark/>
          </w:tcPr>
          <w:p w14:paraId="2CBAD732" w14:textId="77777777" w:rsidR="00181BDB" w:rsidRPr="0007074F" w:rsidRDefault="00181BDB" w:rsidP="00523B7B">
            <w:pPr>
              <w:spacing w:line="240" w:lineRule="auto"/>
              <w:rPr>
                <w:rFonts w:ascii="Calibri" w:hAnsi="Calibri" w:cs="Calibri"/>
                <w:bCs/>
                <w:color w:val="44546A"/>
                <w:sz w:val="18"/>
                <w:szCs w:val="18"/>
                <w:lang w:val="sr-Cyrl-CS"/>
              </w:rPr>
            </w:pPr>
            <w:r w:rsidRPr="0007074F">
              <w:rPr>
                <w:rFonts w:ascii="Calibri" w:hAnsi="Calibri" w:cs="Calibri"/>
                <w:bCs/>
                <w:color w:val="002060"/>
                <w:sz w:val="18"/>
                <w:szCs w:val="18"/>
                <w:lang w:val="sr-Cyrl-CS"/>
              </w:rPr>
              <w:t>Јавни дуг (централни ниво власти), млрд РСД</w:t>
            </w:r>
          </w:p>
        </w:tc>
        <w:tc>
          <w:tcPr>
            <w:tcW w:w="569" w:type="pct"/>
            <w:tcBorders>
              <w:top w:val="single" w:sz="4" w:space="0" w:color="002060"/>
              <w:bottom w:val="nil"/>
            </w:tcBorders>
            <w:shd w:val="clear" w:color="auto" w:fill="E7E6E6" w:themeFill="background2"/>
            <w:noWrap/>
            <w:hideMark/>
          </w:tcPr>
          <w:p w14:paraId="16DE6751"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4.341,4</w:t>
            </w:r>
          </w:p>
        </w:tc>
        <w:tc>
          <w:tcPr>
            <w:tcW w:w="569" w:type="pct"/>
            <w:tcBorders>
              <w:top w:val="single" w:sz="4" w:space="0" w:color="002060"/>
              <w:bottom w:val="nil"/>
            </w:tcBorders>
            <w:shd w:val="clear" w:color="auto" w:fill="E7E6E6" w:themeFill="background2"/>
            <w:noWrap/>
            <w:hideMark/>
          </w:tcPr>
          <w:p w14:paraId="6D2E5335"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4.668,1</w:t>
            </w:r>
          </w:p>
        </w:tc>
        <w:tc>
          <w:tcPr>
            <w:tcW w:w="569" w:type="pct"/>
            <w:tcBorders>
              <w:top w:val="single" w:sz="4" w:space="0" w:color="002060"/>
              <w:bottom w:val="nil"/>
            </w:tcBorders>
            <w:shd w:val="clear" w:color="auto" w:fill="E7E6E6" w:themeFill="background2"/>
            <w:noWrap/>
            <w:hideMark/>
          </w:tcPr>
          <w:p w14:paraId="253B0EB8"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4.929,1</w:t>
            </w:r>
          </w:p>
        </w:tc>
        <w:tc>
          <w:tcPr>
            <w:tcW w:w="569" w:type="pct"/>
            <w:tcBorders>
              <w:top w:val="single" w:sz="4" w:space="0" w:color="002060"/>
              <w:bottom w:val="nil"/>
            </w:tcBorders>
            <w:shd w:val="clear" w:color="auto" w:fill="E7E6E6" w:themeFill="background2"/>
            <w:noWrap/>
            <w:hideMark/>
          </w:tcPr>
          <w:p w14:paraId="65B06310"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5.165,6</w:t>
            </w:r>
          </w:p>
        </w:tc>
      </w:tr>
      <w:tr w:rsidR="00181BDB" w:rsidRPr="0007074F" w14:paraId="4C67D936" w14:textId="77777777" w:rsidTr="00C91F83">
        <w:trPr>
          <w:trHeight w:val="20"/>
        </w:trPr>
        <w:tc>
          <w:tcPr>
            <w:tcW w:w="2724" w:type="pct"/>
            <w:tcBorders>
              <w:top w:val="nil"/>
              <w:left w:val="nil"/>
              <w:bottom w:val="nil"/>
              <w:right w:val="nil"/>
            </w:tcBorders>
            <w:hideMark/>
          </w:tcPr>
          <w:p w14:paraId="2164CD6B"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Дуг централне државе, у % БДП</w:t>
            </w:r>
          </w:p>
        </w:tc>
        <w:tc>
          <w:tcPr>
            <w:tcW w:w="569" w:type="pct"/>
            <w:tcBorders>
              <w:top w:val="nil"/>
              <w:left w:val="nil"/>
              <w:bottom w:val="nil"/>
              <w:right w:val="nil"/>
            </w:tcBorders>
            <w:noWrap/>
            <w:hideMark/>
          </w:tcPr>
          <w:p w14:paraId="33294B74"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53,6%</w:t>
            </w:r>
          </w:p>
        </w:tc>
        <w:tc>
          <w:tcPr>
            <w:tcW w:w="569" w:type="pct"/>
            <w:tcBorders>
              <w:top w:val="nil"/>
              <w:left w:val="nil"/>
              <w:bottom w:val="nil"/>
              <w:right w:val="nil"/>
            </w:tcBorders>
            <w:noWrap/>
            <w:hideMark/>
          </w:tcPr>
          <w:p w14:paraId="524062DA"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53,2%</w:t>
            </w:r>
          </w:p>
        </w:tc>
        <w:tc>
          <w:tcPr>
            <w:tcW w:w="569" w:type="pct"/>
            <w:tcBorders>
              <w:top w:val="nil"/>
              <w:left w:val="nil"/>
              <w:bottom w:val="nil"/>
              <w:right w:val="nil"/>
            </w:tcBorders>
            <w:noWrap/>
            <w:hideMark/>
          </w:tcPr>
          <w:p w14:paraId="0B1D2A80"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52,1%</w:t>
            </w:r>
          </w:p>
        </w:tc>
        <w:tc>
          <w:tcPr>
            <w:tcW w:w="569" w:type="pct"/>
            <w:tcBorders>
              <w:top w:val="nil"/>
              <w:left w:val="nil"/>
              <w:bottom w:val="nil"/>
              <w:right w:val="nil"/>
            </w:tcBorders>
            <w:noWrap/>
            <w:hideMark/>
          </w:tcPr>
          <w:p w14:paraId="78F43A27"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50,9%</w:t>
            </w:r>
          </w:p>
        </w:tc>
      </w:tr>
      <w:tr w:rsidR="00181BDB" w:rsidRPr="0007074F" w14:paraId="7EFDBDF6" w14:textId="77777777" w:rsidTr="00C91F83">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hideMark/>
          </w:tcPr>
          <w:p w14:paraId="4704CDF3"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Негарантовани дуг јединица локалне самоуправе*, у % БДП</w:t>
            </w:r>
          </w:p>
        </w:tc>
        <w:tc>
          <w:tcPr>
            <w:tcW w:w="569" w:type="pct"/>
            <w:tcBorders>
              <w:top w:val="nil"/>
              <w:bottom w:val="nil"/>
            </w:tcBorders>
            <w:shd w:val="clear" w:color="auto" w:fill="E7E6E6" w:themeFill="background2"/>
            <w:noWrap/>
            <w:hideMark/>
          </w:tcPr>
          <w:p w14:paraId="1E5DBB3F"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0,7%</w:t>
            </w:r>
          </w:p>
        </w:tc>
        <w:tc>
          <w:tcPr>
            <w:tcW w:w="569" w:type="pct"/>
            <w:tcBorders>
              <w:top w:val="nil"/>
              <w:bottom w:val="nil"/>
            </w:tcBorders>
            <w:shd w:val="clear" w:color="auto" w:fill="E7E6E6" w:themeFill="background2"/>
            <w:noWrap/>
            <w:hideMark/>
          </w:tcPr>
          <w:p w14:paraId="0CE51CCF"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0,8%</w:t>
            </w:r>
          </w:p>
        </w:tc>
        <w:tc>
          <w:tcPr>
            <w:tcW w:w="569" w:type="pct"/>
            <w:tcBorders>
              <w:top w:val="nil"/>
              <w:bottom w:val="nil"/>
            </w:tcBorders>
            <w:shd w:val="clear" w:color="auto" w:fill="E7E6E6" w:themeFill="background2"/>
            <w:noWrap/>
            <w:hideMark/>
          </w:tcPr>
          <w:p w14:paraId="4C8ED829"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0,9%</w:t>
            </w:r>
          </w:p>
        </w:tc>
        <w:tc>
          <w:tcPr>
            <w:tcW w:w="569" w:type="pct"/>
            <w:tcBorders>
              <w:top w:val="nil"/>
              <w:bottom w:val="nil"/>
            </w:tcBorders>
            <w:shd w:val="clear" w:color="auto" w:fill="E7E6E6" w:themeFill="background2"/>
            <w:noWrap/>
            <w:hideMark/>
          </w:tcPr>
          <w:p w14:paraId="1F07881F"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1,0%</w:t>
            </w:r>
          </w:p>
        </w:tc>
      </w:tr>
      <w:tr w:rsidR="00181BDB" w:rsidRPr="0007074F" w14:paraId="3A067C5B" w14:textId="77777777" w:rsidTr="00C91F83">
        <w:trPr>
          <w:trHeight w:val="20"/>
        </w:trPr>
        <w:tc>
          <w:tcPr>
            <w:tcW w:w="2724" w:type="pct"/>
            <w:tcBorders>
              <w:top w:val="nil"/>
              <w:left w:val="nil"/>
              <w:bottom w:val="single" w:sz="4" w:space="0" w:color="002060"/>
              <w:right w:val="nil"/>
            </w:tcBorders>
            <w:hideMark/>
          </w:tcPr>
          <w:p w14:paraId="676D891D"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Дуг сектора државе, у % БДП</w:t>
            </w:r>
          </w:p>
        </w:tc>
        <w:tc>
          <w:tcPr>
            <w:tcW w:w="569" w:type="pct"/>
            <w:tcBorders>
              <w:top w:val="nil"/>
              <w:left w:val="nil"/>
              <w:bottom w:val="single" w:sz="4" w:space="0" w:color="002060"/>
              <w:right w:val="nil"/>
            </w:tcBorders>
            <w:noWrap/>
            <w:hideMark/>
          </w:tcPr>
          <w:p w14:paraId="70321C63"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54,3%</w:t>
            </w:r>
          </w:p>
        </w:tc>
        <w:tc>
          <w:tcPr>
            <w:tcW w:w="569" w:type="pct"/>
            <w:tcBorders>
              <w:top w:val="nil"/>
              <w:left w:val="nil"/>
              <w:bottom w:val="single" w:sz="4" w:space="0" w:color="002060"/>
              <w:right w:val="nil"/>
            </w:tcBorders>
            <w:noWrap/>
            <w:hideMark/>
          </w:tcPr>
          <w:p w14:paraId="4D77EFA9"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54,0%</w:t>
            </w:r>
          </w:p>
        </w:tc>
        <w:tc>
          <w:tcPr>
            <w:tcW w:w="569" w:type="pct"/>
            <w:tcBorders>
              <w:top w:val="nil"/>
              <w:left w:val="nil"/>
              <w:bottom w:val="single" w:sz="4" w:space="0" w:color="002060"/>
              <w:right w:val="nil"/>
            </w:tcBorders>
            <w:noWrap/>
            <w:hideMark/>
          </w:tcPr>
          <w:p w14:paraId="0D31FD3D"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53,0%</w:t>
            </w:r>
          </w:p>
        </w:tc>
        <w:tc>
          <w:tcPr>
            <w:tcW w:w="569" w:type="pct"/>
            <w:tcBorders>
              <w:top w:val="nil"/>
              <w:left w:val="nil"/>
              <w:bottom w:val="single" w:sz="4" w:space="0" w:color="002060"/>
              <w:right w:val="nil"/>
            </w:tcBorders>
            <w:noWrap/>
            <w:hideMark/>
          </w:tcPr>
          <w:p w14:paraId="51CCD4A4" w14:textId="77777777" w:rsidR="00181BDB" w:rsidRPr="0007074F" w:rsidRDefault="00181BDB" w:rsidP="00523B7B">
            <w:pPr>
              <w:spacing w:line="240" w:lineRule="auto"/>
              <w:jc w:val="right"/>
              <w:rPr>
                <w:rFonts w:ascii="Calibri" w:hAnsi="Calibri" w:cs="Calibri"/>
                <w:bCs/>
                <w:color w:val="002060"/>
                <w:sz w:val="18"/>
                <w:szCs w:val="18"/>
                <w:lang w:val="sr-Cyrl-CS"/>
              </w:rPr>
            </w:pPr>
            <w:r w:rsidRPr="0007074F">
              <w:rPr>
                <w:rFonts w:ascii="Calibri" w:hAnsi="Calibri" w:cs="Calibri"/>
                <w:bCs/>
                <w:color w:val="002060"/>
                <w:sz w:val="18"/>
                <w:szCs w:val="18"/>
                <w:lang w:val="sr-Cyrl-CS"/>
              </w:rPr>
              <w:t>51,9%</w:t>
            </w:r>
          </w:p>
        </w:tc>
      </w:tr>
    </w:tbl>
    <w:p w14:paraId="25DD94AA" w14:textId="77777777" w:rsidR="00181BDB" w:rsidRPr="0007074F" w:rsidRDefault="00181BDB" w:rsidP="00C91F83">
      <w:pPr>
        <w:spacing w:after="240" w:line="240" w:lineRule="auto"/>
        <w:rPr>
          <w:rFonts w:ascii="Calibri" w:eastAsia="Calibri" w:hAnsi="Calibri" w:cs="Calibri"/>
          <w:bCs/>
          <w:sz w:val="18"/>
          <w:szCs w:val="18"/>
          <w:lang w:val="sr-Cyrl-CS"/>
        </w:rPr>
      </w:pPr>
      <w:r w:rsidRPr="0007074F">
        <w:rPr>
          <w:rFonts w:ascii="Calibri" w:eastAsia="Calibri" w:hAnsi="Calibri" w:cs="Calibri"/>
          <w:bCs/>
          <w:sz w:val="18"/>
          <w:szCs w:val="18"/>
          <w:lang w:val="sr-Cyrl-CS"/>
        </w:rPr>
        <w:t>*</w:t>
      </w:r>
      <w:r w:rsidRPr="0007074F">
        <w:rPr>
          <w:lang w:val="sr-Cyrl-CS"/>
        </w:rPr>
        <w:t xml:space="preserve"> </w:t>
      </w:r>
      <w:r w:rsidRPr="0007074F">
        <w:rPr>
          <w:rFonts w:ascii="Calibri" w:eastAsia="Calibri" w:hAnsi="Calibri" w:cs="Calibri"/>
          <w:bCs/>
          <w:sz w:val="18"/>
          <w:szCs w:val="18"/>
          <w:lang w:val="sr-Cyrl-CS"/>
        </w:rPr>
        <w:t>и осталог сектора државе</w:t>
      </w:r>
    </w:p>
    <w:p w14:paraId="409CFCEC" w14:textId="77777777" w:rsidR="00181BDB" w:rsidRPr="0007074F" w:rsidRDefault="00181BDB" w:rsidP="00C91F83">
      <w:pPr>
        <w:rPr>
          <w:rFonts w:ascii="Calibri" w:eastAsia="Calibri" w:hAnsi="Calibri" w:cs="Calibri"/>
          <w:bCs/>
          <w:spacing w:val="-2"/>
          <w:szCs w:val="72"/>
          <w:lang w:val="sr-Cyrl-CS"/>
        </w:rPr>
        <w:sectPr w:rsidR="00181BDB" w:rsidRPr="0007074F" w:rsidSect="00523B7B">
          <w:type w:val="continuous"/>
          <w:pgSz w:w="12240" w:h="15840"/>
          <w:pgMar w:top="1440" w:right="1440" w:bottom="1440" w:left="1440" w:header="720" w:footer="720" w:gutter="0"/>
          <w:cols w:space="720"/>
          <w15:footnoteColumns w:val="1"/>
        </w:sectPr>
      </w:pPr>
    </w:p>
    <w:p w14:paraId="619FC84B" w14:textId="77777777" w:rsidR="00181BDB" w:rsidRPr="0007074F" w:rsidRDefault="00181BDB" w:rsidP="00C91F83">
      <w:pPr>
        <w:rPr>
          <w:rFonts w:ascii="Calibri" w:eastAsia="Calibri" w:hAnsi="Calibri" w:cs="Calibri"/>
          <w:bCs/>
          <w:spacing w:val="-2"/>
          <w:szCs w:val="72"/>
          <w:lang w:val="sr-Cyrl-CS"/>
        </w:rPr>
      </w:pPr>
      <w:r w:rsidRPr="0007074F">
        <w:rPr>
          <w:rFonts w:ascii="Calibri" w:eastAsia="Calibri" w:hAnsi="Calibri" w:cs="Calibri"/>
          <w:bCs/>
          <w:spacing w:val="-2"/>
          <w:szCs w:val="72"/>
          <w:lang w:val="sr-Cyrl-CS"/>
        </w:rPr>
        <w:lastRenderedPageBreak/>
        <w:t>На крају 2023. године очекује се да учешће јавног дуга сектора државе у БДП износи 54,3%. У наредним годинама се очекује пад рација, који би у основном сценарију требало на крају 2024. године да износи 54,0%, на крају 2025. године 53,0%, а на крају 2026. године 51,9%. У датом периоду се очекује реализација великих инфраструктурних пројеката који ће бити финансирани углавном из пројектних зајмова, те њихова интензивнија реализација у односу на претходни период. Ово је управо једна од тачака где се може видети јасна координација фискалних и развојних циљева. Води се рачуна о одрживости јавног дуга и постепеном паду његовог учешћа у БДП, уз истовремено коришћење новог задуживања за побољшање инфраструктурних услова који доводе до раста БДП, животног стандарда и нових инвестиција. Предвиђа се да ће негарантовани дуг јединица локалне самоуправе и осталог сектора државе у наредном периоду бити на релативно стабилном нивоу од 0,7% до 1,0% БДП.</w:t>
      </w:r>
    </w:p>
    <w:p w14:paraId="49D3C7ED" w14:textId="77777777" w:rsidR="00181BDB" w:rsidRPr="0007074F" w:rsidRDefault="00181BDB" w:rsidP="00C91F83">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t>Принципи управљања јавним дугом</w:t>
      </w:r>
    </w:p>
    <w:p w14:paraId="5CA9B167"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Према Закону о јавном дугу, примарни циљ задуживања Републике Србије и управљања јавним дугом је обезбеђивање средстава за редовно сервисирање буџетских потреба по најповољнијим условима и трошковима финансирања уз прихватљив ниво ризика. На основу тога, Стратегија управљања јавним дугом Републике Србије дефинише следеће опште циљеве и принципе:</w:t>
      </w:r>
    </w:p>
    <w:p w14:paraId="7507A23E"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1) Осигурати финансирање фискалног дефицита и редовно сервисирање обавеза по основу јавног дуга Републике Србије;</w:t>
      </w:r>
    </w:p>
    <w:p w14:paraId="40E81EF5"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2)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p>
    <w:p w14:paraId="23F86F5A"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3) Наставити развој тржишта државних хартија од вредности које се емитују на домаћем и међународном тржишту, што би помогло у смањењу трошкова задуживања у средњем и дугом року;</w:t>
      </w:r>
    </w:p>
    <w:p w14:paraId="0CD49B14"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4) Омогућити транспарентност и предвидивост процеса задуживања.</w:t>
      </w:r>
    </w:p>
    <w:p w14:paraId="534DF767"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Стратегија управљања јавним дугом конзистентна је са општим средњорочним макроекономским и фискалним оквиром.</w:t>
      </w:r>
    </w:p>
    <w:p w14:paraId="7118F98A" w14:textId="77777777" w:rsidR="00181BDB" w:rsidRPr="0007074F" w:rsidRDefault="00181BDB" w:rsidP="00C91F83">
      <w:pPr>
        <w:rPr>
          <w:rFonts w:ascii="Calibri" w:eastAsia="Calibri" w:hAnsi="Calibri" w:cs="Calibri"/>
          <w:bCs/>
          <w:spacing w:val="-2"/>
          <w:szCs w:val="72"/>
          <w:lang w:val="sr-Cyrl-CS"/>
        </w:rPr>
      </w:pPr>
      <w:r w:rsidRPr="0007074F">
        <w:rPr>
          <w:rFonts w:ascii="Calibri" w:eastAsia="Calibri" w:hAnsi="Calibri" w:cs="Calibri"/>
          <w:bCs/>
          <w:spacing w:val="-2"/>
          <w:szCs w:val="72"/>
          <w:lang w:val="sr-Cyrl-CS"/>
        </w:rPr>
        <w:t>Стратегија управљања јавним дугом у наредном средњорочном периоду базира се на финансирању дефицита и главнице дуга буџета Републике Србије путем емисија државних хартија од вредности на домаћем и међународном тржишту капитала како би било испуњено редовно сервисирање обавеза. Флексибилност ће се огледати у домену избора тржишта на коме ће се вршити задуживање, валуте задуживања и инструмената финансирања. Избор структуре финансирања узимаће у обзир тренутно стање и тренд развоја домаћег и међународног финансијског тржишта (ниво каматних стопа, премије ризика, криву приноса, девизне курсеве референтних валута) и прихватљив ниво изложености финансијским ризицима.</w:t>
      </w:r>
    </w:p>
    <w:p w14:paraId="662A1C24"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Циљ је да се у наредном дугорочном периоду финансирање обавља пре свега емитовањем динарских хартија од вредности на домаћем тржишту. Део финансирања може бити обезбеђен и на међународном финансијском тржишту у средњорочном периоду. Успостављање </w:t>
      </w:r>
      <w:r w:rsidRPr="0007074F">
        <w:rPr>
          <w:rFonts w:ascii="Calibri" w:eastAsia="Calibri" w:hAnsi="Calibri" w:cs="Calibri"/>
          <w:bCs/>
          <w:i/>
          <w:szCs w:val="72"/>
          <w:lang w:val="sr-Cyrl-CS"/>
        </w:rPr>
        <w:t>GMTN</w:t>
      </w:r>
      <w:r w:rsidRPr="0007074F">
        <w:rPr>
          <w:rFonts w:ascii="Calibri" w:eastAsia="Calibri" w:hAnsi="Calibri" w:cs="Calibri"/>
          <w:bCs/>
          <w:szCs w:val="72"/>
          <w:lang w:val="sr-Cyrl-CS"/>
        </w:rPr>
        <w:t xml:space="preserve"> програма у 2020. години омогућило је флексибилност у избору финансирања и бржи приступ финансирању на међународном тржишту.</w:t>
      </w:r>
    </w:p>
    <w:p w14:paraId="78867867"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Позајмљивање у страној валути, као нпр. у америчким доларима, за собом повлачи и девизни ризик услед промене курса евро – амерички долар, те ће се из тог разлога користити могућност хеџинга.</w:t>
      </w:r>
    </w:p>
    <w:p w14:paraId="59C5F3C3"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1A2572DB" w14:textId="77777777" w:rsidR="00181BDB" w:rsidRPr="0007074F" w:rsidRDefault="00181BDB" w:rsidP="00523B7B">
      <w:pPr>
        <w:rPr>
          <w:lang w:val="sr-Cyrl-CS"/>
        </w:rPr>
      </w:pPr>
      <w:r w:rsidRPr="0007074F">
        <w:rPr>
          <w:lang w:val="sr-Cyrl-CS"/>
        </w:rPr>
        <w:br w:type="page"/>
      </w:r>
    </w:p>
    <w:p w14:paraId="29B40E6E" w14:textId="77777777" w:rsidR="00181BDB" w:rsidRPr="0007074F" w:rsidRDefault="00181BDB" w:rsidP="00C91F83">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lastRenderedPageBreak/>
        <w:t>Финансијски ризици и мере за управљање финансијским ризицима</w:t>
      </w:r>
    </w:p>
    <w:p w14:paraId="7B9A67C0"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Утицај финансијских и фискалних ризика може довести до већег раста јавног дуга него што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(структура дуга, концентрација обавеза).</w:t>
      </w:r>
    </w:p>
    <w:p w14:paraId="6D8B3020" w14:textId="77777777" w:rsidR="00181BDB" w:rsidRPr="0007074F" w:rsidRDefault="00181BDB" w:rsidP="00C91F83">
      <w:pPr>
        <w:spacing w:after="120"/>
        <w:rPr>
          <w:rFonts w:ascii="Calibri" w:eastAsia="Calibri" w:hAnsi="Calibri" w:cs="Calibri"/>
          <w:bCs/>
          <w:szCs w:val="72"/>
          <w:lang w:val="sr-Cyrl-CS"/>
        </w:rPr>
      </w:pPr>
      <w:r w:rsidRPr="0007074F">
        <w:rPr>
          <w:rFonts w:ascii="Calibri" w:eastAsia="Calibri" w:hAnsi="Calibri" w:cs="Calibri"/>
          <w:bCs/>
          <w:szCs w:val="72"/>
          <w:lang w:val="sr-Cyrl-CS"/>
        </w:rPr>
        <w:t>У циљу смањења изложености финансијским ризицима потребно је спроводити следеће мере:</w:t>
      </w:r>
    </w:p>
    <w:p w14:paraId="0FC233BD" w14:textId="77777777" w:rsidR="00181BDB" w:rsidRPr="0007074F" w:rsidRDefault="00181BDB" w:rsidP="00C91F83">
      <w:pPr>
        <w:spacing w:after="60"/>
        <w:rPr>
          <w:rFonts w:ascii="Calibri" w:eastAsia="Calibri" w:hAnsi="Calibri" w:cs="Calibri"/>
          <w:bCs/>
          <w:szCs w:val="72"/>
          <w:lang w:val="sr-Cyrl-CS"/>
        </w:rPr>
      </w:pPr>
      <w:r w:rsidRPr="0007074F">
        <w:rPr>
          <w:rFonts w:ascii="Calibri" w:eastAsia="Calibri" w:hAnsi="Calibri" w:cs="Calibri"/>
          <w:bCs/>
          <w:szCs w:val="72"/>
          <w:lang w:val="sr-Cyrl-CS"/>
        </w:rPr>
        <w:t>1. ризик рефинансирања</w:t>
      </w:r>
    </w:p>
    <w:p w14:paraId="284793BB" w14:textId="77777777" w:rsidR="00181BDB" w:rsidRPr="0007074F" w:rsidRDefault="00181BDB" w:rsidP="00DB0157">
      <w:pPr>
        <w:numPr>
          <w:ilvl w:val="0"/>
          <w:numId w:val="8"/>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повећање учешћа средњорочних и дугорочних финансијских инструмената деноминованих у динарима на домаћем финансијском тржишту;</w:t>
      </w:r>
    </w:p>
    <w:p w14:paraId="5CFB3E01" w14:textId="77777777" w:rsidR="00181BDB" w:rsidRPr="0007074F" w:rsidRDefault="00181BDB" w:rsidP="00DB0157">
      <w:pPr>
        <w:numPr>
          <w:ilvl w:val="0"/>
          <w:numId w:val="8"/>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равномерна расподела обавеза по основу јавног дуга на годишњем нивоу у наредном дугорочном периоду;</w:t>
      </w:r>
    </w:p>
    <w:p w14:paraId="2D869ABC" w14:textId="77777777" w:rsidR="00181BDB" w:rsidRPr="0007074F" w:rsidRDefault="00181BDB" w:rsidP="00DB0157">
      <w:pPr>
        <w:numPr>
          <w:ilvl w:val="0"/>
          <w:numId w:val="8"/>
        </w:numPr>
        <w:spacing w:after="120"/>
        <w:ind w:left="181" w:hanging="181"/>
        <w:rPr>
          <w:rFonts w:ascii="Calibri" w:eastAsia="Calibri" w:hAnsi="Calibri" w:cs="Calibri"/>
          <w:bCs/>
          <w:szCs w:val="72"/>
          <w:lang w:val="sr-Cyrl-CS"/>
        </w:rPr>
      </w:pPr>
      <w:r w:rsidRPr="0007074F">
        <w:rPr>
          <w:rFonts w:ascii="Calibri" w:eastAsia="Calibri" w:hAnsi="Calibri" w:cs="Calibri"/>
          <w:bCs/>
          <w:szCs w:val="72"/>
          <w:lang w:val="sr-Cyrl-CS"/>
        </w:rPr>
        <w:t>продужавање просечне рочности дуга који се емитује у хартијама од вредности;</w:t>
      </w:r>
    </w:p>
    <w:p w14:paraId="1FEAE721" w14:textId="77777777" w:rsidR="00181BDB" w:rsidRPr="0007074F" w:rsidRDefault="00181BDB" w:rsidP="00C91F83">
      <w:pPr>
        <w:spacing w:after="60"/>
        <w:rPr>
          <w:rFonts w:ascii="Calibri" w:eastAsia="Calibri" w:hAnsi="Calibri" w:cs="Calibri"/>
          <w:bCs/>
          <w:szCs w:val="72"/>
          <w:lang w:val="sr-Cyrl-CS"/>
        </w:rPr>
      </w:pPr>
      <w:r w:rsidRPr="0007074F">
        <w:rPr>
          <w:rFonts w:ascii="Calibri" w:eastAsia="Calibri" w:hAnsi="Calibri" w:cs="Calibri"/>
          <w:bCs/>
          <w:szCs w:val="72"/>
          <w:lang w:val="sr-Cyrl-CS"/>
        </w:rPr>
        <w:t>2. девизни ризик</w:t>
      </w:r>
    </w:p>
    <w:p w14:paraId="11B1A5BF" w14:textId="77777777" w:rsidR="00181BDB" w:rsidRPr="0007074F" w:rsidRDefault="00181BDB" w:rsidP="00DB0157">
      <w:pPr>
        <w:numPr>
          <w:ilvl w:val="1"/>
          <w:numId w:val="9"/>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настојање да се смањи учешће дуга деноминованог у ино-валути уз уважавање трошкова новог дуга (трошкови динаризације дуга);</w:t>
      </w:r>
    </w:p>
    <w:p w14:paraId="6730522C" w14:textId="77777777" w:rsidR="00181BDB" w:rsidRPr="0007074F" w:rsidRDefault="00181BDB" w:rsidP="00DB0157">
      <w:pPr>
        <w:numPr>
          <w:ilvl w:val="1"/>
          <w:numId w:val="9"/>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коришћење финансијских деривата у циљу лимитирања ефеката промене курсева референтних валута;</w:t>
      </w:r>
    </w:p>
    <w:p w14:paraId="43CD4E41" w14:textId="77777777" w:rsidR="00181BDB" w:rsidRPr="0007074F" w:rsidRDefault="00181BDB" w:rsidP="00DB0157">
      <w:pPr>
        <w:numPr>
          <w:ilvl w:val="1"/>
          <w:numId w:val="9"/>
        </w:numPr>
        <w:spacing w:after="120"/>
        <w:ind w:left="181" w:hanging="181"/>
        <w:rPr>
          <w:rFonts w:ascii="Calibri" w:eastAsia="Calibri" w:hAnsi="Calibri" w:cs="Calibri"/>
          <w:bCs/>
          <w:szCs w:val="72"/>
          <w:lang w:val="sr-Cyrl-CS"/>
        </w:rPr>
      </w:pPr>
      <w:r w:rsidRPr="0007074F">
        <w:rPr>
          <w:rFonts w:ascii="Calibri" w:eastAsia="Calibri" w:hAnsi="Calibri" w:cs="Calibri"/>
          <w:bCs/>
          <w:szCs w:val="72"/>
          <w:lang w:val="sr-Cyrl-CS"/>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финансијских деривата за лимитирање ризика;</w:t>
      </w:r>
    </w:p>
    <w:p w14:paraId="363FFF83" w14:textId="77777777" w:rsidR="00181BDB" w:rsidRPr="0007074F" w:rsidRDefault="00181BDB" w:rsidP="00523B7B">
      <w:pPr>
        <w:spacing w:after="60"/>
        <w:ind w:left="181" w:hanging="181"/>
        <w:rPr>
          <w:rFonts w:ascii="Calibri" w:eastAsia="Calibri" w:hAnsi="Calibri" w:cs="Calibri"/>
          <w:bCs/>
          <w:szCs w:val="72"/>
          <w:lang w:val="sr-Cyrl-CS"/>
        </w:rPr>
      </w:pPr>
      <w:r w:rsidRPr="0007074F">
        <w:rPr>
          <w:rFonts w:ascii="Calibri" w:eastAsia="Calibri" w:hAnsi="Calibri" w:cs="Calibri"/>
          <w:bCs/>
          <w:szCs w:val="72"/>
          <w:lang w:val="sr-Cyrl-CS"/>
        </w:rPr>
        <w:t>3. тржишни ризик (ризик каматних стопа, ризик инфлације)</w:t>
      </w:r>
    </w:p>
    <w:p w14:paraId="503A0DA5" w14:textId="77777777" w:rsidR="00181BDB" w:rsidRPr="0007074F" w:rsidRDefault="00181BDB" w:rsidP="00DB0157">
      <w:pPr>
        <w:numPr>
          <w:ilvl w:val="1"/>
          <w:numId w:val="10"/>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настојање да се продужи просечна рочност домаћег дуга у динарима;</w:t>
      </w:r>
    </w:p>
    <w:p w14:paraId="5E2A509A" w14:textId="77777777" w:rsidR="00181BDB" w:rsidRPr="0007074F" w:rsidRDefault="00181BDB" w:rsidP="00DB0157">
      <w:pPr>
        <w:numPr>
          <w:ilvl w:val="1"/>
          <w:numId w:val="10"/>
        </w:numPr>
        <w:spacing w:after="120"/>
        <w:ind w:left="181" w:hanging="181"/>
        <w:rPr>
          <w:rFonts w:ascii="Calibri" w:eastAsia="Calibri" w:hAnsi="Calibri" w:cs="Calibri"/>
          <w:bCs/>
          <w:szCs w:val="72"/>
          <w:lang w:val="sr-Cyrl-CS"/>
        </w:rPr>
      </w:pPr>
      <w:r w:rsidRPr="0007074F">
        <w:rPr>
          <w:rFonts w:ascii="Calibri" w:eastAsia="Calibri" w:hAnsi="Calibri" w:cs="Calibri"/>
          <w:bCs/>
          <w:szCs w:val="72"/>
          <w:lang w:val="sr-Cyrl-CS"/>
        </w:rPr>
        <w:t>настојање да ризик по основу каматних стопа на спољни дуг не угрожава дугорочни циљ минимизације трошкова јавног дуга;</w:t>
      </w:r>
    </w:p>
    <w:p w14:paraId="1862FFBC" w14:textId="77777777" w:rsidR="00181BDB" w:rsidRPr="0007074F" w:rsidRDefault="00181BDB" w:rsidP="00C91F83">
      <w:pPr>
        <w:spacing w:after="60"/>
        <w:rPr>
          <w:rFonts w:ascii="Calibri" w:eastAsia="Calibri" w:hAnsi="Calibri" w:cs="Calibri"/>
          <w:bCs/>
          <w:szCs w:val="72"/>
          <w:lang w:val="sr-Cyrl-CS"/>
        </w:rPr>
      </w:pPr>
      <w:r w:rsidRPr="0007074F">
        <w:rPr>
          <w:rFonts w:ascii="Calibri" w:eastAsia="Calibri" w:hAnsi="Calibri" w:cs="Calibri"/>
          <w:bCs/>
          <w:szCs w:val="72"/>
          <w:lang w:val="sr-Cyrl-CS"/>
        </w:rPr>
        <w:br w:type="column"/>
      </w:r>
      <w:r w:rsidRPr="0007074F">
        <w:rPr>
          <w:rFonts w:ascii="Calibri" w:eastAsia="Calibri" w:hAnsi="Calibri" w:cs="Calibri"/>
          <w:bCs/>
          <w:szCs w:val="72"/>
          <w:lang w:val="sr-Cyrl-CS"/>
        </w:rPr>
        <w:t>4. ризик ликвидности</w:t>
      </w:r>
    </w:p>
    <w:p w14:paraId="28F99655" w14:textId="77777777" w:rsidR="00181BDB" w:rsidRPr="0007074F" w:rsidRDefault="00181BDB" w:rsidP="00DB0157">
      <w:pPr>
        <w:numPr>
          <w:ilvl w:val="1"/>
          <w:numId w:val="11"/>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апсорпцију евентуалних мањих прилива по основу задуживања у односу на план;</w:t>
      </w:r>
    </w:p>
    <w:p w14:paraId="0A08F5DA" w14:textId="77777777" w:rsidR="00181BDB" w:rsidRPr="0007074F" w:rsidRDefault="00181BDB" w:rsidP="00DB0157">
      <w:pPr>
        <w:numPr>
          <w:ilvl w:val="1"/>
          <w:numId w:val="11"/>
        </w:numPr>
        <w:spacing w:after="120"/>
        <w:ind w:left="181" w:hanging="181"/>
        <w:rPr>
          <w:rFonts w:ascii="Calibri" w:eastAsia="Calibri" w:hAnsi="Calibri" w:cs="Calibri"/>
          <w:bCs/>
          <w:szCs w:val="72"/>
          <w:lang w:val="sr-Cyrl-CS"/>
        </w:rPr>
      </w:pPr>
      <w:r w:rsidRPr="0007074F">
        <w:rPr>
          <w:rFonts w:ascii="Calibri" w:eastAsia="Calibri" w:hAnsi="Calibri" w:cs="Calibri"/>
          <w:bCs/>
          <w:szCs w:val="72"/>
          <w:lang w:val="sr-Cyrl-CS"/>
        </w:rPr>
        <w:t>адекватно управљање слободним готовинским средствима на рачунима Републике Србије у складу са принципима asset-liability management и у складу са могућностима;</w:t>
      </w:r>
    </w:p>
    <w:p w14:paraId="14CC5DCD" w14:textId="77777777" w:rsidR="00181BDB" w:rsidRPr="0007074F" w:rsidRDefault="00181BDB" w:rsidP="00C91F83">
      <w:pPr>
        <w:spacing w:after="60"/>
        <w:rPr>
          <w:rFonts w:ascii="Calibri" w:eastAsia="Calibri" w:hAnsi="Calibri" w:cs="Calibri"/>
          <w:bCs/>
          <w:szCs w:val="72"/>
          <w:lang w:val="sr-Cyrl-CS"/>
        </w:rPr>
      </w:pPr>
      <w:r w:rsidRPr="0007074F">
        <w:rPr>
          <w:rFonts w:ascii="Calibri" w:eastAsia="Calibri" w:hAnsi="Calibri" w:cs="Calibri"/>
          <w:bCs/>
          <w:szCs w:val="72"/>
          <w:lang w:val="sr-Cyrl-CS"/>
        </w:rPr>
        <w:t>5. кредитни и оперативни ризици</w:t>
      </w:r>
    </w:p>
    <w:p w14:paraId="7F373E63" w14:textId="77777777" w:rsidR="00181BDB" w:rsidRPr="0007074F" w:rsidRDefault="00181BDB" w:rsidP="00DB0157">
      <w:pPr>
        <w:numPr>
          <w:ilvl w:val="1"/>
          <w:numId w:val="12"/>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спровођење трансакција са финансијским дериватима само са финансијским институцијама које имају висок кредитни рејтинг;</w:t>
      </w:r>
    </w:p>
    <w:p w14:paraId="05614FA8" w14:textId="77777777" w:rsidR="00181BDB" w:rsidRPr="0007074F" w:rsidRDefault="00181BDB" w:rsidP="00DB0157">
      <w:pPr>
        <w:numPr>
          <w:ilvl w:val="1"/>
          <w:numId w:val="12"/>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коришћење финансијских инструмената који лимитирају кредитни ризик;</w:t>
      </w:r>
    </w:p>
    <w:p w14:paraId="0139A4E5" w14:textId="77777777" w:rsidR="00181BDB" w:rsidRPr="0007074F" w:rsidRDefault="00181BDB" w:rsidP="00DB0157">
      <w:pPr>
        <w:numPr>
          <w:ilvl w:val="1"/>
          <w:numId w:val="12"/>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давање гаранција и одобравање новог дуга јединицама локалне самоуправе само ако постоји адекватна анализа о релативно ниском степену вероватноће да се реализује гаранција или да јединица локалне самоуправе постане несолвентна у средњорочном периоду;</w:t>
      </w:r>
    </w:p>
    <w:p w14:paraId="1B7795E6" w14:textId="77777777" w:rsidR="00181BDB" w:rsidRPr="0007074F" w:rsidRDefault="00181BDB" w:rsidP="00523B7B">
      <w:pPr>
        <w:numPr>
          <w:ilvl w:val="0"/>
          <w:numId w:val="5"/>
        </w:numPr>
        <w:tabs>
          <w:tab w:val="left" w:pos="90"/>
        </w:tabs>
        <w:spacing w:after="120"/>
        <w:ind w:left="181" w:hanging="181"/>
        <w:rPr>
          <w:rFonts w:ascii="Calibri" w:eastAsia="Calibri" w:hAnsi="Calibri" w:cs="Calibri"/>
          <w:bCs/>
          <w:szCs w:val="72"/>
          <w:lang w:val="sr-Cyrl-CS"/>
        </w:rPr>
      </w:pPr>
      <w:r w:rsidRPr="0007074F">
        <w:rPr>
          <w:rFonts w:ascii="Calibri" w:eastAsia="Calibri" w:hAnsi="Calibri" w:cs="Calibri"/>
          <w:bCs/>
          <w:szCs w:val="72"/>
          <w:lang w:val="sr-Cyrl-CS"/>
        </w:rPr>
        <w:t>увођење адекватне контроле у свим пословним активностима у Управи за јавни дуг и унапређење знања запослених;</w:t>
      </w:r>
    </w:p>
    <w:p w14:paraId="55BE4E94" w14:textId="77777777" w:rsidR="00181BDB" w:rsidRPr="0007074F" w:rsidRDefault="00181BDB" w:rsidP="00523B7B">
      <w:pPr>
        <w:tabs>
          <w:tab w:val="left" w:pos="90"/>
        </w:tabs>
        <w:spacing w:after="60"/>
        <w:ind w:left="181" w:hanging="181"/>
        <w:rPr>
          <w:rFonts w:ascii="Calibri" w:eastAsia="Calibri" w:hAnsi="Calibri" w:cs="Calibri"/>
          <w:bCs/>
          <w:szCs w:val="72"/>
          <w:lang w:val="sr-Cyrl-CS"/>
        </w:rPr>
      </w:pPr>
      <w:r w:rsidRPr="0007074F">
        <w:rPr>
          <w:rFonts w:ascii="Calibri" w:eastAsia="Calibri" w:hAnsi="Calibri" w:cs="Calibri"/>
          <w:bCs/>
          <w:szCs w:val="72"/>
          <w:lang w:val="sr-Cyrl-CS"/>
        </w:rPr>
        <w:t>6. ризици везани за дистрибуцију трошкова сервисирања</w:t>
      </w:r>
    </w:p>
    <w:p w14:paraId="00D967B0" w14:textId="77777777" w:rsidR="00181BDB" w:rsidRPr="0007074F" w:rsidRDefault="00181BDB" w:rsidP="00523B7B">
      <w:pPr>
        <w:numPr>
          <w:ilvl w:val="0"/>
          <w:numId w:val="5"/>
        </w:numPr>
        <w:tabs>
          <w:tab w:val="left" w:pos="90"/>
        </w:tabs>
        <w:ind w:left="181" w:hanging="181"/>
        <w:contextualSpacing/>
        <w:rPr>
          <w:rFonts w:ascii="Calibri" w:eastAsia="Calibri" w:hAnsi="Calibri" w:cs="Calibri"/>
          <w:bCs/>
          <w:szCs w:val="72"/>
          <w:lang w:val="sr-Cyrl-CS"/>
        </w:rPr>
      </w:pPr>
      <w:r w:rsidRPr="0007074F">
        <w:rPr>
          <w:rFonts w:ascii="Calibri" w:eastAsia="Calibri" w:hAnsi="Calibri" w:cs="Calibri"/>
          <w:bCs/>
          <w:szCs w:val="72"/>
          <w:lang w:val="sr-Cyrl-CS"/>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p>
    <w:p w14:paraId="2F6B738D" w14:textId="77777777" w:rsidR="00181BDB" w:rsidRPr="0007074F" w:rsidRDefault="00181BDB" w:rsidP="00523B7B">
      <w:pPr>
        <w:numPr>
          <w:ilvl w:val="0"/>
          <w:numId w:val="5"/>
        </w:numPr>
        <w:tabs>
          <w:tab w:val="left" w:pos="90"/>
        </w:tabs>
        <w:ind w:left="181" w:hanging="181"/>
        <w:rPr>
          <w:rFonts w:ascii="Calibri" w:eastAsia="Calibri" w:hAnsi="Calibri" w:cs="Calibri"/>
          <w:bCs/>
          <w:szCs w:val="72"/>
          <w:lang w:val="sr-Cyrl-CS"/>
        </w:rPr>
      </w:pPr>
      <w:r w:rsidRPr="0007074F">
        <w:rPr>
          <w:rFonts w:ascii="Calibri" w:eastAsia="Calibri" w:hAnsi="Calibri" w:cs="Calibri"/>
          <w:bCs/>
          <w:szCs w:val="72"/>
          <w:lang w:val="sr-Cyrl-CS"/>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14:paraId="483CACEF" w14:textId="77777777" w:rsidR="00181BDB" w:rsidRPr="0007074F" w:rsidRDefault="00181BDB" w:rsidP="00523B7B">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t>Анализе коришћене приликом израде Стратегије за управљање јавним дугом</w:t>
      </w:r>
    </w:p>
    <w:p w14:paraId="5AC32174"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За формулисање Стратегије за управљање јавним дугом коришћен је квантитативни приступ у анализи трошкова и ризика који утичу на управљање јавним дугом.</w:t>
      </w:r>
    </w:p>
    <w:p w14:paraId="0AE75262"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lastRenderedPageBreak/>
        <w:t>Имајући у виду макроекономско окружење и тржишне услове, упоредно се разматрају алтернативни извори финансирања.</w:t>
      </w:r>
    </w:p>
    <w:p w14:paraId="67503B03"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У сврху анализе коришћени су инструменти доступни на домаћем и међународном финансијском тржишту.</w:t>
      </w:r>
    </w:p>
    <w:p w14:paraId="0BF4D1E3" w14:textId="77777777" w:rsidR="00181BDB" w:rsidRPr="0007074F" w:rsidRDefault="00181BDB" w:rsidP="00523B7B">
      <w:pPr>
        <w:spacing w:after="120"/>
        <w:rPr>
          <w:rFonts w:ascii="Calibri" w:eastAsia="Calibri" w:hAnsi="Calibri" w:cs="Calibri"/>
          <w:bCs/>
          <w:szCs w:val="72"/>
          <w:lang w:val="sr-Cyrl-CS"/>
        </w:rPr>
      </w:pPr>
      <w:r w:rsidRPr="0007074F">
        <w:rPr>
          <w:rFonts w:ascii="Calibri" w:eastAsia="Calibri" w:hAnsi="Calibri" w:cs="Calibri"/>
          <w:bCs/>
          <w:szCs w:val="72"/>
          <w:lang w:val="sr-Cyrl-CS"/>
        </w:rPr>
        <w:t>Извори финансирања деноминовани у страној валути:</w:t>
      </w:r>
    </w:p>
    <w:p w14:paraId="4A24A53D" w14:textId="77777777" w:rsidR="00181BDB" w:rsidRPr="0007074F" w:rsidRDefault="00181BDB" w:rsidP="00523B7B">
      <w:pPr>
        <w:numPr>
          <w:ilvl w:val="0"/>
          <w:numId w:val="6"/>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Зајмови страних влада и међународних финансијских институција, као и домаћих пословних банака – приказани као концесионални инструменти деноминовани у еврима или америчким доларима, са фиксном или варијабилном каматном стопом;</w:t>
      </w:r>
    </w:p>
    <w:p w14:paraId="7AE402B4" w14:textId="77777777" w:rsidR="00181BDB" w:rsidRPr="0007074F" w:rsidRDefault="00181BDB" w:rsidP="00523B7B">
      <w:pPr>
        <w:numPr>
          <w:ilvl w:val="0"/>
          <w:numId w:val="6"/>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Домаћи дуг деноминован у еврима исказан кроз државнe записe и државне обвезнице емитоване на домаћем финансијском тржишту и иностраном тржишту;</w:t>
      </w:r>
    </w:p>
    <w:p w14:paraId="1848A2A9" w14:textId="77777777" w:rsidR="00181BDB" w:rsidRPr="0007074F" w:rsidRDefault="00181BDB" w:rsidP="00523B7B">
      <w:pPr>
        <w:numPr>
          <w:ilvl w:val="0"/>
          <w:numId w:val="6"/>
        </w:numPr>
        <w:ind w:left="180" w:hanging="180"/>
        <w:contextualSpacing/>
        <w:rPr>
          <w:rFonts w:ascii="Calibri" w:eastAsia="Calibri" w:hAnsi="Calibri" w:cs="Calibri"/>
          <w:bCs/>
          <w:szCs w:val="72"/>
          <w:lang w:val="sr-Cyrl-CS"/>
        </w:rPr>
      </w:pPr>
      <w:r w:rsidRPr="0007074F">
        <w:rPr>
          <w:rFonts w:ascii="Calibri" w:eastAsia="Calibri" w:hAnsi="Calibri" w:cs="Calibri"/>
          <w:bCs/>
          <w:szCs w:val="72"/>
          <w:lang w:val="sr-Cyrl-CS"/>
        </w:rPr>
        <w:t>Еврообвезница – емитована у еврима или америчким доларима на међународном финансијском тржишту.</w:t>
      </w:r>
    </w:p>
    <w:p w14:paraId="3594FD32" w14:textId="77777777" w:rsidR="00181BDB" w:rsidRPr="0007074F" w:rsidRDefault="00181BDB" w:rsidP="00523B7B">
      <w:pPr>
        <w:ind w:left="180"/>
        <w:contextualSpacing/>
        <w:rPr>
          <w:rFonts w:ascii="Calibri" w:eastAsia="Calibri" w:hAnsi="Calibri" w:cs="Calibri"/>
          <w:bCs/>
          <w:szCs w:val="72"/>
          <w:lang w:val="sr-Cyrl-CS"/>
        </w:rPr>
      </w:pPr>
    </w:p>
    <w:p w14:paraId="2FC22BCD" w14:textId="77777777" w:rsidR="00181BDB" w:rsidRPr="0007074F" w:rsidRDefault="00181BDB" w:rsidP="00523B7B">
      <w:pPr>
        <w:spacing w:after="120"/>
        <w:rPr>
          <w:rFonts w:ascii="Calibri" w:eastAsia="Calibri" w:hAnsi="Calibri" w:cs="Calibri"/>
          <w:bCs/>
          <w:szCs w:val="72"/>
          <w:lang w:val="sr-Cyrl-CS"/>
        </w:rPr>
      </w:pPr>
      <w:r w:rsidRPr="0007074F">
        <w:rPr>
          <w:rFonts w:ascii="Calibri" w:eastAsia="Calibri" w:hAnsi="Calibri" w:cs="Calibri"/>
          <w:bCs/>
          <w:szCs w:val="72"/>
          <w:lang w:val="sr-Cyrl-CS"/>
        </w:rPr>
        <w:t>Извори финансирања у домаћој валути:</w:t>
      </w:r>
    </w:p>
    <w:p w14:paraId="471719A2" w14:textId="77777777" w:rsidR="00181BDB" w:rsidRPr="0007074F" w:rsidRDefault="00181BDB" w:rsidP="00523B7B">
      <w:pPr>
        <w:numPr>
          <w:ilvl w:val="1"/>
          <w:numId w:val="7"/>
        </w:numPr>
        <w:ind w:left="181" w:hanging="181"/>
        <w:rPr>
          <w:rFonts w:ascii="Calibri" w:eastAsia="Calibri" w:hAnsi="Calibri" w:cs="Calibri"/>
          <w:bCs/>
          <w:szCs w:val="72"/>
          <w:lang w:val="sr-Cyrl-CS"/>
        </w:rPr>
      </w:pPr>
      <w:r w:rsidRPr="0007074F">
        <w:rPr>
          <w:rFonts w:ascii="Calibri" w:eastAsia="Calibri" w:hAnsi="Calibri" w:cs="Calibri"/>
          <w:bCs/>
          <w:szCs w:val="72"/>
          <w:lang w:val="sr-Cyrl-CS"/>
        </w:rPr>
        <w:t>Све државне хартије од вредности деноминоване у динарима груписане су на државне записе (са роковима доспећа до 53 недеље) и државне обвезнице (са роковима доспећа од две године и више).</w:t>
      </w:r>
    </w:p>
    <w:p w14:paraId="5C3F449A" w14:textId="77777777" w:rsidR="00181BDB" w:rsidRPr="0007074F" w:rsidRDefault="00181BDB" w:rsidP="00523B7B">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t>Будуће тржишне каматне стопе и сценарио анализа</w:t>
      </w:r>
    </w:p>
    <w:p w14:paraId="02379F3E"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Након избора одговарајуће композиције извора финансирања (изабране и компаративних стратегија финансирања), приступа се анализи трошкова и ризика полазећи од основног (највероватнијег) сценарија, након чега се врши стрес тестирање за додатне врсте сценарија –шокова, како би се добио преглед ефеката коштања разматраних стратегија.</w:t>
      </w:r>
    </w:p>
    <w:p w14:paraId="2AE4B217"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Основни сценарио се базира на највише вероватним тржишним условима за три групе тржишних варијабли: девизни курс, каматне стопе на међународном тржишту и каматне стопе на домаћем тржишту. Приступ за динарске и евро каматне стопе заснива се на стопама оствареним током претходне и текуће године.</w:t>
      </w:r>
    </w:p>
    <w:p w14:paraId="2290E86A"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Након дефинисања основног сценарија, у циљу стрес тестирања одабране су додатне врсте сценарија – шокова:</w:t>
      </w:r>
    </w:p>
    <w:p w14:paraId="2C30DCA3" w14:textId="77777777" w:rsidR="00181BDB" w:rsidRPr="0007074F" w:rsidRDefault="00181BDB" w:rsidP="00523B7B">
      <w:pPr>
        <w:pStyle w:val="ListParagraph"/>
        <w:numPr>
          <w:ilvl w:val="2"/>
          <w:numId w:val="6"/>
        </w:numPr>
        <w:spacing w:after="60"/>
        <w:ind w:left="227" w:hanging="227"/>
        <w:contextualSpacing w:val="0"/>
        <w:rPr>
          <w:rFonts w:ascii="Calibri" w:eastAsia="Calibri" w:hAnsi="Calibri" w:cs="Calibri"/>
          <w:bCs/>
          <w:szCs w:val="72"/>
          <w:lang w:val="sr-Cyrl-CS"/>
        </w:rPr>
      </w:pPr>
      <w:r w:rsidRPr="0007074F">
        <w:rPr>
          <w:rFonts w:ascii="Calibri" w:eastAsia="Calibri" w:hAnsi="Calibri" w:cs="Calibri"/>
          <w:bCs/>
          <w:szCs w:val="72"/>
          <w:lang w:val="sr-Cyrl-CS"/>
        </w:rPr>
        <w:t>Депрецијација динара у односу на све валуте од 15% у 2025.</w:t>
      </w:r>
      <w:r w:rsidRPr="0007074F">
        <w:rPr>
          <w:rFonts w:ascii="Calibri" w:eastAsia="Calibri" w:hAnsi="Calibri" w:cs="Calibri"/>
          <w:bCs/>
          <w:color w:val="FF0000"/>
          <w:szCs w:val="72"/>
          <w:lang w:val="sr-Cyrl-CS"/>
        </w:rPr>
        <w:t xml:space="preserve"> </w:t>
      </w:r>
      <w:r w:rsidRPr="0007074F">
        <w:rPr>
          <w:rFonts w:ascii="Calibri" w:eastAsia="Calibri" w:hAnsi="Calibri" w:cs="Calibri"/>
          <w:bCs/>
          <w:szCs w:val="72"/>
          <w:lang w:val="sr-Cyrl-CS"/>
        </w:rPr>
        <w:t>години. У овом сценарију однос евра и америчког долара би остао стабилан, док би само динар депрецирао у односу на обе валуте;</w:t>
      </w:r>
    </w:p>
    <w:p w14:paraId="698D208B" w14:textId="63196827" w:rsidR="00181BDB" w:rsidRPr="0007074F" w:rsidRDefault="00181BDB" w:rsidP="00523B7B">
      <w:pPr>
        <w:pStyle w:val="ListParagraph"/>
        <w:numPr>
          <w:ilvl w:val="2"/>
          <w:numId w:val="6"/>
        </w:numPr>
        <w:spacing w:after="60"/>
        <w:ind w:left="227" w:hanging="227"/>
        <w:contextualSpacing w:val="0"/>
        <w:rPr>
          <w:rFonts w:ascii="Calibri" w:eastAsia="Calibri" w:hAnsi="Calibri" w:cs="Calibri"/>
          <w:bCs/>
          <w:szCs w:val="72"/>
          <w:lang w:val="sr-Cyrl-CS"/>
        </w:rPr>
      </w:pPr>
      <w:r w:rsidRPr="0007074F">
        <w:rPr>
          <w:rFonts w:ascii="Calibri" w:eastAsia="Calibri" w:hAnsi="Calibri" w:cs="Calibri"/>
          <w:bCs/>
          <w:szCs w:val="72"/>
          <w:lang w:val="sr-Cyrl-CS"/>
        </w:rPr>
        <w:t>Повећање каматних стопа на домаћем и међунаро</w:t>
      </w:r>
      <w:r w:rsidR="005F391A" w:rsidRPr="0007074F">
        <w:rPr>
          <w:rFonts w:ascii="Calibri" w:eastAsia="Calibri" w:hAnsi="Calibri" w:cs="Calibri"/>
          <w:bCs/>
          <w:szCs w:val="72"/>
          <w:lang w:val="sr-Cyrl-CS"/>
        </w:rPr>
        <w:t>дном тржишту за 2 п.п</w:t>
      </w:r>
      <w:r w:rsidRPr="0007074F">
        <w:rPr>
          <w:rFonts w:ascii="Calibri" w:eastAsia="Calibri" w:hAnsi="Calibri" w:cs="Calibri"/>
          <w:bCs/>
          <w:szCs w:val="72"/>
          <w:lang w:val="sr-Cyrl-CS"/>
        </w:rPr>
        <w:t>;</w:t>
      </w:r>
    </w:p>
    <w:p w14:paraId="662671B3" w14:textId="0D8704B3" w:rsidR="00181BDB" w:rsidRPr="0007074F" w:rsidRDefault="00181BDB" w:rsidP="00523B7B">
      <w:pPr>
        <w:pStyle w:val="ListParagraph"/>
        <w:numPr>
          <w:ilvl w:val="2"/>
          <w:numId w:val="6"/>
        </w:numPr>
        <w:spacing w:after="60"/>
        <w:ind w:left="227" w:hanging="227"/>
        <w:contextualSpacing w:val="0"/>
        <w:rPr>
          <w:rFonts w:ascii="Calibri" w:eastAsia="Calibri" w:hAnsi="Calibri" w:cs="Calibri"/>
          <w:bCs/>
          <w:spacing w:val="-4"/>
          <w:szCs w:val="72"/>
          <w:lang w:val="sr-Cyrl-CS"/>
        </w:rPr>
      </w:pPr>
      <w:r w:rsidRPr="0007074F">
        <w:rPr>
          <w:rFonts w:ascii="Calibri" w:eastAsia="Calibri" w:hAnsi="Calibri" w:cs="Calibri"/>
          <w:bCs/>
          <w:spacing w:val="-4"/>
          <w:szCs w:val="72"/>
          <w:lang w:val="sr-Cyrl-CS"/>
        </w:rPr>
        <w:t>Повећање каматних стопа н</w:t>
      </w:r>
      <w:r w:rsidR="005F391A" w:rsidRPr="0007074F">
        <w:rPr>
          <w:rFonts w:ascii="Calibri" w:eastAsia="Calibri" w:hAnsi="Calibri" w:cs="Calibri"/>
          <w:bCs/>
          <w:spacing w:val="-4"/>
          <w:szCs w:val="72"/>
          <w:lang w:val="sr-Cyrl-CS"/>
        </w:rPr>
        <w:t>а међународном тржишту до 3 п.п, а на домаћем тржишту до 4 п.п</w:t>
      </w:r>
      <w:r w:rsidRPr="0007074F">
        <w:rPr>
          <w:rFonts w:ascii="Calibri" w:eastAsia="Calibri" w:hAnsi="Calibri" w:cs="Calibri"/>
          <w:bCs/>
          <w:spacing w:val="-4"/>
          <w:szCs w:val="72"/>
          <w:lang w:val="sr-Cyrl-CS"/>
        </w:rPr>
        <w:t>;</w:t>
      </w:r>
    </w:p>
    <w:p w14:paraId="6BE4CDDF" w14:textId="77777777" w:rsidR="00181BDB" w:rsidRPr="0007074F" w:rsidRDefault="00181BDB" w:rsidP="00523B7B">
      <w:pPr>
        <w:pStyle w:val="ListParagraph"/>
        <w:numPr>
          <w:ilvl w:val="2"/>
          <w:numId w:val="6"/>
        </w:numPr>
        <w:ind w:left="227" w:hanging="227"/>
        <w:rPr>
          <w:rFonts w:ascii="Calibri" w:eastAsia="Calibri" w:hAnsi="Calibri" w:cs="Calibri"/>
          <w:bCs/>
          <w:szCs w:val="72"/>
          <w:lang w:val="sr-Cyrl-CS"/>
        </w:rPr>
      </w:pPr>
      <w:r w:rsidRPr="0007074F">
        <w:rPr>
          <w:rFonts w:ascii="Calibri" w:eastAsia="Calibri" w:hAnsi="Calibri" w:cs="Calibri"/>
          <w:bCs/>
          <w:szCs w:val="72"/>
          <w:lang w:val="sr-Cyrl-CS"/>
        </w:rPr>
        <w:t>Комбиновани шок који се односи на депрецијацију динара у односу на долар 15% у 2024. години и раст каматних стопа за 2 п.п.</w:t>
      </w:r>
    </w:p>
    <w:p w14:paraId="43BAC8CA" w14:textId="3F96CA9E" w:rsidR="00181BDB" w:rsidRPr="0007074F" w:rsidRDefault="00181BDB" w:rsidP="00523B7B">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t>Алтернативне стратегије задужи</w:t>
      </w:r>
      <w:r w:rsidR="00B61357" w:rsidRPr="0007074F">
        <w:rPr>
          <w:rFonts w:ascii="Calibri" w:eastAsia="Calibri" w:hAnsi="Calibri" w:cs="Times New Roman"/>
          <w:b/>
          <w:color w:val="2F5496" w:themeColor="accent1" w:themeShade="BF"/>
          <w:sz w:val="22"/>
          <w:lang w:val="sr-Cyrl-CS"/>
        </w:rPr>
        <w:t>вања за период 2024–2026. године</w:t>
      </w:r>
    </w:p>
    <w:p w14:paraId="6FB5D30F"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 xml:space="preserve">На бази модела Светске банке </w:t>
      </w:r>
      <w:r w:rsidRPr="0007074F">
        <w:rPr>
          <w:rFonts w:ascii="Calibri" w:eastAsia="Calibri" w:hAnsi="Calibri" w:cs="Calibri"/>
          <w:bCs/>
          <w:i/>
          <w:szCs w:val="72"/>
          <w:lang w:val="sr-Cyrl-CS"/>
        </w:rPr>
        <w:t>Medium Term Debt Strategy Model</w:t>
      </w:r>
      <w:r w:rsidRPr="0007074F">
        <w:rPr>
          <w:rFonts w:ascii="Calibri" w:eastAsia="Calibri" w:hAnsi="Calibri" w:cs="Calibri"/>
          <w:bCs/>
          <w:szCs w:val="72"/>
          <w:lang w:val="sr-Cyrl-CS"/>
        </w:rPr>
        <w:t xml:space="preserve"> – MTDS, анализиране алтернативне стратегије задуживања су:</w:t>
      </w:r>
    </w:p>
    <w:p w14:paraId="2D6ED2F2" w14:textId="08DBCEFA"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Основна стратегија (С1): представља стратегију која укупне потребе за буџетским финансирањем покрива највећим делом из извора финансирања у страној валути (у просеку 80% по години у периоду 2024-2026). Изворе буџетског финансирања у страној валути највећим делом сачињавају примања од продаје еврообвезница на иностраном финансијском тржишту (рочности од пет до седам, дванаест или петнаест година), средства из аранжмана са Међународним Монетарним Фондом, као и програмски</w:t>
      </w:r>
      <w:r w:rsidR="000F6BDA" w:rsidRPr="0007074F">
        <w:rPr>
          <w:rFonts w:ascii="Calibri" w:eastAsia="Calibri" w:hAnsi="Calibri" w:cs="Calibri"/>
          <w:bCs/>
          <w:szCs w:val="72"/>
          <w:lang w:val="sr-Cyrl-CS"/>
        </w:rPr>
        <w:t xml:space="preserve"> зајмови различитих поверилаца. </w:t>
      </w:r>
      <w:r w:rsidRPr="0007074F">
        <w:rPr>
          <w:rFonts w:ascii="Calibri" w:eastAsia="Calibri" w:hAnsi="Calibri" w:cs="Calibri"/>
          <w:bCs/>
          <w:szCs w:val="72"/>
          <w:lang w:val="sr-Cyrl-CS"/>
        </w:rPr>
        <w:t>Изв</w:t>
      </w:r>
      <w:r w:rsidR="000F6BDA" w:rsidRPr="0007074F">
        <w:rPr>
          <w:rFonts w:ascii="Calibri" w:eastAsia="Calibri" w:hAnsi="Calibri" w:cs="Calibri"/>
          <w:bCs/>
          <w:szCs w:val="72"/>
          <w:lang w:val="sr-Cyrl-CS"/>
        </w:rPr>
        <w:t xml:space="preserve">оре </w:t>
      </w:r>
      <w:r w:rsidRPr="0007074F">
        <w:rPr>
          <w:rFonts w:ascii="Calibri" w:eastAsia="Calibri" w:hAnsi="Calibri" w:cs="Calibri"/>
          <w:bCs/>
          <w:szCs w:val="72"/>
          <w:lang w:val="sr-Cyrl-CS"/>
        </w:rPr>
        <w:t>буџетског финансирања у домаћој валути сачињавају примања од емисије државних обвезница (рочности од две, три, седам , десет или дванаест година) на домаћем финансијском тржишту. Пројектно финансирање, као и у претходним годинама, обезбеђује се највећим делом из кредита деноминованих у страној валути од иностраних поверилаца.</w:t>
      </w:r>
    </w:p>
    <w:p w14:paraId="0F9F685B"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Стратегија (С2): у односу на стратегију С1, целокупне потребе за финансирањем задовољавају се емисијом еврообвезница у доларима, рочности десет и петнаест година.</w:t>
      </w:r>
    </w:p>
    <w:p w14:paraId="717327BF"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lastRenderedPageBreak/>
        <w:t>Стратегија (С3): у односу на стратегију С1, представља стратегију која целокупно финансирање заснива на емисијама еврообвезница у еврима рочности дванаест и петнаест година.</w:t>
      </w:r>
    </w:p>
    <w:p w14:paraId="69C8CF88"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Стратегија додатне динаризације (С4): представља стратегију која целокупно финансирање заснива на емисијама динарских хартија од вредности.</w:t>
      </w:r>
    </w:p>
    <w:p w14:paraId="57CE8C11" w14:textId="77777777" w:rsidR="00181BDB" w:rsidRPr="0007074F" w:rsidRDefault="00181BDB" w:rsidP="00523B7B">
      <w:pPr>
        <w:spacing w:line="256" w:lineRule="auto"/>
        <w:rPr>
          <w:rFonts w:ascii="Calibri" w:eastAsia="Calibri" w:hAnsi="Calibri" w:cs="Calibri"/>
          <w:bCs/>
          <w:szCs w:val="72"/>
          <w:lang w:val="sr-Cyrl-CS"/>
        </w:rPr>
      </w:pPr>
      <w:r w:rsidRPr="0007074F">
        <w:rPr>
          <w:rFonts w:ascii="Calibri" w:eastAsia="Calibri" w:hAnsi="Calibri" w:cs="Times New Roman"/>
          <w:b/>
          <w:color w:val="2F5496" w:themeColor="accent1" w:themeShade="BF"/>
          <w:sz w:val="22"/>
          <w:lang w:val="sr-Cyrl-CS"/>
        </w:rPr>
        <w:t>Поређење алтернативних стратегија</w:t>
      </w:r>
    </w:p>
    <w:p w14:paraId="29E04517"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За поређење алтернативних стратегија задуживања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2026. године.</w:t>
      </w:r>
    </w:p>
    <w:p w14:paraId="1BC73FD3"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pacing w:val="-2"/>
          <w:szCs w:val="72"/>
          <w:lang w:val="sr-Cyrl-CS"/>
        </w:rPr>
        <w:t xml:space="preserve">На основу графикона јасно се уочавају трошкови које свака од разматраних стратегија носи са собом. </w:t>
      </w:r>
      <w:r w:rsidRPr="0007074F">
        <w:rPr>
          <w:rFonts w:ascii="Calibri" w:eastAsia="Calibri" w:hAnsi="Calibri" w:cs="Calibri"/>
          <w:bCs/>
          <w:szCs w:val="72"/>
          <w:lang w:val="sr-Cyrl-CS"/>
        </w:rPr>
        <w:t>Трошак алтернативних стратегија при основном макроекономском сценарију приказан је на вертикалној оси графикона трошкова, док се на хоризонталној оси налази потенцијални трошак одређене стратегије задуживања (резултат стрес теста).</w:t>
      </w:r>
    </w:p>
    <w:p w14:paraId="45E84B88"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При основном макроекономском сценарију на крају 2026. године, мерено учешћем дуга у БДП стратегије са целокупним финансирањем из тржишних инструмената С2, С3 и С4 скупље су од стратегије С1 која комбинује финансирање тржишних и концесионалних инструмената. Са друге стране највећи ризик на однос дуга и БДП, ако се одступи од основног макроекономског сценарија, има промена девизног курса. Посматрано са аспекта утицаја шокова девизног курса на рацио дуга и БДП, најбољи положај има стратегија С4 јер је целокупно финансирање у динарима, док стратегије С2 и С3 имају већу изложеност ризику промени девизног курса јер финансирање засновано у потпуности на изворима у страној валути. Стратегија С1 у погледу ризика промене девизног курса има нешто повољнији положај у односу на стратегије С2 и С3, из разлога што комбинује финансирање у домаћој и страној валути.</w:t>
      </w:r>
    </w:p>
    <w:p w14:paraId="7BA67DFD" w14:textId="77777777" w:rsidR="00181BDB" w:rsidRPr="0007074F" w:rsidRDefault="00181BDB" w:rsidP="00523B7B">
      <w:pPr>
        <w:spacing w:line="256" w:lineRule="auto"/>
        <w:rPr>
          <w:rFonts w:ascii="Calibri" w:eastAsia="Calibri" w:hAnsi="Calibri" w:cs="Calibri"/>
          <w:bCs/>
          <w:szCs w:val="72"/>
          <w:lang w:val="sr-Cyrl-CS"/>
        </w:rPr>
      </w:pPr>
      <w:r w:rsidRPr="0007074F">
        <w:rPr>
          <w:rFonts w:ascii="Calibri" w:eastAsia="Calibri" w:hAnsi="Calibri" w:cs="Calibri"/>
          <w:bCs/>
          <w:szCs w:val="72"/>
          <w:lang w:val="sr-Cyrl-CS"/>
        </w:rPr>
        <w:t>Са аспекта учешћа камата у БДП, стратегија С2 је најскупља јер је базирана на доларским еврообвезницама са највишим стопама, следи стратегија С4 базирана на динарским обвезницама који такође имају високе каматне стопе, док су стратегије С3 (еврообвезнице у еврима) и С1 (тржишни и концесионални инструменти) најповољније. Резултати стрес анализе показали су да највећи ризик за промену односа камате и БДП, ако се промени основни сценарио, долази од шока промене каматних стопа који је већи на домаћем него на међународном тржишту због чега стратегија С4 има највећи ризик промене рација камате и БДП. Следе стратегије С2 и С3 које се састоје од тржишних инструмената који су такође подложни шоковима промене каматних стопа на међународном тржишту, док је код С1 овај ризик ублажен услед присуства концесионалних инструмената са фиксним стопама.</w:t>
      </w:r>
    </w:p>
    <w:p w14:paraId="3D3C4E18" w14:textId="77777777" w:rsidR="00181BDB" w:rsidRPr="0007074F" w:rsidRDefault="00181BDB" w:rsidP="00523B7B">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Однос дуга и БДП на крају 2026. године</w:t>
      </w:r>
    </w:p>
    <w:p w14:paraId="4D8CB9DF" w14:textId="77777777" w:rsidR="00181BDB" w:rsidRPr="0007074F" w:rsidRDefault="00181BDB" w:rsidP="00C91F83">
      <w:pPr>
        <w:spacing w:line="256" w:lineRule="auto"/>
        <w:rPr>
          <w:rFonts w:ascii="Calibri" w:eastAsia="Calibri" w:hAnsi="Calibri" w:cs="Times New Roman"/>
          <w:b/>
          <w:color w:val="002060"/>
          <w:lang w:val="sr-Cyrl-CS"/>
        </w:rPr>
      </w:pPr>
      <w:r w:rsidRPr="0007074F">
        <w:rPr>
          <w:noProof/>
          <w:color w:val="44546A"/>
        </w:rPr>
        <w:drawing>
          <wp:inline distT="0" distB="0" distL="0" distR="0" wp14:anchorId="22556DED" wp14:editId="4266EB2C">
            <wp:extent cx="2750024" cy="2047164"/>
            <wp:effectExtent l="0" t="0" r="0" b="0"/>
            <wp:docPr id="79" name="Chart 7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3"/>
              </a:graphicData>
            </a:graphic>
          </wp:inline>
        </w:drawing>
      </w:r>
    </w:p>
    <w:p w14:paraId="2AC380F8" w14:textId="77777777" w:rsidR="00181BDB" w:rsidRPr="0007074F" w:rsidRDefault="00181BDB" w:rsidP="00523B7B">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Однос камата и БДП на крају 2026. године</w:t>
      </w:r>
    </w:p>
    <w:p w14:paraId="29378595" w14:textId="77777777" w:rsidR="00181BDB" w:rsidRPr="0007074F" w:rsidRDefault="00181BDB" w:rsidP="00523B7B">
      <w:pPr>
        <w:spacing w:line="256" w:lineRule="auto"/>
        <w:rPr>
          <w:rFonts w:ascii="Calibri" w:eastAsia="Calibri" w:hAnsi="Calibri" w:cs="Times New Roman"/>
          <w:b/>
          <w:lang w:val="sr-Cyrl-CS"/>
        </w:rPr>
      </w:pPr>
      <w:r w:rsidRPr="0007074F">
        <w:rPr>
          <w:noProof/>
        </w:rPr>
        <w:drawing>
          <wp:inline distT="0" distB="0" distL="0" distR="0" wp14:anchorId="0158DB2B" wp14:editId="48DCAE7A">
            <wp:extent cx="2685415" cy="1992573"/>
            <wp:effectExtent l="0" t="0" r="635" b="8255"/>
            <wp:docPr id="80" name="Chart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4"/>
              </a:graphicData>
            </a:graphic>
          </wp:inline>
        </w:drawing>
      </w:r>
    </w:p>
    <w:p w14:paraId="520C76A6" w14:textId="77777777" w:rsidR="00181BDB" w:rsidRPr="0007074F" w:rsidRDefault="00181BDB" w:rsidP="00523B7B">
      <w:pPr>
        <w:spacing w:line="256" w:lineRule="auto"/>
        <w:jc w:val="center"/>
        <w:rPr>
          <w:rFonts w:ascii="Calibri" w:eastAsia="Calibri" w:hAnsi="Calibri" w:cs="Times New Roman"/>
          <w:b/>
          <w:color w:val="002060"/>
          <w:lang w:val="sr-Cyrl-CS"/>
        </w:rPr>
        <w:sectPr w:rsidR="00181BDB" w:rsidRPr="0007074F" w:rsidSect="00523B7B">
          <w:type w:val="continuous"/>
          <w:pgSz w:w="12240" w:h="15840"/>
          <w:pgMar w:top="1440" w:right="1440" w:bottom="1440" w:left="1440" w:header="720" w:footer="720" w:gutter="0"/>
          <w:cols w:num="2" w:space="720"/>
          <w15:footnoteColumns w:val="1"/>
        </w:sectPr>
      </w:pPr>
    </w:p>
    <w:p w14:paraId="4330B01F" w14:textId="77777777" w:rsidR="00181BDB" w:rsidRPr="0007074F" w:rsidRDefault="00181BDB" w:rsidP="00523B7B">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lastRenderedPageBreak/>
        <w:t>Табела 26. Однос јавног дуга и БДП на крају 2026.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181BDB" w:rsidRPr="0007074F" w14:paraId="1859254A" w14:textId="77777777" w:rsidTr="00523B7B">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3DE16BBB" w14:textId="77777777" w:rsidR="00181BDB" w:rsidRPr="0007074F" w:rsidRDefault="00181BDB" w:rsidP="00523B7B">
            <w:pPr>
              <w:rPr>
                <w:rFonts w:ascii="Calibri" w:hAnsi="Calibri" w:cs="Calibri"/>
                <w:color w:val="002060"/>
                <w:sz w:val="18"/>
                <w:szCs w:val="18"/>
                <w:lang w:val="sr-Cyrl-CS"/>
              </w:rPr>
            </w:pPr>
            <w:r w:rsidRPr="0007074F">
              <w:rPr>
                <w:rFonts w:ascii="Calibri" w:hAnsi="Calibri" w:cs="Calibri"/>
                <w:color w:val="002060"/>
                <w:sz w:val="18"/>
                <w:szCs w:val="18"/>
                <w:lang w:val="sr-Cyrl-CS"/>
              </w:rPr>
              <w:t>Сценарији</w:t>
            </w:r>
          </w:p>
        </w:tc>
        <w:tc>
          <w:tcPr>
            <w:tcW w:w="578" w:type="pct"/>
            <w:tcBorders>
              <w:top w:val="single" w:sz="4" w:space="0" w:color="002060"/>
              <w:bottom w:val="single" w:sz="4" w:space="0" w:color="002060"/>
            </w:tcBorders>
            <w:noWrap/>
            <w:hideMark/>
          </w:tcPr>
          <w:p w14:paraId="0BEEAFF1"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C1</w:t>
            </w:r>
          </w:p>
        </w:tc>
        <w:tc>
          <w:tcPr>
            <w:tcW w:w="578" w:type="pct"/>
            <w:tcBorders>
              <w:top w:val="single" w:sz="4" w:space="0" w:color="002060"/>
              <w:bottom w:val="single" w:sz="4" w:space="0" w:color="002060"/>
            </w:tcBorders>
            <w:noWrap/>
            <w:hideMark/>
          </w:tcPr>
          <w:p w14:paraId="5EE05D35"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C2</w:t>
            </w:r>
          </w:p>
        </w:tc>
        <w:tc>
          <w:tcPr>
            <w:tcW w:w="578" w:type="pct"/>
            <w:tcBorders>
              <w:top w:val="single" w:sz="4" w:space="0" w:color="002060"/>
              <w:bottom w:val="single" w:sz="4" w:space="0" w:color="002060"/>
            </w:tcBorders>
            <w:noWrap/>
            <w:hideMark/>
          </w:tcPr>
          <w:p w14:paraId="60649DFB"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C3</w:t>
            </w:r>
          </w:p>
        </w:tc>
        <w:tc>
          <w:tcPr>
            <w:tcW w:w="578" w:type="pct"/>
            <w:tcBorders>
              <w:top w:val="single" w:sz="4" w:space="0" w:color="002060"/>
              <w:bottom w:val="single" w:sz="4" w:space="0" w:color="002060"/>
            </w:tcBorders>
            <w:noWrap/>
            <w:hideMark/>
          </w:tcPr>
          <w:p w14:paraId="0F0D9D53"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C4</w:t>
            </w:r>
          </w:p>
        </w:tc>
      </w:tr>
      <w:tr w:rsidR="00181BDB" w:rsidRPr="0007074F" w14:paraId="5E7EA4D4" w14:textId="77777777" w:rsidTr="00523B7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2EF83AD6"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Основни сценарио</w:t>
            </w:r>
          </w:p>
        </w:tc>
        <w:tc>
          <w:tcPr>
            <w:tcW w:w="578" w:type="pct"/>
            <w:tcBorders>
              <w:top w:val="nil"/>
              <w:bottom w:val="nil"/>
            </w:tcBorders>
            <w:shd w:val="clear" w:color="auto" w:fill="E7E6E6" w:themeFill="background2"/>
            <w:noWrap/>
            <w:hideMark/>
          </w:tcPr>
          <w:p w14:paraId="03F5EB0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50,9</w:t>
            </w:r>
          </w:p>
        </w:tc>
        <w:tc>
          <w:tcPr>
            <w:tcW w:w="578" w:type="pct"/>
            <w:tcBorders>
              <w:top w:val="nil"/>
              <w:bottom w:val="nil"/>
            </w:tcBorders>
            <w:shd w:val="clear" w:color="auto" w:fill="E7E6E6" w:themeFill="background2"/>
            <w:noWrap/>
            <w:hideMark/>
          </w:tcPr>
          <w:p w14:paraId="0C452EE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51,7</w:t>
            </w:r>
          </w:p>
        </w:tc>
        <w:tc>
          <w:tcPr>
            <w:tcW w:w="578" w:type="pct"/>
            <w:tcBorders>
              <w:top w:val="nil"/>
              <w:bottom w:val="nil"/>
            </w:tcBorders>
            <w:shd w:val="clear" w:color="auto" w:fill="E7E6E6" w:themeFill="background2"/>
            <w:noWrap/>
            <w:hideMark/>
          </w:tcPr>
          <w:p w14:paraId="552412FA"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51,1</w:t>
            </w:r>
          </w:p>
        </w:tc>
        <w:tc>
          <w:tcPr>
            <w:tcW w:w="578" w:type="pct"/>
            <w:tcBorders>
              <w:top w:val="nil"/>
              <w:bottom w:val="nil"/>
            </w:tcBorders>
            <w:shd w:val="clear" w:color="auto" w:fill="E7E6E6" w:themeFill="background2"/>
            <w:noWrap/>
            <w:hideMark/>
          </w:tcPr>
          <w:p w14:paraId="63F8E539"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51,3</w:t>
            </w:r>
          </w:p>
        </w:tc>
      </w:tr>
      <w:tr w:rsidR="00181BDB" w:rsidRPr="0007074F" w14:paraId="15F6826E" w14:textId="77777777" w:rsidTr="00523B7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3B865326"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Шок девизног курса (15% све валуте) </w:t>
            </w:r>
          </w:p>
        </w:tc>
        <w:tc>
          <w:tcPr>
            <w:tcW w:w="578" w:type="pct"/>
            <w:tcBorders>
              <w:top w:val="nil"/>
              <w:left w:val="nil"/>
              <w:bottom w:val="nil"/>
              <w:right w:val="nil"/>
            </w:tcBorders>
            <w:shd w:val="clear" w:color="auto" w:fill="auto"/>
            <w:noWrap/>
            <w:hideMark/>
          </w:tcPr>
          <w:p w14:paraId="2B30B57E"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57,1</w:t>
            </w:r>
          </w:p>
        </w:tc>
        <w:tc>
          <w:tcPr>
            <w:tcW w:w="578" w:type="pct"/>
            <w:tcBorders>
              <w:top w:val="nil"/>
              <w:left w:val="nil"/>
              <w:bottom w:val="nil"/>
              <w:right w:val="nil"/>
            </w:tcBorders>
            <w:shd w:val="clear" w:color="auto" w:fill="auto"/>
            <w:noWrap/>
            <w:hideMark/>
          </w:tcPr>
          <w:p w14:paraId="06AF70B4"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58,1</w:t>
            </w:r>
          </w:p>
        </w:tc>
        <w:tc>
          <w:tcPr>
            <w:tcW w:w="578" w:type="pct"/>
            <w:tcBorders>
              <w:top w:val="nil"/>
              <w:left w:val="nil"/>
              <w:bottom w:val="nil"/>
              <w:right w:val="nil"/>
            </w:tcBorders>
            <w:shd w:val="clear" w:color="auto" w:fill="auto"/>
            <w:noWrap/>
            <w:hideMark/>
          </w:tcPr>
          <w:p w14:paraId="13835946"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57,5</w:t>
            </w:r>
          </w:p>
        </w:tc>
        <w:tc>
          <w:tcPr>
            <w:tcW w:w="578" w:type="pct"/>
            <w:tcBorders>
              <w:top w:val="nil"/>
              <w:left w:val="nil"/>
              <w:bottom w:val="nil"/>
              <w:right w:val="nil"/>
            </w:tcBorders>
            <w:shd w:val="clear" w:color="auto" w:fill="auto"/>
            <w:noWrap/>
            <w:hideMark/>
          </w:tcPr>
          <w:p w14:paraId="31048887"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56,2</w:t>
            </w:r>
          </w:p>
        </w:tc>
      </w:tr>
      <w:tr w:rsidR="00181BDB" w:rsidRPr="0007074F" w14:paraId="23C665BF" w14:textId="77777777" w:rsidTr="00523B7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2CF67234"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Каматни шок (сценарио 1) </w:t>
            </w:r>
          </w:p>
        </w:tc>
        <w:tc>
          <w:tcPr>
            <w:tcW w:w="578" w:type="pct"/>
            <w:tcBorders>
              <w:top w:val="nil"/>
              <w:bottom w:val="nil"/>
            </w:tcBorders>
            <w:shd w:val="clear" w:color="auto" w:fill="E7E6E6" w:themeFill="background2"/>
            <w:noWrap/>
            <w:hideMark/>
          </w:tcPr>
          <w:p w14:paraId="0588103B"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51,9</w:t>
            </w:r>
          </w:p>
        </w:tc>
        <w:tc>
          <w:tcPr>
            <w:tcW w:w="578" w:type="pct"/>
            <w:tcBorders>
              <w:top w:val="nil"/>
              <w:bottom w:val="nil"/>
            </w:tcBorders>
            <w:shd w:val="clear" w:color="auto" w:fill="E7E6E6" w:themeFill="background2"/>
            <w:noWrap/>
            <w:hideMark/>
          </w:tcPr>
          <w:p w14:paraId="4FE36B05"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52,7</w:t>
            </w:r>
          </w:p>
        </w:tc>
        <w:tc>
          <w:tcPr>
            <w:tcW w:w="578" w:type="pct"/>
            <w:tcBorders>
              <w:top w:val="nil"/>
              <w:bottom w:val="nil"/>
            </w:tcBorders>
            <w:shd w:val="clear" w:color="auto" w:fill="E7E6E6" w:themeFill="background2"/>
            <w:noWrap/>
            <w:hideMark/>
          </w:tcPr>
          <w:p w14:paraId="628D7282"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52,1</w:t>
            </w:r>
          </w:p>
        </w:tc>
        <w:tc>
          <w:tcPr>
            <w:tcW w:w="578" w:type="pct"/>
            <w:tcBorders>
              <w:top w:val="nil"/>
              <w:bottom w:val="nil"/>
            </w:tcBorders>
            <w:shd w:val="clear" w:color="auto" w:fill="E7E6E6" w:themeFill="background2"/>
            <w:noWrap/>
            <w:hideMark/>
          </w:tcPr>
          <w:p w14:paraId="676EE14E"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52,3</w:t>
            </w:r>
          </w:p>
        </w:tc>
      </w:tr>
      <w:tr w:rsidR="00181BDB" w:rsidRPr="0007074F" w14:paraId="437AAA88" w14:textId="77777777" w:rsidTr="00523B7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0D3A2642"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Каматни шок (сценарио 2)</w:t>
            </w:r>
          </w:p>
        </w:tc>
        <w:tc>
          <w:tcPr>
            <w:tcW w:w="578" w:type="pct"/>
            <w:tcBorders>
              <w:top w:val="nil"/>
              <w:left w:val="nil"/>
              <w:bottom w:val="nil"/>
              <w:right w:val="nil"/>
            </w:tcBorders>
            <w:shd w:val="clear" w:color="auto" w:fill="auto"/>
            <w:noWrap/>
            <w:hideMark/>
          </w:tcPr>
          <w:p w14:paraId="0ADA6B9A"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52,4</w:t>
            </w:r>
          </w:p>
        </w:tc>
        <w:tc>
          <w:tcPr>
            <w:tcW w:w="578" w:type="pct"/>
            <w:tcBorders>
              <w:top w:val="nil"/>
              <w:left w:val="nil"/>
              <w:bottom w:val="nil"/>
              <w:right w:val="nil"/>
            </w:tcBorders>
            <w:shd w:val="clear" w:color="auto" w:fill="auto"/>
            <w:noWrap/>
            <w:hideMark/>
          </w:tcPr>
          <w:p w14:paraId="785E9A34"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53,2</w:t>
            </w:r>
          </w:p>
        </w:tc>
        <w:tc>
          <w:tcPr>
            <w:tcW w:w="578" w:type="pct"/>
            <w:tcBorders>
              <w:top w:val="nil"/>
              <w:left w:val="nil"/>
              <w:bottom w:val="nil"/>
              <w:right w:val="nil"/>
            </w:tcBorders>
            <w:shd w:val="clear" w:color="auto" w:fill="auto"/>
            <w:noWrap/>
            <w:hideMark/>
          </w:tcPr>
          <w:p w14:paraId="604EC3FC"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52,6</w:t>
            </w:r>
          </w:p>
        </w:tc>
        <w:tc>
          <w:tcPr>
            <w:tcW w:w="578" w:type="pct"/>
            <w:tcBorders>
              <w:top w:val="nil"/>
              <w:left w:val="nil"/>
              <w:bottom w:val="nil"/>
              <w:right w:val="nil"/>
            </w:tcBorders>
            <w:shd w:val="clear" w:color="auto" w:fill="auto"/>
            <w:noWrap/>
            <w:hideMark/>
          </w:tcPr>
          <w:p w14:paraId="48C18791"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53,0</w:t>
            </w:r>
          </w:p>
        </w:tc>
      </w:tr>
      <w:tr w:rsidR="00181BDB" w:rsidRPr="0007074F" w14:paraId="20E649D9" w14:textId="77777777" w:rsidTr="00523B7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53ECE99D"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42CB0D7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53,3</w:t>
            </w:r>
          </w:p>
        </w:tc>
        <w:tc>
          <w:tcPr>
            <w:tcW w:w="578" w:type="pct"/>
            <w:tcBorders>
              <w:top w:val="nil"/>
              <w:bottom w:val="single" w:sz="4" w:space="0" w:color="002060"/>
            </w:tcBorders>
            <w:shd w:val="clear" w:color="auto" w:fill="E7E6E6" w:themeFill="background2"/>
            <w:noWrap/>
            <w:hideMark/>
          </w:tcPr>
          <w:p w14:paraId="02CF86FD"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55,4</w:t>
            </w:r>
          </w:p>
        </w:tc>
        <w:tc>
          <w:tcPr>
            <w:tcW w:w="578" w:type="pct"/>
            <w:tcBorders>
              <w:top w:val="nil"/>
              <w:bottom w:val="single" w:sz="4" w:space="0" w:color="002060"/>
            </w:tcBorders>
            <w:shd w:val="clear" w:color="auto" w:fill="E7E6E6" w:themeFill="background2"/>
            <w:noWrap/>
            <w:hideMark/>
          </w:tcPr>
          <w:p w14:paraId="6E7A50B4"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53,2</w:t>
            </w:r>
          </w:p>
        </w:tc>
        <w:tc>
          <w:tcPr>
            <w:tcW w:w="578" w:type="pct"/>
            <w:tcBorders>
              <w:top w:val="nil"/>
              <w:bottom w:val="single" w:sz="4" w:space="0" w:color="002060"/>
            </w:tcBorders>
            <w:shd w:val="clear" w:color="auto" w:fill="E7E6E6" w:themeFill="background2"/>
            <w:noWrap/>
            <w:hideMark/>
          </w:tcPr>
          <w:p w14:paraId="6576FD74"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53,4</w:t>
            </w:r>
          </w:p>
        </w:tc>
      </w:tr>
      <w:tr w:rsidR="00181BDB" w:rsidRPr="0007074F" w14:paraId="2858AD0A" w14:textId="77777777" w:rsidTr="00523B7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3DABC33A"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016D6729"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6,2</w:t>
            </w:r>
          </w:p>
        </w:tc>
        <w:tc>
          <w:tcPr>
            <w:tcW w:w="578" w:type="pct"/>
            <w:tcBorders>
              <w:top w:val="single" w:sz="4" w:space="0" w:color="002060"/>
              <w:left w:val="nil"/>
              <w:bottom w:val="single" w:sz="4" w:space="0" w:color="002060"/>
              <w:right w:val="nil"/>
            </w:tcBorders>
            <w:shd w:val="clear" w:color="auto" w:fill="auto"/>
            <w:noWrap/>
            <w:hideMark/>
          </w:tcPr>
          <w:p w14:paraId="5D1B3043"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6,4</w:t>
            </w:r>
          </w:p>
        </w:tc>
        <w:tc>
          <w:tcPr>
            <w:tcW w:w="578" w:type="pct"/>
            <w:tcBorders>
              <w:top w:val="single" w:sz="4" w:space="0" w:color="002060"/>
              <w:left w:val="nil"/>
              <w:bottom w:val="single" w:sz="4" w:space="0" w:color="002060"/>
              <w:right w:val="nil"/>
            </w:tcBorders>
            <w:shd w:val="clear" w:color="auto" w:fill="auto"/>
            <w:noWrap/>
            <w:hideMark/>
          </w:tcPr>
          <w:p w14:paraId="77176629"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6,3</w:t>
            </w:r>
          </w:p>
        </w:tc>
        <w:tc>
          <w:tcPr>
            <w:tcW w:w="578" w:type="pct"/>
            <w:tcBorders>
              <w:top w:val="single" w:sz="4" w:space="0" w:color="002060"/>
              <w:left w:val="nil"/>
              <w:bottom w:val="single" w:sz="4" w:space="0" w:color="002060"/>
              <w:right w:val="nil"/>
            </w:tcBorders>
            <w:shd w:val="clear" w:color="auto" w:fill="auto"/>
            <w:noWrap/>
            <w:hideMark/>
          </w:tcPr>
          <w:p w14:paraId="57B726CF"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4,9</w:t>
            </w:r>
          </w:p>
        </w:tc>
      </w:tr>
    </w:tbl>
    <w:p w14:paraId="6CF32A4D" w14:textId="77777777" w:rsidR="00181BDB" w:rsidRPr="0007074F" w:rsidRDefault="00181BDB" w:rsidP="00523B7B">
      <w:pPr>
        <w:rPr>
          <w:lang w:val="sr-Cyrl-CS"/>
        </w:rPr>
      </w:pPr>
    </w:p>
    <w:p w14:paraId="47AACBBA" w14:textId="77777777" w:rsidR="00181BDB" w:rsidRPr="0007074F" w:rsidRDefault="00181BDB" w:rsidP="00523B7B">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Табела 27. Однос плаћања по основу камата и БДП на крају 2026.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181BDB" w:rsidRPr="0007074F" w14:paraId="46B60A5C" w14:textId="77777777" w:rsidTr="00523B7B">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single" w:sz="8" w:space="0" w:color="FFFFFF" w:themeColor="background1"/>
            </w:tcBorders>
            <w:noWrap/>
            <w:hideMark/>
          </w:tcPr>
          <w:p w14:paraId="7E566CDE" w14:textId="77777777" w:rsidR="00181BDB" w:rsidRPr="0007074F" w:rsidRDefault="00181BDB" w:rsidP="00523B7B">
            <w:pPr>
              <w:rPr>
                <w:rFonts w:ascii="Calibri" w:hAnsi="Calibri" w:cs="Calibri"/>
                <w:color w:val="002060"/>
                <w:sz w:val="18"/>
                <w:szCs w:val="18"/>
                <w:lang w:val="sr-Cyrl-CS"/>
              </w:rPr>
            </w:pPr>
            <w:r w:rsidRPr="0007074F">
              <w:rPr>
                <w:rFonts w:ascii="Calibri" w:hAnsi="Calibri" w:cs="Calibri"/>
                <w:color w:val="002060"/>
                <w:sz w:val="18"/>
                <w:szCs w:val="18"/>
                <w:lang w:val="sr-Cyrl-CS"/>
              </w:rPr>
              <w:t>Сценарији</w:t>
            </w:r>
          </w:p>
        </w:tc>
        <w:tc>
          <w:tcPr>
            <w:tcW w:w="578" w:type="pct"/>
            <w:tcBorders>
              <w:top w:val="single" w:sz="4" w:space="0" w:color="002060"/>
              <w:bottom w:val="single" w:sz="4" w:space="0" w:color="002060"/>
            </w:tcBorders>
            <w:noWrap/>
            <w:hideMark/>
          </w:tcPr>
          <w:p w14:paraId="549B79BB"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C1</w:t>
            </w:r>
          </w:p>
        </w:tc>
        <w:tc>
          <w:tcPr>
            <w:tcW w:w="578" w:type="pct"/>
            <w:tcBorders>
              <w:top w:val="single" w:sz="4" w:space="0" w:color="002060"/>
              <w:bottom w:val="single" w:sz="4" w:space="0" w:color="002060"/>
            </w:tcBorders>
            <w:noWrap/>
            <w:hideMark/>
          </w:tcPr>
          <w:p w14:paraId="6B99E927"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C2</w:t>
            </w:r>
          </w:p>
        </w:tc>
        <w:tc>
          <w:tcPr>
            <w:tcW w:w="578" w:type="pct"/>
            <w:tcBorders>
              <w:top w:val="single" w:sz="4" w:space="0" w:color="002060"/>
              <w:bottom w:val="single" w:sz="4" w:space="0" w:color="002060"/>
            </w:tcBorders>
            <w:noWrap/>
            <w:hideMark/>
          </w:tcPr>
          <w:p w14:paraId="0A925E6E"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C3</w:t>
            </w:r>
          </w:p>
        </w:tc>
        <w:tc>
          <w:tcPr>
            <w:tcW w:w="578" w:type="pct"/>
            <w:tcBorders>
              <w:top w:val="single" w:sz="4" w:space="0" w:color="002060"/>
              <w:bottom w:val="single" w:sz="4" w:space="0" w:color="002060"/>
            </w:tcBorders>
            <w:noWrap/>
            <w:hideMark/>
          </w:tcPr>
          <w:p w14:paraId="2C3D4CBF" w14:textId="77777777" w:rsidR="00181BDB" w:rsidRPr="0007074F" w:rsidRDefault="00181BDB" w:rsidP="00523B7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C4</w:t>
            </w:r>
          </w:p>
        </w:tc>
      </w:tr>
      <w:tr w:rsidR="00181BDB" w:rsidRPr="0007074F" w14:paraId="0D3B6484" w14:textId="77777777" w:rsidTr="00523B7B">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single" w:sz="8" w:space="0" w:color="FFFFFF" w:themeColor="background1"/>
              <w:bottom w:val="nil"/>
            </w:tcBorders>
            <w:shd w:val="clear" w:color="auto" w:fill="E7E6E6" w:themeFill="background2"/>
            <w:noWrap/>
            <w:hideMark/>
          </w:tcPr>
          <w:p w14:paraId="50B8567E"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Основни сценарио</w:t>
            </w:r>
          </w:p>
        </w:tc>
        <w:tc>
          <w:tcPr>
            <w:tcW w:w="578" w:type="pct"/>
            <w:tcBorders>
              <w:top w:val="nil"/>
              <w:bottom w:val="nil"/>
            </w:tcBorders>
            <w:shd w:val="clear" w:color="auto" w:fill="E7E6E6" w:themeFill="background2"/>
            <w:noWrap/>
            <w:hideMark/>
          </w:tcPr>
          <w:p w14:paraId="4ADB0F44"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2,3</w:t>
            </w:r>
          </w:p>
        </w:tc>
        <w:tc>
          <w:tcPr>
            <w:tcW w:w="578" w:type="pct"/>
            <w:tcBorders>
              <w:top w:val="nil"/>
              <w:bottom w:val="nil"/>
            </w:tcBorders>
            <w:shd w:val="clear" w:color="auto" w:fill="E7E6E6" w:themeFill="background2"/>
            <w:noWrap/>
            <w:hideMark/>
          </w:tcPr>
          <w:p w14:paraId="50E58855"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2,7</w:t>
            </w:r>
          </w:p>
        </w:tc>
        <w:tc>
          <w:tcPr>
            <w:tcW w:w="578" w:type="pct"/>
            <w:tcBorders>
              <w:top w:val="nil"/>
              <w:bottom w:val="nil"/>
            </w:tcBorders>
            <w:shd w:val="clear" w:color="auto" w:fill="E7E6E6" w:themeFill="background2"/>
            <w:noWrap/>
            <w:hideMark/>
          </w:tcPr>
          <w:p w14:paraId="10ABFC8C"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2,3</w:t>
            </w:r>
          </w:p>
        </w:tc>
        <w:tc>
          <w:tcPr>
            <w:tcW w:w="578" w:type="pct"/>
            <w:tcBorders>
              <w:top w:val="nil"/>
              <w:bottom w:val="nil"/>
            </w:tcBorders>
            <w:shd w:val="clear" w:color="auto" w:fill="E7E6E6" w:themeFill="background2"/>
            <w:noWrap/>
            <w:hideMark/>
          </w:tcPr>
          <w:p w14:paraId="31044E44"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2,5</w:t>
            </w:r>
          </w:p>
        </w:tc>
      </w:tr>
      <w:tr w:rsidR="00181BDB" w:rsidRPr="0007074F" w14:paraId="1C932E02" w14:textId="77777777" w:rsidTr="00523B7B">
        <w:trPr>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3A8BDF50"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Шок девизног курса (15% све валуте) </w:t>
            </w:r>
          </w:p>
        </w:tc>
        <w:tc>
          <w:tcPr>
            <w:tcW w:w="578" w:type="pct"/>
            <w:tcBorders>
              <w:top w:val="nil"/>
              <w:left w:val="nil"/>
              <w:bottom w:val="nil"/>
              <w:right w:val="nil"/>
            </w:tcBorders>
            <w:shd w:val="clear" w:color="auto" w:fill="auto"/>
            <w:noWrap/>
            <w:hideMark/>
          </w:tcPr>
          <w:p w14:paraId="2302E538"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2,5</w:t>
            </w:r>
          </w:p>
        </w:tc>
        <w:tc>
          <w:tcPr>
            <w:tcW w:w="578" w:type="pct"/>
            <w:tcBorders>
              <w:top w:val="nil"/>
              <w:left w:val="nil"/>
              <w:bottom w:val="nil"/>
              <w:right w:val="nil"/>
            </w:tcBorders>
            <w:shd w:val="clear" w:color="auto" w:fill="auto"/>
            <w:noWrap/>
            <w:hideMark/>
          </w:tcPr>
          <w:p w14:paraId="41205110"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3,0</w:t>
            </w:r>
          </w:p>
        </w:tc>
        <w:tc>
          <w:tcPr>
            <w:tcW w:w="578" w:type="pct"/>
            <w:tcBorders>
              <w:top w:val="nil"/>
              <w:left w:val="nil"/>
              <w:bottom w:val="nil"/>
              <w:right w:val="nil"/>
            </w:tcBorders>
            <w:shd w:val="clear" w:color="auto" w:fill="auto"/>
            <w:noWrap/>
            <w:hideMark/>
          </w:tcPr>
          <w:p w14:paraId="0FD2A3BD"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2,6</w:t>
            </w:r>
          </w:p>
        </w:tc>
        <w:tc>
          <w:tcPr>
            <w:tcW w:w="578" w:type="pct"/>
            <w:tcBorders>
              <w:top w:val="nil"/>
              <w:left w:val="nil"/>
              <w:bottom w:val="nil"/>
              <w:right w:val="nil"/>
            </w:tcBorders>
            <w:shd w:val="clear" w:color="auto" w:fill="auto"/>
            <w:noWrap/>
            <w:hideMark/>
          </w:tcPr>
          <w:p w14:paraId="1EE043BB"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2,7</w:t>
            </w:r>
          </w:p>
        </w:tc>
      </w:tr>
      <w:tr w:rsidR="00181BDB" w:rsidRPr="0007074F" w14:paraId="0F166F97" w14:textId="77777777" w:rsidTr="00523B7B">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5558CABB"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Каматни шок (сценарио 1) </w:t>
            </w:r>
          </w:p>
        </w:tc>
        <w:tc>
          <w:tcPr>
            <w:tcW w:w="578" w:type="pct"/>
            <w:tcBorders>
              <w:top w:val="nil"/>
              <w:bottom w:val="nil"/>
            </w:tcBorders>
            <w:shd w:val="clear" w:color="auto" w:fill="E7E6E6" w:themeFill="background2"/>
            <w:noWrap/>
            <w:hideMark/>
          </w:tcPr>
          <w:p w14:paraId="4A665720"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2,7</w:t>
            </w:r>
          </w:p>
        </w:tc>
        <w:tc>
          <w:tcPr>
            <w:tcW w:w="578" w:type="pct"/>
            <w:tcBorders>
              <w:top w:val="nil"/>
              <w:bottom w:val="nil"/>
            </w:tcBorders>
            <w:shd w:val="clear" w:color="auto" w:fill="E7E6E6" w:themeFill="background2"/>
            <w:noWrap/>
            <w:hideMark/>
          </w:tcPr>
          <w:p w14:paraId="532955BE"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3,2</w:t>
            </w:r>
          </w:p>
        </w:tc>
        <w:tc>
          <w:tcPr>
            <w:tcW w:w="578" w:type="pct"/>
            <w:tcBorders>
              <w:top w:val="nil"/>
              <w:bottom w:val="nil"/>
            </w:tcBorders>
            <w:shd w:val="clear" w:color="auto" w:fill="E7E6E6" w:themeFill="background2"/>
            <w:noWrap/>
            <w:hideMark/>
          </w:tcPr>
          <w:p w14:paraId="73CB422C"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2,8</w:t>
            </w:r>
          </w:p>
        </w:tc>
        <w:tc>
          <w:tcPr>
            <w:tcW w:w="578" w:type="pct"/>
            <w:tcBorders>
              <w:top w:val="nil"/>
              <w:bottom w:val="nil"/>
            </w:tcBorders>
            <w:shd w:val="clear" w:color="auto" w:fill="E7E6E6" w:themeFill="background2"/>
            <w:noWrap/>
            <w:hideMark/>
          </w:tcPr>
          <w:p w14:paraId="57B67E4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3,0</w:t>
            </w:r>
          </w:p>
        </w:tc>
      </w:tr>
      <w:tr w:rsidR="00181BDB" w:rsidRPr="0007074F" w14:paraId="045EE1E3" w14:textId="77777777" w:rsidTr="00523B7B">
        <w:trPr>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6AC39D83"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Каматни шок (сценарио 2)</w:t>
            </w:r>
          </w:p>
        </w:tc>
        <w:tc>
          <w:tcPr>
            <w:tcW w:w="578" w:type="pct"/>
            <w:tcBorders>
              <w:top w:val="nil"/>
              <w:left w:val="nil"/>
              <w:bottom w:val="nil"/>
              <w:right w:val="nil"/>
            </w:tcBorders>
            <w:shd w:val="clear" w:color="auto" w:fill="auto"/>
            <w:noWrap/>
            <w:hideMark/>
          </w:tcPr>
          <w:p w14:paraId="6D7EAA7D"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3,0</w:t>
            </w:r>
          </w:p>
        </w:tc>
        <w:tc>
          <w:tcPr>
            <w:tcW w:w="578" w:type="pct"/>
            <w:tcBorders>
              <w:top w:val="nil"/>
              <w:left w:val="nil"/>
              <w:bottom w:val="nil"/>
              <w:right w:val="nil"/>
            </w:tcBorders>
            <w:shd w:val="clear" w:color="auto" w:fill="auto"/>
            <w:noWrap/>
            <w:hideMark/>
          </w:tcPr>
          <w:p w14:paraId="2F5F7FF0"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3,5</w:t>
            </w:r>
          </w:p>
        </w:tc>
        <w:tc>
          <w:tcPr>
            <w:tcW w:w="578" w:type="pct"/>
            <w:tcBorders>
              <w:top w:val="nil"/>
              <w:left w:val="nil"/>
              <w:bottom w:val="nil"/>
              <w:right w:val="nil"/>
            </w:tcBorders>
            <w:shd w:val="clear" w:color="auto" w:fill="auto"/>
            <w:noWrap/>
            <w:hideMark/>
          </w:tcPr>
          <w:p w14:paraId="7DBBDDD8"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3,1</w:t>
            </w:r>
          </w:p>
        </w:tc>
        <w:tc>
          <w:tcPr>
            <w:tcW w:w="578" w:type="pct"/>
            <w:tcBorders>
              <w:top w:val="nil"/>
              <w:left w:val="nil"/>
              <w:bottom w:val="nil"/>
              <w:right w:val="nil"/>
            </w:tcBorders>
            <w:shd w:val="clear" w:color="auto" w:fill="auto"/>
            <w:noWrap/>
            <w:hideMark/>
          </w:tcPr>
          <w:p w14:paraId="2B3AA87F"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3,5</w:t>
            </w:r>
          </w:p>
        </w:tc>
      </w:tr>
      <w:tr w:rsidR="00181BDB" w:rsidRPr="0007074F" w14:paraId="1153F0FB" w14:textId="77777777" w:rsidTr="00523B7B">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470C7B76"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Комбиновани шок (15% USD и каматни шок сценарио 1) </w:t>
            </w:r>
          </w:p>
        </w:tc>
        <w:tc>
          <w:tcPr>
            <w:tcW w:w="578" w:type="pct"/>
            <w:tcBorders>
              <w:top w:val="nil"/>
              <w:bottom w:val="single" w:sz="4" w:space="0" w:color="002060"/>
            </w:tcBorders>
            <w:shd w:val="clear" w:color="auto" w:fill="E7E6E6" w:themeFill="background2"/>
            <w:noWrap/>
            <w:hideMark/>
          </w:tcPr>
          <w:p w14:paraId="44E927F9"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2,8</w:t>
            </w:r>
          </w:p>
        </w:tc>
        <w:tc>
          <w:tcPr>
            <w:tcW w:w="578" w:type="pct"/>
            <w:tcBorders>
              <w:top w:val="nil"/>
              <w:bottom w:val="single" w:sz="4" w:space="0" w:color="002060"/>
            </w:tcBorders>
            <w:shd w:val="clear" w:color="auto" w:fill="E7E6E6" w:themeFill="background2"/>
            <w:noWrap/>
            <w:hideMark/>
          </w:tcPr>
          <w:p w14:paraId="3FAF4796"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3,4</w:t>
            </w:r>
          </w:p>
        </w:tc>
        <w:tc>
          <w:tcPr>
            <w:tcW w:w="578" w:type="pct"/>
            <w:tcBorders>
              <w:top w:val="nil"/>
              <w:bottom w:val="single" w:sz="4" w:space="0" w:color="002060"/>
            </w:tcBorders>
            <w:shd w:val="clear" w:color="auto" w:fill="E7E6E6" w:themeFill="background2"/>
            <w:noWrap/>
            <w:hideMark/>
          </w:tcPr>
          <w:p w14:paraId="425A0DF3"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2,9</w:t>
            </w:r>
          </w:p>
        </w:tc>
        <w:tc>
          <w:tcPr>
            <w:tcW w:w="578" w:type="pct"/>
            <w:tcBorders>
              <w:top w:val="nil"/>
              <w:bottom w:val="single" w:sz="4" w:space="0" w:color="002060"/>
            </w:tcBorders>
            <w:shd w:val="clear" w:color="auto" w:fill="E7E6E6" w:themeFill="background2"/>
            <w:noWrap/>
            <w:hideMark/>
          </w:tcPr>
          <w:p w14:paraId="13D5EF8F"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3,1</w:t>
            </w:r>
          </w:p>
        </w:tc>
      </w:tr>
      <w:tr w:rsidR="00181BDB" w:rsidRPr="0007074F" w14:paraId="4E84EFC9" w14:textId="77777777" w:rsidTr="00523B7B">
        <w:trPr>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5C509138"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19DFE87D"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0,7</w:t>
            </w:r>
          </w:p>
        </w:tc>
        <w:tc>
          <w:tcPr>
            <w:tcW w:w="578" w:type="pct"/>
            <w:tcBorders>
              <w:top w:val="single" w:sz="4" w:space="0" w:color="002060"/>
              <w:left w:val="nil"/>
              <w:bottom w:val="single" w:sz="4" w:space="0" w:color="002060"/>
              <w:right w:val="nil"/>
            </w:tcBorders>
            <w:shd w:val="clear" w:color="auto" w:fill="auto"/>
            <w:noWrap/>
            <w:hideMark/>
          </w:tcPr>
          <w:p w14:paraId="3DE6C067"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0,9</w:t>
            </w:r>
          </w:p>
        </w:tc>
        <w:tc>
          <w:tcPr>
            <w:tcW w:w="578" w:type="pct"/>
            <w:tcBorders>
              <w:top w:val="single" w:sz="4" w:space="0" w:color="002060"/>
              <w:left w:val="nil"/>
              <w:bottom w:val="single" w:sz="4" w:space="0" w:color="002060"/>
              <w:right w:val="nil"/>
            </w:tcBorders>
            <w:shd w:val="clear" w:color="auto" w:fill="auto"/>
            <w:noWrap/>
            <w:hideMark/>
          </w:tcPr>
          <w:p w14:paraId="587003B6"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0,8</w:t>
            </w:r>
          </w:p>
        </w:tc>
        <w:tc>
          <w:tcPr>
            <w:tcW w:w="578" w:type="pct"/>
            <w:tcBorders>
              <w:top w:val="single" w:sz="4" w:space="0" w:color="002060"/>
              <w:left w:val="nil"/>
              <w:bottom w:val="single" w:sz="4" w:space="0" w:color="002060"/>
              <w:right w:val="nil"/>
            </w:tcBorders>
            <w:shd w:val="clear" w:color="auto" w:fill="auto"/>
            <w:noWrap/>
            <w:hideMark/>
          </w:tcPr>
          <w:p w14:paraId="5C4B4438"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1,0</w:t>
            </w:r>
          </w:p>
        </w:tc>
      </w:tr>
    </w:tbl>
    <w:p w14:paraId="5CEFCAE2" w14:textId="77777777" w:rsidR="00181BDB" w:rsidRPr="0007074F" w:rsidRDefault="00181BDB" w:rsidP="00523B7B">
      <w:pPr>
        <w:spacing w:after="0" w:line="276" w:lineRule="auto"/>
        <w:jc w:val="left"/>
        <w:rPr>
          <w:rFonts w:ascii="Calibri" w:eastAsia="Calibri" w:hAnsi="Calibri" w:cs="Calibri"/>
          <w:bCs/>
          <w:szCs w:val="72"/>
          <w:lang w:val="sr-Cyrl-CS"/>
        </w:rPr>
      </w:pPr>
    </w:p>
    <w:p w14:paraId="76472A46" w14:textId="77777777" w:rsidR="00181BDB" w:rsidRPr="0007074F" w:rsidRDefault="00181BDB" w:rsidP="00523B7B">
      <w:pPr>
        <w:rPr>
          <w:lang w:val="sr-Cyrl-CS"/>
        </w:rPr>
      </w:pPr>
      <w:r w:rsidRPr="0007074F">
        <w:rPr>
          <w:lang w:val="sr-Cyrl-CS"/>
        </w:rPr>
        <w:t>Наредна табела приказује кретања основних параметара јавног дуга по основу све четири разматране стратегије, што осликава горе поменуте карактеристике сваке стратегије:</w:t>
      </w:r>
    </w:p>
    <w:p w14:paraId="232DA808" w14:textId="77777777" w:rsidR="00181BDB" w:rsidRPr="0007074F" w:rsidRDefault="00181BDB" w:rsidP="00523B7B">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Табела 28. Индикатори ризика за алтернативне стратегије на крају 2026. године</w:t>
      </w:r>
    </w:p>
    <w:tbl>
      <w:tblPr>
        <w:tblStyle w:val="LightShading-Accent1222"/>
        <w:tblW w:w="5000" w:type="pct"/>
        <w:tblInd w:w="0" w:type="dxa"/>
        <w:tblLook w:val="04A0" w:firstRow="1" w:lastRow="0" w:firstColumn="1" w:lastColumn="0" w:noHBand="0" w:noVBand="1"/>
      </w:tblPr>
      <w:tblGrid>
        <w:gridCol w:w="2950"/>
        <w:gridCol w:w="3664"/>
        <w:gridCol w:w="685"/>
        <w:gridCol w:w="687"/>
        <w:gridCol w:w="685"/>
        <w:gridCol w:w="689"/>
      </w:tblGrid>
      <w:tr w:rsidR="00181BDB" w:rsidRPr="0007074F" w14:paraId="0E1EEEBA" w14:textId="77777777" w:rsidTr="00523B7B">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single" w:sz="4" w:space="0" w:color="002060"/>
              <w:bottom w:val="nil"/>
            </w:tcBorders>
            <w:noWrap/>
            <w:hideMark/>
          </w:tcPr>
          <w:p w14:paraId="29940443" w14:textId="77777777" w:rsidR="00181BDB" w:rsidRPr="0007074F" w:rsidRDefault="00181BDB" w:rsidP="00523B7B">
            <w:pPr>
              <w:spacing w:line="256" w:lineRule="auto"/>
              <w:rPr>
                <w:rFonts w:ascii="Calibri" w:hAnsi="Calibri"/>
                <w:color w:val="002060"/>
                <w:lang w:val="sr-Cyrl-CS"/>
              </w:rPr>
            </w:pPr>
          </w:p>
        </w:tc>
        <w:tc>
          <w:tcPr>
            <w:tcW w:w="1957" w:type="pct"/>
            <w:tcBorders>
              <w:top w:val="single" w:sz="4" w:space="0" w:color="002060"/>
              <w:bottom w:val="single" w:sz="4" w:space="0" w:color="auto"/>
            </w:tcBorders>
          </w:tcPr>
          <w:p w14:paraId="2E745183" w14:textId="77777777" w:rsidR="00181BDB" w:rsidRPr="0007074F" w:rsidRDefault="00181BDB" w:rsidP="00523B7B">
            <w:pPr>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p>
        </w:tc>
        <w:tc>
          <w:tcPr>
            <w:tcW w:w="1467" w:type="pct"/>
            <w:gridSpan w:val="4"/>
            <w:tcBorders>
              <w:top w:val="single" w:sz="4" w:space="0" w:color="002060"/>
              <w:bottom w:val="single" w:sz="4" w:space="0" w:color="auto"/>
            </w:tcBorders>
            <w:noWrap/>
            <w:hideMark/>
          </w:tcPr>
          <w:p w14:paraId="3F67D9E5" w14:textId="77777777" w:rsidR="00181BDB" w:rsidRPr="0007074F" w:rsidRDefault="00181BDB" w:rsidP="00523B7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C1</w:t>
            </w:r>
            <w:r w:rsidRPr="0007074F">
              <w:rPr>
                <w:rFonts w:ascii="Calibri" w:hAnsi="Calibri" w:cs="Calibri"/>
                <w:color w:val="002060"/>
                <w:sz w:val="18"/>
                <w:szCs w:val="18"/>
                <w:lang w:val="sr-Cyrl-CS"/>
              </w:rPr>
              <w:tab/>
              <w:t>C2</w:t>
            </w:r>
            <w:r w:rsidRPr="0007074F">
              <w:rPr>
                <w:rFonts w:ascii="Calibri" w:hAnsi="Calibri" w:cs="Calibri"/>
                <w:color w:val="002060"/>
                <w:sz w:val="18"/>
                <w:szCs w:val="18"/>
                <w:lang w:val="sr-Cyrl-CS"/>
              </w:rPr>
              <w:tab/>
              <w:t>C3</w:t>
            </w:r>
            <w:r w:rsidRPr="0007074F">
              <w:rPr>
                <w:rFonts w:ascii="Calibri" w:hAnsi="Calibri" w:cs="Calibri"/>
                <w:color w:val="002060"/>
                <w:sz w:val="18"/>
                <w:szCs w:val="18"/>
                <w:lang w:val="sr-Cyrl-CS"/>
              </w:rPr>
              <w:tab/>
              <w:t>C4</w:t>
            </w:r>
          </w:p>
        </w:tc>
      </w:tr>
      <w:tr w:rsidR="00181BDB" w:rsidRPr="0007074F" w14:paraId="27A4ED1B"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nil"/>
            </w:tcBorders>
            <w:shd w:val="clear" w:color="auto" w:fill="E7E6E6" w:themeFill="background2"/>
            <w:noWrap/>
            <w:hideMark/>
          </w:tcPr>
          <w:p w14:paraId="53B90274"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Номинални дуг (% БДП)</w:t>
            </w:r>
          </w:p>
        </w:tc>
        <w:tc>
          <w:tcPr>
            <w:tcW w:w="1957" w:type="pct"/>
            <w:tcBorders>
              <w:top w:val="single" w:sz="4" w:space="0" w:color="auto"/>
              <w:bottom w:val="nil"/>
            </w:tcBorders>
            <w:shd w:val="clear" w:color="auto" w:fill="E7E6E6" w:themeFill="background2"/>
            <w:noWrap/>
            <w:hideMark/>
          </w:tcPr>
          <w:p w14:paraId="7B9FEE69" w14:textId="77777777" w:rsidR="00181BDB" w:rsidRPr="0007074F" w:rsidRDefault="00181BDB" w:rsidP="00523B7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 </w:t>
            </w:r>
          </w:p>
        </w:tc>
        <w:tc>
          <w:tcPr>
            <w:tcW w:w="366" w:type="pct"/>
            <w:tcBorders>
              <w:top w:val="single" w:sz="4" w:space="0" w:color="auto"/>
              <w:bottom w:val="nil"/>
            </w:tcBorders>
            <w:shd w:val="clear" w:color="auto" w:fill="E7E6E6" w:themeFill="background2"/>
            <w:noWrap/>
            <w:hideMark/>
          </w:tcPr>
          <w:p w14:paraId="418A1CEB"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50,9</w:t>
            </w:r>
          </w:p>
        </w:tc>
        <w:tc>
          <w:tcPr>
            <w:tcW w:w="367" w:type="pct"/>
            <w:tcBorders>
              <w:top w:val="single" w:sz="4" w:space="0" w:color="auto"/>
              <w:bottom w:val="nil"/>
            </w:tcBorders>
            <w:shd w:val="clear" w:color="auto" w:fill="E7E6E6" w:themeFill="background2"/>
            <w:noWrap/>
            <w:hideMark/>
          </w:tcPr>
          <w:p w14:paraId="6A843710"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51,7</w:t>
            </w:r>
          </w:p>
        </w:tc>
        <w:tc>
          <w:tcPr>
            <w:tcW w:w="366" w:type="pct"/>
            <w:tcBorders>
              <w:top w:val="single" w:sz="4" w:space="0" w:color="auto"/>
              <w:bottom w:val="nil"/>
            </w:tcBorders>
            <w:shd w:val="clear" w:color="auto" w:fill="E7E6E6" w:themeFill="background2"/>
            <w:noWrap/>
            <w:hideMark/>
          </w:tcPr>
          <w:p w14:paraId="6D415CE4"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51,1</w:t>
            </w:r>
          </w:p>
        </w:tc>
        <w:tc>
          <w:tcPr>
            <w:tcW w:w="368" w:type="pct"/>
            <w:tcBorders>
              <w:top w:val="single" w:sz="4" w:space="0" w:color="auto"/>
              <w:bottom w:val="nil"/>
            </w:tcBorders>
            <w:shd w:val="clear" w:color="auto" w:fill="E7E6E6" w:themeFill="background2"/>
            <w:noWrap/>
            <w:hideMark/>
          </w:tcPr>
          <w:p w14:paraId="7F958F3C"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51,3</w:t>
            </w:r>
          </w:p>
        </w:tc>
      </w:tr>
      <w:tr w:rsidR="00181BDB" w:rsidRPr="0007074F" w14:paraId="12866C87" w14:textId="77777777" w:rsidTr="00523B7B">
        <w:trPr>
          <w:trHeight w:val="262"/>
        </w:trPr>
        <w:tc>
          <w:tcPr>
            <w:cnfStyle w:val="001000000000" w:firstRow="0" w:lastRow="0" w:firstColumn="1" w:lastColumn="0" w:oddVBand="0" w:evenVBand="0" w:oddHBand="0" w:evenHBand="0" w:firstRowFirstColumn="0" w:firstRowLastColumn="0" w:lastRowFirstColumn="0" w:lastRowLastColumn="0"/>
            <w:tcW w:w="3533" w:type="pct"/>
            <w:gridSpan w:val="2"/>
            <w:tcBorders>
              <w:top w:val="nil"/>
              <w:left w:val="nil"/>
              <w:bottom w:val="nil"/>
              <w:right w:val="nil"/>
            </w:tcBorders>
            <w:noWrap/>
            <w:hideMark/>
          </w:tcPr>
          <w:p w14:paraId="7D28E578"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Примењена каматна стопа (%)</w:t>
            </w:r>
          </w:p>
        </w:tc>
        <w:tc>
          <w:tcPr>
            <w:tcW w:w="366" w:type="pct"/>
            <w:tcBorders>
              <w:top w:val="nil"/>
              <w:left w:val="nil"/>
              <w:bottom w:val="nil"/>
              <w:right w:val="nil"/>
            </w:tcBorders>
            <w:noWrap/>
            <w:hideMark/>
          </w:tcPr>
          <w:p w14:paraId="24F8236F"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4,7</w:t>
            </w:r>
          </w:p>
        </w:tc>
        <w:tc>
          <w:tcPr>
            <w:tcW w:w="367" w:type="pct"/>
            <w:tcBorders>
              <w:top w:val="nil"/>
              <w:left w:val="nil"/>
              <w:bottom w:val="nil"/>
              <w:right w:val="nil"/>
            </w:tcBorders>
            <w:noWrap/>
            <w:hideMark/>
          </w:tcPr>
          <w:p w14:paraId="5E741018"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5,5</w:t>
            </w:r>
          </w:p>
        </w:tc>
        <w:tc>
          <w:tcPr>
            <w:tcW w:w="366" w:type="pct"/>
            <w:tcBorders>
              <w:top w:val="nil"/>
              <w:left w:val="nil"/>
              <w:bottom w:val="nil"/>
              <w:right w:val="nil"/>
            </w:tcBorders>
            <w:noWrap/>
            <w:hideMark/>
          </w:tcPr>
          <w:p w14:paraId="259A6075"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4,7</w:t>
            </w:r>
          </w:p>
        </w:tc>
        <w:tc>
          <w:tcPr>
            <w:tcW w:w="368" w:type="pct"/>
            <w:tcBorders>
              <w:top w:val="nil"/>
              <w:left w:val="nil"/>
              <w:bottom w:val="nil"/>
              <w:right w:val="nil"/>
            </w:tcBorders>
            <w:noWrap/>
            <w:hideMark/>
          </w:tcPr>
          <w:p w14:paraId="2E732605"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5,1</w:t>
            </w:r>
          </w:p>
        </w:tc>
      </w:tr>
      <w:tr w:rsidR="00181BDB" w:rsidRPr="0007074F" w14:paraId="0D060DF1"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nil"/>
              <w:bottom w:val="nil"/>
            </w:tcBorders>
            <w:shd w:val="clear" w:color="auto" w:fill="E7E6E6" w:themeFill="background2"/>
            <w:noWrap/>
            <w:hideMark/>
          </w:tcPr>
          <w:p w14:paraId="49FE414C"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Ризик</w:t>
            </w:r>
          </w:p>
          <w:p w14:paraId="3A1BDAAD"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рефинансирања</w:t>
            </w:r>
          </w:p>
        </w:tc>
        <w:tc>
          <w:tcPr>
            <w:tcW w:w="1957" w:type="pct"/>
            <w:tcBorders>
              <w:top w:val="nil"/>
              <w:bottom w:val="nil"/>
            </w:tcBorders>
            <w:shd w:val="clear" w:color="auto" w:fill="E7E6E6" w:themeFill="background2"/>
            <w:noWrap/>
            <w:hideMark/>
          </w:tcPr>
          <w:p w14:paraId="59A0DF0F" w14:textId="77777777" w:rsidR="00181BDB" w:rsidRPr="0007074F" w:rsidRDefault="00181BDB" w:rsidP="00523B7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ATM</w:t>
            </w:r>
            <w:r w:rsidRPr="0007074F">
              <w:rPr>
                <w:rFonts w:ascii="Calibri" w:hAnsi="Calibri" w:cs="Calibri"/>
                <w:color w:val="002060"/>
                <w:sz w:val="18"/>
                <w:szCs w:val="18"/>
                <w:vertAlign w:val="superscript"/>
                <w:lang w:val="sr-Cyrl-CS"/>
              </w:rPr>
              <w:footnoteReference w:id="14"/>
            </w:r>
            <w:r w:rsidRPr="0007074F">
              <w:rPr>
                <w:rFonts w:ascii="Calibri" w:hAnsi="Calibri" w:cs="Calibri"/>
                <w:color w:val="002060"/>
                <w:sz w:val="18"/>
                <w:szCs w:val="18"/>
                <w:lang w:val="sr-Cyrl-CS"/>
              </w:rPr>
              <w:t xml:space="preserve"> спољни портфолио (у годинама)</w:t>
            </w:r>
          </w:p>
        </w:tc>
        <w:tc>
          <w:tcPr>
            <w:tcW w:w="366" w:type="pct"/>
            <w:tcBorders>
              <w:top w:val="nil"/>
              <w:bottom w:val="nil"/>
            </w:tcBorders>
            <w:shd w:val="clear" w:color="auto" w:fill="E7E6E6" w:themeFill="background2"/>
            <w:noWrap/>
            <w:hideMark/>
          </w:tcPr>
          <w:p w14:paraId="0B9A35D8"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7,9</w:t>
            </w:r>
          </w:p>
        </w:tc>
        <w:tc>
          <w:tcPr>
            <w:tcW w:w="367" w:type="pct"/>
            <w:tcBorders>
              <w:top w:val="nil"/>
              <w:bottom w:val="nil"/>
            </w:tcBorders>
            <w:shd w:val="clear" w:color="auto" w:fill="E7E6E6" w:themeFill="background2"/>
            <w:noWrap/>
            <w:hideMark/>
          </w:tcPr>
          <w:p w14:paraId="36104875"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9,4</w:t>
            </w:r>
          </w:p>
        </w:tc>
        <w:tc>
          <w:tcPr>
            <w:tcW w:w="366" w:type="pct"/>
            <w:tcBorders>
              <w:top w:val="nil"/>
              <w:bottom w:val="nil"/>
            </w:tcBorders>
            <w:shd w:val="clear" w:color="auto" w:fill="E7E6E6" w:themeFill="background2"/>
            <w:noWrap/>
            <w:hideMark/>
          </w:tcPr>
          <w:p w14:paraId="29B871B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10,1</w:t>
            </w:r>
          </w:p>
        </w:tc>
        <w:tc>
          <w:tcPr>
            <w:tcW w:w="368" w:type="pct"/>
            <w:tcBorders>
              <w:top w:val="nil"/>
              <w:bottom w:val="nil"/>
            </w:tcBorders>
            <w:shd w:val="clear" w:color="auto" w:fill="E7E6E6" w:themeFill="background2"/>
            <w:noWrap/>
            <w:hideMark/>
          </w:tcPr>
          <w:p w14:paraId="23EE6E3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7,5</w:t>
            </w:r>
          </w:p>
        </w:tc>
      </w:tr>
      <w:tr w:rsidR="00181BDB" w:rsidRPr="0007074F" w14:paraId="55AC64BB" w14:textId="77777777" w:rsidTr="00523B7B">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nil"/>
              <w:bottom w:val="nil"/>
              <w:right w:val="nil"/>
            </w:tcBorders>
            <w:vAlign w:val="center"/>
            <w:hideMark/>
          </w:tcPr>
          <w:p w14:paraId="3C519C9C" w14:textId="77777777" w:rsidR="00181BDB" w:rsidRPr="0007074F" w:rsidRDefault="00181BDB" w:rsidP="00523B7B">
            <w:pPr>
              <w:jc w:val="left"/>
              <w:rPr>
                <w:rFonts w:ascii="Calibri" w:hAnsi="Calibri" w:cs="Calibri"/>
                <w:color w:val="002060"/>
                <w:sz w:val="18"/>
                <w:szCs w:val="18"/>
                <w:lang w:val="sr-Cyrl-CS"/>
              </w:rPr>
            </w:pPr>
          </w:p>
        </w:tc>
        <w:tc>
          <w:tcPr>
            <w:tcW w:w="1957" w:type="pct"/>
            <w:tcBorders>
              <w:top w:val="nil"/>
              <w:left w:val="nil"/>
              <w:bottom w:val="nil"/>
              <w:right w:val="nil"/>
            </w:tcBorders>
            <w:noWrap/>
            <w:hideMark/>
          </w:tcPr>
          <w:p w14:paraId="21F1E025" w14:textId="77777777" w:rsidR="00181BDB" w:rsidRPr="0007074F" w:rsidRDefault="00181BDB" w:rsidP="00523B7B">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lang w:val="sr-Cyrl-CS"/>
              </w:rPr>
            </w:pPr>
            <w:r w:rsidRPr="0007074F">
              <w:rPr>
                <w:rFonts w:ascii="Calibri" w:hAnsi="Calibri" w:cs="Calibri"/>
                <w:bCs/>
                <w:color w:val="002060"/>
                <w:sz w:val="18"/>
                <w:szCs w:val="18"/>
                <w:lang w:val="sr-Cyrl-CS"/>
              </w:rPr>
              <w:t>ATM домаћи портфолио (у годинама)</w:t>
            </w:r>
          </w:p>
        </w:tc>
        <w:tc>
          <w:tcPr>
            <w:tcW w:w="366" w:type="pct"/>
            <w:tcBorders>
              <w:top w:val="nil"/>
              <w:left w:val="nil"/>
              <w:bottom w:val="nil"/>
              <w:right w:val="nil"/>
            </w:tcBorders>
            <w:noWrap/>
            <w:hideMark/>
          </w:tcPr>
          <w:p w14:paraId="5730AC41"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5,6</w:t>
            </w:r>
          </w:p>
        </w:tc>
        <w:tc>
          <w:tcPr>
            <w:tcW w:w="367" w:type="pct"/>
            <w:tcBorders>
              <w:top w:val="nil"/>
              <w:left w:val="nil"/>
              <w:bottom w:val="nil"/>
              <w:right w:val="nil"/>
            </w:tcBorders>
            <w:noWrap/>
            <w:hideMark/>
          </w:tcPr>
          <w:p w14:paraId="014D1807"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4,5</w:t>
            </w:r>
          </w:p>
        </w:tc>
        <w:tc>
          <w:tcPr>
            <w:tcW w:w="366" w:type="pct"/>
            <w:tcBorders>
              <w:top w:val="nil"/>
              <w:left w:val="nil"/>
              <w:bottom w:val="nil"/>
              <w:right w:val="nil"/>
            </w:tcBorders>
            <w:noWrap/>
            <w:hideMark/>
          </w:tcPr>
          <w:p w14:paraId="059F72ED"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4,5</w:t>
            </w:r>
          </w:p>
        </w:tc>
        <w:tc>
          <w:tcPr>
            <w:tcW w:w="368" w:type="pct"/>
            <w:tcBorders>
              <w:top w:val="nil"/>
              <w:left w:val="nil"/>
              <w:bottom w:val="nil"/>
              <w:right w:val="nil"/>
            </w:tcBorders>
            <w:noWrap/>
            <w:hideMark/>
          </w:tcPr>
          <w:p w14:paraId="5108B248"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8,1</w:t>
            </w:r>
          </w:p>
        </w:tc>
      </w:tr>
      <w:tr w:rsidR="00181BDB" w:rsidRPr="0007074F" w14:paraId="2A7F47CE"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single" w:sz="4" w:space="0" w:color="002060"/>
            </w:tcBorders>
            <w:vAlign w:val="center"/>
            <w:hideMark/>
          </w:tcPr>
          <w:p w14:paraId="51A13C17" w14:textId="77777777" w:rsidR="00181BDB" w:rsidRPr="0007074F" w:rsidRDefault="00181BDB" w:rsidP="00523B7B">
            <w:pPr>
              <w:jc w:val="left"/>
              <w:rPr>
                <w:rFonts w:ascii="Calibri" w:hAnsi="Calibri" w:cs="Calibri"/>
                <w:color w:val="002060"/>
                <w:sz w:val="18"/>
                <w:szCs w:val="18"/>
                <w:lang w:val="sr-Cyrl-CS"/>
              </w:rPr>
            </w:pPr>
          </w:p>
        </w:tc>
        <w:tc>
          <w:tcPr>
            <w:tcW w:w="1957" w:type="pct"/>
            <w:tcBorders>
              <w:top w:val="nil"/>
              <w:bottom w:val="single" w:sz="4" w:space="0" w:color="002060"/>
            </w:tcBorders>
            <w:shd w:val="clear" w:color="auto" w:fill="E7E6E6" w:themeFill="background2"/>
            <w:noWrap/>
            <w:hideMark/>
          </w:tcPr>
          <w:p w14:paraId="318B163F" w14:textId="77777777" w:rsidR="00181BDB" w:rsidRPr="0007074F" w:rsidRDefault="00181BDB" w:rsidP="00523B7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ATM укупан портфолио (у годинама)</w:t>
            </w:r>
          </w:p>
        </w:tc>
        <w:tc>
          <w:tcPr>
            <w:tcW w:w="366" w:type="pct"/>
            <w:tcBorders>
              <w:top w:val="nil"/>
              <w:bottom w:val="single" w:sz="4" w:space="0" w:color="002060"/>
            </w:tcBorders>
            <w:shd w:val="clear" w:color="auto" w:fill="E7E6E6" w:themeFill="background2"/>
            <w:noWrap/>
            <w:hideMark/>
          </w:tcPr>
          <w:p w14:paraId="3FE14B33"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7,4</w:t>
            </w:r>
          </w:p>
        </w:tc>
        <w:tc>
          <w:tcPr>
            <w:tcW w:w="367" w:type="pct"/>
            <w:tcBorders>
              <w:top w:val="nil"/>
              <w:bottom w:val="single" w:sz="4" w:space="0" w:color="002060"/>
            </w:tcBorders>
            <w:shd w:val="clear" w:color="auto" w:fill="E7E6E6" w:themeFill="background2"/>
            <w:noWrap/>
            <w:hideMark/>
          </w:tcPr>
          <w:p w14:paraId="410EB4FA"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9,0</w:t>
            </w:r>
          </w:p>
        </w:tc>
        <w:tc>
          <w:tcPr>
            <w:tcW w:w="366" w:type="pct"/>
            <w:tcBorders>
              <w:top w:val="nil"/>
              <w:bottom w:val="single" w:sz="4" w:space="0" w:color="002060"/>
            </w:tcBorders>
            <w:shd w:val="clear" w:color="auto" w:fill="E7E6E6" w:themeFill="background2"/>
            <w:noWrap/>
            <w:hideMark/>
          </w:tcPr>
          <w:p w14:paraId="6C419F4D"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9,6</w:t>
            </w:r>
          </w:p>
        </w:tc>
        <w:tc>
          <w:tcPr>
            <w:tcW w:w="368" w:type="pct"/>
            <w:tcBorders>
              <w:top w:val="nil"/>
              <w:bottom w:val="single" w:sz="4" w:space="0" w:color="002060"/>
            </w:tcBorders>
            <w:shd w:val="clear" w:color="auto" w:fill="E7E6E6" w:themeFill="background2"/>
            <w:noWrap/>
            <w:hideMark/>
          </w:tcPr>
          <w:p w14:paraId="2C894DED"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7,8</w:t>
            </w:r>
          </w:p>
        </w:tc>
      </w:tr>
      <w:tr w:rsidR="00181BDB" w:rsidRPr="0007074F" w14:paraId="330597C7" w14:textId="77777777" w:rsidTr="00523B7B">
        <w:trPr>
          <w:trHeight w:val="262"/>
        </w:trPr>
        <w:tc>
          <w:tcPr>
            <w:tcW w:w="1576" w:type="pct"/>
            <w:vMerge w:val="restart"/>
            <w:tcBorders>
              <w:top w:val="single" w:sz="4" w:space="0" w:color="002060"/>
              <w:left w:val="nil"/>
              <w:bottom w:val="nil"/>
              <w:right w:val="nil"/>
            </w:tcBorders>
            <w:noWrap/>
            <w:hideMark/>
          </w:tcPr>
          <w:p w14:paraId="6FF260FB" w14:textId="77777777" w:rsidR="00181BDB" w:rsidRPr="0007074F" w:rsidRDefault="00181BDB" w:rsidP="00523B7B">
            <w:pPr>
              <w:spacing w:line="240" w:lineRule="auto"/>
              <w:cnfStyle w:val="001000000000" w:firstRow="0" w:lastRow="0" w:firstColumn="1" w:lastColumn="0" w:oddVBand="0" w:evenVBand="0" w:oddHBand="0"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Ризик каматних стопа</w:t>
            </w:r>
          </w:p>
        </w:tc>
        <w:tc>
          <w:tcPr>
            <w:tcW w:w="1957" w:type="pct"/>
            <w:tcBorders>
              <w:top w:val="single" w:sz="4" w:space="0" w:color="002060"/>
              <w:left w:val="nil"/>
              <w:bottom w:val="nil"/>
              <w:right w:val="nil"/>
            </w:tcBorders>
            <w:noWrap/>
            <w:hideMark/>
          </w:tcPr>
          <w:p w14:paraId="407F7166"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АТR</w:t>
            </w:r>
            <w:r w:rsidRPr="0007074F">
              <w:rPr>
                <w:rFonts w:ascii="Calibri" w:hAnsi="Calibri" w:cs="Calibri"/>
                <w:bCs/>
                <w:color w:val="002060"/>
                <w:sz w:val="18"/>
                <w:szCs w:val="18"/>
                <w:vertAlign w:val="superscript"/>
                <w:lang w:val="sr-Cyrl-CS"/>
              </w:rPr>
              <w:footnoteReference w:id="15"/>
            </w:r>
            <w:r w:rsidRPr="0007074F">
              <w:rPr>
                <w:rFonts w:ascii="Calibri" w:hAnsi="Calibri" w:cs="Calibri"/>
                <w:bCs/>
                <w:color w:val="002060"/>
                <w:sz w:val="18"/>
                <w:szCs w:val="18"/>
                <w:lang w:val="sr-Cyrl-CS"/>
              </w:rPr>
              <w:t xml:space="preserve"> (у годинама)</w:t>
            </w:r>
          </w:p>
        </w:tc>
        <w:tc>
          <w:tcPr>
            <w:tcW w:w="366" w:type="pct"/>
            <w:tcBorders>
              <w:top w:val="single" w:sz="4" w:space="0" w:color="002060"/>
              <w:left w:val="nil"/>
              <w:bottom w:val="nil"/>
              <w:right w:val="nil"/>
            </w:tcBorders>
            <w:noWrap/>
            <w:hideMark/>
          </w:tcPr>
          <w:p w14:paraId="742E2567" w14:textId="77777777" w:rsidR="00181BDB" w:rsidRPr="0007074F" w:rsidRDefault="00181BDB" w:rsidP="00523B7B">
            <w:pPr>
              <w:spacing w:line="240" w:lineRule="auto"/>
              <w:jc w:val="right"/>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5,2</w:t>
            </w:r>
          </w:p>
        </w:tc>
        <w:tc>
          <w:tcPr>
            <w:tcW w:w="367" w:type="pct"/>
            <w:tcBorders>
              <w:top w:val="single" w:sz="4" w:space="0" w:color="002060"/>
              <w:left w:val="nil"/>
              <w:bottom w:val="nil"/>
              <w:right w:val="nil"/>
            </w:tcBorders>
            <w:noWrap/>
            <w:hideMark/>
          </w:tcPr>
          <w:p w14:paraId="295DC7F8" w14:textId="77777777" w:rsidR="00181BDB" w:rsidRPr="0007074F" w:rsidRDefault="00181BDB" w:rsidP="00523B7B">
            <w:pPr>
              <w:spacing w:line="240" w:lineRule="auto"/>
              <w:jc w:val="right"/>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7,3</w:t>
            </w:r>
          </w:p>
        </w:tc>
        <w:tc>
          <w:tcPr>
            <w:tcW w:w="366" w:type="pct"/>
            <w:tcBorders>
              <w:top w:val="single" w:sz="4" w:space="0" w:color="002060"/>
              <w:left w:val="nil"/>
              <w:bottom w:val="nil"/>
              <w:right w:val="nil"/>
            </w:tcBorders>
            <w:noWrap/>
            <w:hideMark/>
          </w:tcPr>
          <w:p w14:paraId="0DCD5023" w14:textId="77777777" w:rsidR="00181BDB" w:rsidRPr="0007074F" w:rsidRDefault="00181BDB" w:rsidP="00523B7B">
            <w:pPr>
              <w:spacing w:line="240" w:lineRule="auto"/>
              <w:jc w:val="right"/>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7,9</w:t>
            </w:r>
          </w:p>
        </w:tc>
        <w:tc>
          <w:tcPr>
            <w:tcW w:w="368" w:type="pct"/>
            <w:tcBorders>
              <w:top w:val="single" w:sz="4" w:space="0" w:color="002060"/>
              <w:left w:val="nil"/>
              <w:bottom w:val="nil"/>
              <w:right w:val="nil"/>
            </w:tcBorders>
            <w:noWrap/>
            <w:hideMark/>
          </w:tcPr>
          <w:p w14:paraId="1887F66E" w14:textId="77777777" w:rsidR="00181BDB" w:rsidRPr="0007074F" w:rsidRDefault="00181BDB" w:rsidP="00523B7B">
            <w:pPr>
              <w:spacing w:line="240" w:lineRule="auto"/>
              <w:jc w:val="right"/>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6,0</w:t>
            </w:r>
          </w:p>
        </w:tc>
      </w:tr>
      <w:tr w:rsidR="00181BDB" w:rsidRPr="0007074F" w14:paraId="65214638"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bottom w:val="nil"/>
            </w:tcBorders>
            <w:vAlign w:val="center"/>
            <w:hideMark/>
          </w:tcPr>
          <w:p w14:paraId="789C8182" w14:textId="77777777" w:rsidR="00181BDB" w:rsidRPr="0007074F" w:rsidRDefault="00181BDB" w:rsidP="00523B7B">
            <w:pPr>
              <w:jc w:val="left"/>
              <w:rPr>
                <w:rFonts w:ascii="Calibri" w:hAnsi="Calibri" w:cs="Calibri"/>
                <w:color w:val="002060"/>
                <w:sz w:val="18"/>
                <w:szCs w:val="18"/>
                <w:lang w:val="sr-Cyrl-CS"/>
              </w:rPr>
            </w:pPr>
          </w:p>
        </w:tc>
        <w:tc>
          <w:tcPr>
            <w:tcW w:w="1957" w:type="pct"/>
            <w:tcBorders>
              <w:top w:val="nil"/>
              <w:bottom w:val="nil"/>
            </w:tcBorders>
            <w:shd w:val="clear" w:color="auto" w:fill="E7E6E6" w:themeFill="background2"/>
            <w:noWrap/>
            <w:hideMark/>
          </w:tcPr>
          <w:p w14:paraId="27215EBA" w14:textId="77777777" w:rsidR="00181BDB" w:rsidRPr="0007074F" w:rsidRDefault="00181BDB" w:rsidP="00523B7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Рефиксирање (% укупног дуга)</w:t>
            </w:r>
          </w:p>
        </w:tc>
        <w:tc>
          <w:tcPr>
            <w:tcW w:w="366" w:type="pct"/>
            <w:tcBorders>
              <w:top w:val="nil"/>
              <w:bottom w:val="nil"/>
            </w:tcBorders>
            <w:shd w:val="clear" w:color="auto" w:fill="E7E6E6" w:themeFill="background2"/>
            <w:noWrap/>
            <w:hideMark/>
          </w:tcPr>
          <w:p w14:paraId="463BBAD8"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34,7</w:t>
            </w:r>
          </w:p>
        </w:tc>
        <w:tc>
          <w:tcPr>
            <w:tcW w:w="367" w:type="pct"/>
            <w:tcBorders>
              <w:top w:val="nil"/>
              <w:bottom w:val="nil"/>
            </w:tcBorders>
            <w:shd w:val="clear" w:color="auto" w:fill="E7E6E6" w:themeFill="background2"/>
            <w:noWrap/>
            <w:hideMark/>
          </w:tcPr>
          <w:p w14:paraId="7C7BCFED"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24,2</w:t>
            </w:r>
          </w:p>
        </w:tc>
        <w:tc>
          <w:tcPr>
            <w:tcW w:w="366" w:type="pct"/>
            <w:tcBorders>
              <w:top w:val="nil"/>
              <w:bottom w:val="nil"/>
            </w:tcBorders>
            <w:shd w:val="clear" w:color="auto" w:fill="E7E6E6" w:themeFill="background2"/>
            <w:noWrap/>
            <w:hideMark/>
          </w:tcPr>
          <w:p w14:paraId="34E4A0AC"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24,5</w:t>
            </w:r>
          </w:p>
        </w:tc>
        <w:tc>
          <w:tcPr>
            <w:tcW w:w="368" w:type="pct"/>
            <w:tcBorders>
              <w:top w:val="nil"/>
              <w:bottom w:val="nil"/>
            </w:tcBorders>
            <w:shd w:val="clear" w:color="auto" w:fill="E7E6E6" w:themeFill="background2"/>
            <w:noWrap/>
            <w:hideMark/>
          </w:tcPr>
          <w:p w14:paraId="41F4BDC7"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24,4</w:t>
            </w:r>
          </w:p>
        </w:tc>
      </w:tr>
      <w:tr w:rsidR="00181BDB" w:rsidRPr="0007074F" w14:paraId="18C23B80" w14:textId="77777777" w:rsidTr="00523B7B">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left w:val="nil"/>
              <w:bottom w:val="nil"/>
              <w:right w:val="nil"/>
            </w:tcBorders>
            <w:vAlign w:val="center"/>
            <w:hideMark/>
          </w:tcPr>
          <w:p w14:paraId="488FC4C2" w14:textId="77777777" w:rsidR="00181BDB" w:rsidRPr="0007074F" w:rsidRDefault="00181BDB" w:rsidP="00523B7B">
            <w:pPr>
              <w:jc w:val="left"/>
              <w:rPr>
                <w:rFonts w:ascii="Calibri" w:hAnsi="Calibri" w:cs="Calibri"/>
                <w:color w:val="002060"/>
                <w:sz w:val="18"/>
                <w:szCs w:val="18"/>
                <w:lang w:val="sr-Cyrl-CS"/>
              </w:rPr>
            </w:pPr>
          </w:p>
        </w:tc>
        <w:tc>
          <w:tcPr>
            <w:tcW w:w="1957" w:type="pct"/>
            <w:tcBorders>
              <w:top w:val="nil"/>
              <w:left w:val="nil"/>
              <w:bottom w:val="nil"/>
              <w:right w:val="nil"/>
            </w:tcBorders>
            <w:noWrap/>
            <w:hideMark/>
          </w:tcPr>
          <w:p w14:paraId="4E7C2E54" w14:textId="77777777" w:rsidR="00181BDB" w:rsidRPr="0007074F" w:rsidRDefault="00181BDB" w:rsidP="00523B7B">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lang w:val="sr-Cyrl-CS"/>
              </w:rPr>
            </w:pPr>
            <w:r w:rsidRPr="0007074F">
              <w:rPr>
                <w:rFonts w:ascii="Calibri" w:hAnsi="Calibri" w:cs="Calibri"/>
                <w:bCs/>
                <w:color w:val="002060"/>
                <w:sz w:val="18"/>
                <w:szCs w:val="18"/>
                <w:lang w:val="sr-Cyrl-CS"/>
              </w:rPr>
              <w:t>Дуг по фиксним стопама (% укупног дуга)</w:t>
            </w:r>
          </w:p>
        </w:tc>
        <w:tc>
          <w:tcPr>
            <w:tcW w:w="366" w:type="pct"/>
            <w:tcBorders>
              <w:top w:val="nil"/>
              <w:left w:val="nil"/>
              <w:bottom w:val="nil"/>
              <w:right w:val="nil"/>
            </w:tcBorders>
            <w:noWrap/>
            <w:hideMark/>
          </w:tcPr>
          <w:p w14:paraId="0D0A1CEB"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74,5</w:t>
            </w:r>
          </w:p>
        </w:tc>
        <w:tc>
          <w:tcPr>
            <w:tcW w:w="367" w:type="pct"/>
            <w:tcBorders>
              <w:top w:val="nil"/>
              <w:left w:val="nil"/>
              <w:bottom w:val="nil"/>
              <w:right w:val="nil"/>
            </w:tcBorders>
            <w:noWrap/>
            <w:hideMark/>
          </w:tcPr>
          <w:p w14:paraId="58041306"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83,1</w:t>
            </w:r>
          </w:p>
        </w:tc>
        <w:tc>
          <w:tcPr>
            <w:tcW w:w="366" w:type="pct"/>
            <w:tcBorders>
              <w:top w:val="nil"/>
              <w:left w:val="nil"/>
              <w:bottom w:val="nil"/>
              <w:right w:val="nil"/>
            </w:tcBorders>
            <w:noWrap/>
            <w:hideMark/>
          </w:tcPr>
          <w:p w14:paraId="2F5ABB1A"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82,9</w:t>
            </w:r>
          </w:p>
        </w:tc>
        <w:tc>
          <w:tcPr>
            <w:tcW w:w="368" w:type="pct"/>
            <w:tcBorders>
              <w:top w:val="nil"/>
              <w:left w:val="nil"/>
              <w:bottom w:val="nil"/>
              <w:right w:val="nil"/>
            </w:tcBorders>
            <w:noWrap/>
            <w:hideMark/>
          </w:tcPr>
          <w:p w14:paraId="46C899D4" w14:textId="77777777" w:rsidR="00181BDB" w:rsidRPr="0007074F" w:rsidRDefault="00181BDB" w:rsidP="00523B7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82,9</w:t>
            </w:r>
          </w:p>
        </w:tc>
      </w:tr>
      <w:tr w:rsidR="00181BDB" w:rsidRPr="0007074F" w14:paraId="3F3EC0E6" w14:textId="77777777" w:rsidTr="00523B7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single" w:sz="4" w:space="0" w:color="002060"/>
            </w:tcBorders>
            <w:shd w:val="clear" w:color="auto" w:fill="E7E6E6" w:themeFill="background2"/>
            <w:noWrap/>
            <w:hideMark/>
          </w:tcPr>
          <w:p w14:paraId="6E715D09" w14:textId="77777777" w:rsidR="00181BDB" w:rsidRPr="0007074F" w:rsidRDefault="00181BDB" w:rsidP="00523B7B">
            <w:pPr>
              <w:spacing w:line="240" w:lineRule="auto"/>
              <w:rPr>
                <w:rFonts w:ascii="Calibri" w:hAnsi="Calibri" w:cs="Calibri"/>
                <w:color w:val="002060"/>
                <w:sz w:val="18"/>
                <w:szCs w:val="18"/>
                <w:lang w:val="sr-Cyrl-CS"/>
              </w:rPr>
            </w:pPr>
            <w:r w:rsidRPr="0007074F">
              <w:rPr>
                <w:rFonts w:ascii="Calibri" w:hAnsi="Calibri" w:cs="Calibri"/>
                <w:color w:val="002060"/>
                <w:sz w:val="18"/>
                <w:szCs w:val="18"/>
                <w:lang w:val="sr-Cyrl-CS"/>
              </w:rPr>
              <w:t>Ризик девизног курса</w:t>
            </w:r>
          </w:p>
        </w:tc>
        <w:tc>
          <w:tcPr>
            <w:tcW w:w="1957" w:type="pct"/>
            <w:tcBorders>
              <w:top w:val="nil"/>
              <w:bottom w:val="single" w:sz="4" w:space="0" w:color="002060"/>
            </w:tcBorders>
            <w:shd w:val="clear" w:color="auto" w:fill="E7E6E6" w:themeFill="background2"/>
            <w:noWrap/>
            <w:hideMark/>
          </w:tcPr>
          <w:p w14:paraId="0E0B23AD" w14:textId="77777777" w:rsidR="00181BDB" w:rsidRPr="0007074F" w:rsidRDefault="00181BDB" w:rsidP="00523B7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CS"/>
              </w:rPr>
            </w:pPr>
            <w:r w:rsidRPr="0007074F">
              <w:rPr>
                <w:rFonts w:ascii="Calibri" w:hAnsi="Calibri" w:cs="Calibri"/>
                <w:color w:val="002060"/>
                <w:sz w:val="18"/>
                <w:szCs w:val="18"/>
                <w:lang w:val="sr-Cyrl-CS"/>
              </w:rPr>
              <w:t>Ино-валутни дуг (% укупног дуга)</w:t>
            </w:r>
          </w:p>
        </w:tc>
        <w:tc>
          <w:tcPr>
            <w:tcW w:w="366" w:type="pct"/>
            <w:tcBorders>
              <w:top w:val="nil"/>
              <w:bottom w:val="single" w:sz="4" w:space="0" w:color="002060"/>
            </w:tcBorders>
            <w:shd w:val="clear" w:color="auto" w:fill="E7E6E6" w:themeFill="background2"/>
            <w:noWrap/>
            <w:hideMark/>
          </w:tcPr>
          <w:p w14:paraId="5C644BA2"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82,7</w:t>
            </w:r>
          </w:p>
        </w:tc>
        <w:tc>
          <w:tcPr>
            <w:tcW w:w="367" w:type="pct"/>
            <w:tcBorders>
              <w:top w:val="nil"/>
              <w:bottom w:val="single" w:sz="4" w:space="0" w:color="002060"/>
            </w:tcBorders>
            <w:shd w:val="clear" w:color="auto" w:fill="E7E6E6" w:themeFill="background2"/>
            <w:noWrap/>
            <w:hideMark/>
          </w:tcPr>
          <w:p w14:paraId="0EB67101"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92,2</w:t>
            </w:r>
          </w:p>
        </w:tc>
        <w:tc>
          <w:tcPr>
            <w:tcW w:w="366" w:type="pct"/>
            <w:tcBorders>
              <w:top w:val="nil"/>
              <w:bottom w:val="single" w:sz="4" w:space="0" w:color="002060"/>
            </w:tcBorders>
            <w:shd w:val="clear" w:color="auto" w:fill="E7E6E6" w:themeFill="background2"/>
            <w:noWrap/>
            <w:hideMark/>
          </w:tcPr>
          <w:p w14:paraId="0819DD1A"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92,1</w:t>
            </w:r>
          </w:p>
        </w:tc>
        <w:tc>
          <w:tcPr>
            <w:tcW w:w="368" w:type="pct"/>
            <w:tcBorders>
              <w:top w:val="nil"/>
              <w:bottom w:val="single" w:sz="4" w:space="0" w:color="002060"/>
            </w:tcBorders>
            <w:shd w:val="clear" w:color="auto" w:fill="E7E6E6" w:themeFill="background2"/>
            <w:noWrap/>
            <w:hideMark/>
          </w:tcPr>
          <w:p w14:paraId="6343E896" w14:textId="77777777" w:rsidR="00181BDB" w:rsidRPr="0007074F" w:rsidRDefault="00181BDB" w:rsidP="00523B7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CS"/>
              </w:rPr>
            </w:pPr>
            <w:r w:rsidRPr="0007074F">
              <w:rPr>
                <w:rFonts w:ascii="Calibri" w:hAnsi="Calibri" w:cs="Calibri"/>
                <w:b/>
                <w:bCs/>
                <w:color w:val="002060"/>
                <w:sz w:val="18"/>
                <w:szCs w:val="18"/>
                <w:lang w:val="sr-Cyrl-CS"/>
              </w:rPr>
              <w:t>47,1</w:t>
            </w:r>
          </w:p>
        </w:tc>
      </w:tr>
    </w:tbl>
    <w:p w14:paraId="657AFB70" w14:textId="77777777" w:rsidR="00181BDB" w:rsidRPr="0007074F" w:rsidRDefault="00181BDB" w:rsidP="00523B7B">
      <w:pPr>
        <w:spacing w:after="80" w:line="257" w:lineRule="auto"/>
        <w:jc w:val="left"/>
        <w:rPr>
          <w:rFonts w:ascii="Cambria" w:eastAsia="Calibri" w:hAnsi="Cambria" w:cs="Times New Roman"/>
          <w:b/>
          <w:i/>
          <w:lang w:val="sr-Cyrl-CS"/>
        </w:rPr>
        <w:sectPr w:rsidR="00181BDB" w:rsidRPr="0007074F" w:rsidSect="00523B7B">
          <w:type w:val="continuous"/>
          <w:pgSz w:w="12240" w:h="15840"/>
          <w:pgMar w:top="1440" w:right="1440" w:bottom="1440" w:left="1440" w:header="720" w:footer="720" w:gutter="0"/>
          <w:cols w:space="720"/>
          <w15:footnoteColumns w:val="1"/>
        </w:sectPr>
      </w:pPr>
    </w:p>
    <w:p w14:paraId="3A0CE742" w14:textId="77777777" w:rsidR="00181BDB" w:rsidRPr="0007074F" w:rsidRDefault="00181BDB" w:rsidP="00C91F83">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t>Стрес-тест анализа</w:t>
      </w:r>
    </w:p>
    <w:p w14:paraId="1C109436" w14:textId="77777777" w:rsidR="00181BDB" w:rsidRPr="0007074F" w:rsidRDefault="00181BDB" w:rsidP="00523B7B">
      <w:pPr>
        <w:rPr>
          <w:rFonts w:ascii="Calibri" w:eastAsia="Calibri" w:hAnsi="Calibri" w:cs="Calibri"/>
          <w:bCs/>
          <w:spacing w:val="-4"/>
          <w:szCs w:val="72"/>
          <w:lang w:val="sr-Cyrl-CS"/>
        </w:rPr>
      </w:pPr>
      <w:r w:rsidRPr="0007074F">
        <w:rPr>
          <w:rFonts w:ascii="Calibri" w:eastAsia="Calibri" w:hAnsi="Calibri" w:cs="Calibri"/>
          <w:bCs/>
          <w:spacing w:val="-4"/>
          <w:szCs w:val="72"/>
          <w:lang w:val="sr-Cyrl-CS"/>
        </w:rPr>
        <w:t xml:space="preserve">Општим фискалним правилима, дефинисаним Законом о буџетском систему, одређује се циљaни средњорочни фискални дефицит, као и максимални однос дуга према БДП са циљем да се обезбеди дугорочна одрживост фискалне политике у Републици Србији. Општа фискална правила су: 1) дуг сектора државе, укључујући обавезе по основу реституције, неће бити већи од 60% БДП; 2) циљани средњорочни фискални дефицит је 0,5% БДП. </w:t>
      </w:r>
      <w:r w:rsidRPr="0007074F">
        <w:rPr>
          <w:rFonts w:ascii="Calibri" w:eastAsia="Calibri" w:hAnsi="Calibri" w:cs="Calibri"/>
          <w:bCs/>
          <w:spacing w:val="-4"/>
          <w:szCs w:val="72"/>
          <w:lang w:val="sr-Cyrl-CS"/>
        </w:rPr>
        <w:t xml:space="preserve">Уколико је дуг сектора државе изнад 60% БДП, фискална позиција сектора државе мора бити уравнотежена, тако да фискални дефицит износи највише 0% БДП. Уколико је дуг сектора државе између 55% и 60% БДП фискални дефицит износи највише 0,5% БДП. Уколико је дуг сектора државе између 45% и 55% БДП фискални дефицит износи највише 1,5% БДП. Уколико је дуг сектора државе испод 45% БДП, фискални дефицит неће прећи износ од 3% БДП. Уколико дође до прекорачења фискалног дефицита утврђеног општим фискалним правилом </w:t>
      </w:r>
      <w:r w:rsidRPr="0007074F">
        <w:rPr>
          <w:rFonts w:ascii="Calibri" w:eastAsia="Calibri" w:hAnsi="Calibri" w:cs="Calibri"/>
          <w:bCs/>
          <w:spacing w:val="-4"/>
          <w:szCs w:val="72"/>
          <w:lang w:val="sr-Cyrl-CS"/>
        </w:rPr>
        <w:lastRenderedPageBreak/>
        <w:t>прописаним Законом о буџетском систему, Влада на предлог Министарства доноси одлуку о програму мера за прилагођавање прекомерног фискалног дефицита у средњем року, коју по прибављеном образложеном мишљењу Фискалног савета доставља Народној скупштини ради информисања. Уколико дуг сектора државе пређе или се предвиђа да ће прећи 55% БДП Влада је дужна да Народној скупштини, заједно са буџетом за наредну годину у Фискалној стратегији, као и у ревидираној Фискалној стратегији поднесе и програм за смањење дуга сектора државе у односу на БДП, а за сваку наредну годину у којој тај дуг остаје изнад 55% БДП и извештај о спровођењу програма за смањење дуга и ажурирани програм. Уколико дуг сектора државе пређе или се предвиђа да ће прећи 60% БДП, програм за смањење дуга усваја Народна скупштина најмање једанпут годишње, у поступку припреме и доношења буџета за наредну фискалну годину. До усвајања програма, министар је овлашћен да смањи расходе, тако да дуг сектора државе задржи испод 60% БДП, водећи рачуна о економској ситуацији и другим околностима.</w:t>
      </w:r>
    </w:p>
    <w:p w14:paraId="4312AF2A"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 xml:space="preserve">На крају 2022. године стање дуга централног нивоа власти достигло је 55,1% БДП, а сектора државе </w:t>
      </w:r>
      <w:r w:rsidRPr="0007074F">
        <w:rPr>
          <w:rFonts w:ascii="Calibri" w:eastAsia="Calibri" w:hAnsi="Calibri" w:cs="Calibri"/>
          <w:bCs/>
          <w:szCs w:val="72"/>
          <w:lang w:val="sr-Cyrl-CS"/>
        </w:rPr>
        <w:t xml:space="preserve">55,6% БДП. Рацио јавни дуг/БДП централног нивоа власти на крају марта 2023. године износио је 51,0% БДП, а сектора државе 51,5% БДП. До краја 2023. године се очекује благи раст рација на ниво од око 53,6% БДП на централном нивоу, односно 54,3% БДП на нивоу сектора државе, пре свега услед реализације великих инфраструктурних пројеката који се финансирају из пројектних. Због високог учешћа дуга деноминованог у страној валути (77,1%), евидентно је да ће девизни ризик детерминисати понашање рација јавни дуг/БДП у </w:t>
      </w:r>
      <w:r w:rsidRPr="0007074F">
        <w:rPr>
          <w:rFonts w:ascii="Calibri" w:eastAsia="Calibri" w:hAnsi="Calibri" w:cs="Calibri"/>
          <w:bCs/>
          <w:spacing w:val="-2"/>
          <w:szCs w:val="72"/>
          <w:lang w:val="sr-Cyrl-CS"/>
        </w:rPr>
        <w:t>наредном периоду и битно условљавати успех мера фискалне политике усмерених на консолидацију јавних финансија и смањењу учешћа јавног дуга у БДП.</w:t>
      </w:r>
    </w:p>
    <w:p w14:paraId="3ED6A60A"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На основу планираног макроекономског оквира, а у случају изостанка утицаја могућих ризика, јавни дуг централног нивоа власти би на крају 2026. године требало да буде на нивоу од 50,9% БДП.</w:t>
      </w:r>
    </w:p>
    <w:p w14:paraId="4BACA7EC"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Основни фактори који утичу на стабилизацију рација јавни дуг/БДП су раст БДП, позитивни примарни резултат, курс динара према ино-валутама и висина каматних стопа.</w:t>
      </w:r>
    </w:p>
    <w:p w14:paraId="39B2DDDB" w14:textId="77777777" w:rsidR="00181BDB" w:rsidRPr="0007074F" w:rsidRDefault="00181BDB" w:rsidP="00523B7B">
      <w:pPr>
        <w:rPr>
          <w:rFonts w:ascii="Calibri" w:eastAsia="Calibri" w:hAnsi="Calibri" w:cs="Calibri"/>
          <w:bCs/>
          <w:szCs w:val="72"/>
          <w:lang w:val="sr-Cyrl-CS"/>
        </w:rPr>
        <w:sectPr w:rsidR="00181BDB" w:rsidRPr="0007074F" w:rsidSect="00C91F83">
          <w:type w:val="continuous"/>
          <w:pgSz w:w="12240" w:h="15840" w:code="1"/>
          <w:pgMar w:top="1418" w:right="1418" w:bottom="1418" w:left="1418" w:header="720" w:footer="720" w:gutter="0"/>
          <w:cols w:num="2" w:space="720"/>
          <w:docGrid w:linePitch="272"/>
        </w:sectPr>
      </w:pPr>
    </w:p>
    <w:p w14:paraId="1DF5DB39" w14:textId="77777777" w:rsidR="00181BDB" w:rsidRPr="0007074F" w:rsidRDefault="00181BDB" w:rsidP="00523B7B">
      <w:pPr>
        <w:rPr>
          <w:lang w:val="sr-Cyrl-CS"/>
        </w:rPr>
      </w:pPr>
    </w:p>
    <w:p w14:paraId="7BE7EA2D" w14:textId="77777777" w:rsidR="00181BDB" w:rsidRPr="0007074F" w:rsidRDefault="00181BDB" w:rsidP="00C91F83">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t xml:space="preserve">Табела 29. Доприноси основних макроекономских варијабли на промену рација </w:t>
      </w:r>
      <w:r w:rsidRPr="0007074F">
        <w:rPr>
          <w:rFonts w:ascii="Calibri" w:eastAsia="Calibri" w:hAnsi="Calibri" w:cs="Times New Roman"/>
          <w:b/>
          <w:color w:val="002060"/>
          <w:lang w:val="sr-Cyrl-CS"/>
        </w:rPr>
        <w:br w:type="textWrapping" w:clear="all"/>
        <w:t>јавни дуг (централног нивоа државе) – БДП, у %</w:t>
      </w:r>
    </w:p>
    <w:tbl>
      <w:tblPr>
        <w:tblStyle w:val="LightShading-Accent1222"/>
        <w:tblW w:w="5000" w:type="pct"/>
        <w:tblInd w:w="0" w:type="dxa"/>
        <w:tblLook w:val="0420" w:firstRow="1" w:lastRow="0" w:firstColumn="0" w:lastColumn="0" w:noHBand="0" w:noVBand="1"/>
      </w:tblPr>
      <w:tblGrid>
        <w:gridCol w:w="3843"/>
        <w:gridCol w:w="926"/>
        <w:gridCol w:w="927"/>
        <w:gridCol w:w="927"/>
        <w:gridCol w:w="927"/>
        <w:gridCol w:w="927"/>
        <w:gridCol w:w="927"/>
      </w:tblGrid>
      <w:tr w:rsidR="00181BDB" w:rsidRPr="0007074F" w14:paraId="45CD9AE6" w14:textId="77777777" w:rsidTr="00FF2460">
        <w:trPr>
          <w:cnfStyle w:val="100000000000" w:firstRow="1" w:lastRow="0" w:firstColumn="0" w:lastColumn="0" w:oddVBand="0" w:evenVBand="0" w:oddHBand="0" w:evenHBand="0" w:firstRowFirstColumn="0" w:firstRowLastColumn="0" w:lastRowFirstColumn="0" w:lastRowLastColumn="0"/>
          <w:trHeight w:val="265"/>
        </w:trPr>
        <w:tc>
          <w:tcPr>
            <w:tcW w:w="2043" w:type="pct"/>
            <w:tcBorders>
              <w:top w:val="single" w:sz="4" w:space="0" w:color="002060"/>
              <w:bottom w:val="single" w:sz="8" w:space="0" w:color="FFFFFF" w:themeColor="background1"/>
            </w:tcBorders>
            <w:noWrap/>
            <w:hideMark/>
          </w:tcPr>
          <w:p w14:paraId="0B0FC3B3" w14:textId="77777777" w:rsidR="00181BDB" w:rsidRPr="0007074F" w:rsidRDefault="00181BDB" w:rsidP="00523B7B">
            <w:pPr>
              <w:jc w:val="center"/>
              <w:rPr>
                <w:rFonts w:ascii="Calibri" w:hAnsi="Calibri" w:cs="Calibri"/>
                <w:color w:val="002060"/>
                <w:sz w:val="18"/>
                <w:szCs w:val="18"/>
                <w:lang w:val="sr-Cyrl-CS"/>
              </w:rPr>
            </w:pPr>
            <w:r w:rsidRPr="0007074F">
              <w:rPr>
                <w:rFonts w:ascii="Calibri" w:hAnsi="Calibri" w:cs="Calibri"/>
                <w:color w:val="002060"/>
                <w:sz w:val="18"/>
                <w:szCs w:val="18"/>
                <w:lang w:val="sr-Cyrl-CS"/>
              </w:rPr>
              <w:t> </w:t>
            </w:r>
          </w:p>
        </w:tc>
        <w:tc>
          <w:tcPr>
            <w:tcW w:w="492" w:type="pct"/>
            <w:tcBorders>
              <w:top w:val="single" w:sz="4" w:space="0" w:color="002060"/>
              <w:bottom w:val="single" w:sz="4" w:space="0" w:color="002060"/>
            </w:tcBorders>
            <w:hideMark/>
          </w:tcPr>
          <w:p w14:paraId="76D36D89" w14:textId="77777777" w:rsidR="00181BDB" w:rsidRPr="0007074F" w:rsidRDefault="00181BDB" w:rsidP="00523B7B">
            <w:pPr>
              <w:jc w:val="center"/>
              <w:rPr>
                <w:rFonts w:ascii="Calibri" w:hAnsi="Calibri" w:cs="Calibri"/>
                <w:color w:val="002060"/>
                <w:sz w:val="18"/>
                <w:szCs w:val="18"/>
                <w:lang w:val="sr-Cyrl-CS"/>
              </w:rPr>
            </w:pPr>
            <w:r w:rsidRPr="0007074F">
              <w:rPr>
                <w:rFonts w:ascii="Calibri" w:hAnsi="Calibri" w:cs="Calibri"/>
                <w:color w:val="002060"/>
                <w:sz w:val="18"/>
                <w:szCs w:val="18"/>
                <w:lang w:val="sr-Cyrl-CS"/>
              </w:rPr>
              <w:t>2021</w:t>
            </w:r>
          </w:p>
        </w:tc>
        <w:tc>
          <w:tcPr>
            <w:tcW w:w="493" w:type="pct"/>
            <w:tcBorders>
              <w:top w:val="single" w:sz="4" w:space="0" w:color="002060"/>
              <w:bottom w:val="single" w:sz="4" w:space="0" w:color="002060"/>
            </w:tcBorders>
            <w:hideMark/>
          </w:tcPr>
          <w:p w14:paraId="281E13DC" w14:textId="77777777" w:rsidR="00181BDB" w:rsidRPr="0007074F" w:rsidRDefault="00181BDB" w:rsidP="00523B7B">
            <w:pPr>
              <w:jc w:val="center"/>
              <w:rPr>
                <w:rFonts w:ascii="Calibri" w:hAnsi="Calibri" w:cs="Calibri"/>
                <w:color w:val="002060"/>
                <w:sz w:val="18"/>
                <w:szCs w:val="18"/>
                <w:lang w:val="sr-Cyrl-CS"/>
              </w:rPr>
            </w:pPr>
            <w:r w:rsidRPr="0007074F">
              <w:rPr>
                <w:rFonts w:ascii="Calibri" w:hAnsi="Calibri" w:cs="Calibri"/>
                <w:color w:val="002060"/>
                <w:sz w:val="18"/>
                <w:szCs w:val="18"/>
                <w:lang w:val="sr-Cyrl-CS"/>
              </w:rPr>
              <w:t>2022</w:t>
            </w:r>
          </w:p>
        </w:tc>
        <w:tc>
          <w:tcPr>
            <w:tcW w:w="493" w:type="pct"/>
            <w:tcBorders>
              <w:top w:val="single" w:sz="4" w:space="0" w:color="002060"/>
              <w:bottom w:val="single" w:sz="4" w:space="0" w:color="002060"/>
            </w:tcBorders>
            <w:noWrap/>
            <w:hideMark/>
          </w:tcPr>
          <w:p w14:paraId="24ECB8C3" w14:textId="77777777" w:rsidR="00181BDB" w:rsidRPr="0007074F" w:rsidRDefault="00181BDB" w:rsidP="00523B7B">
            <w:pPr>
              <w:jc w:val="center"/>
              <w:rPr>
                <w:rFonts w:ascii="Calibri" w:hAnsi="Calibri" w:cs="Calibri"/>
                <w:color w:val="002060"/>
                <w:sz w:val="18"/>
                <w:szCs w:val="18"/>
                <w:lang w:val="sr-Cyrl-CS"/>
              </w:rPr>
            </w:pPr>
            <w:r w:rsidRPr="0007074F">
              <w:rPr>
                <w:rFonts w:ascii="Calibri" w:hAnsi="Calibri" w:cs="Calibri"/>
                <w:color w:val="002060"/>
                <w:sz w:val="18"/>
                <w:szCs w:val="18"/>
                <w:lang w:val="sr-Cyrl-CS"/>
              </w:rPr>
              <w:t>2023 п</w:t>
            </w:r>
          </w:p>
        </w:tc>
        <w:tc>
          <w:tcPr>
            <w:tcW w:w="493" w:type="pct"/>
            <w:tcBorders>
              <w:top w:val="single" w:sz="4" w:space="0" w:color="002060"/>
              <w:bottom w:val="single" w:sz="4" w:space="0" w:color="002060"/>
            </w:tcBorders>
            <w:noWrap/>
            <w:hideMark/>
          </w:tcPr>
          <w:p w14:paraId="2878E283" w14:textId="77777777" w:rsidR="00181BDB" w:rsidRPr="0007074F" w:rsidRDefault="00181BDB" w:rsidP="00523B7B">
            <w:pPr>
              <w:jc w:val="center"/>
              <w:rPr>
                <w:rFonts w:ascii="Calibri" w:hAnsi="Calibri" w:cs="Calibri"/>
                <w:color w:val="002060"/>
                <w:sz w:val="18"/>
                <w:szCs w:val="18"/>
                <w:lang w:val="sr-Cyrl-CS"/>
              </w:rPr>
            </w:pPr>
            <w:r w:rsidRPr="0007074F">
              <w:rPr>
                <w:rFonts w:ascii="Calibri" w:hAnsi="Calibri" w:cs="Calibri"/>
                <w:color w:val="002060"/>
                <w:sz w:val="18"/>
                <w:szCs w:val="18"/>
                <w:lang w:val="sr-Cyrl-CS"/>
              </w:rPr>
              <w:t>2024 п</w:t>
            </w:r>
          </w:p>
        </w:tc>
        <w:tc>
          <w:tcPr>
            <w:tcW w:w="493" w:type="pct"/>
            <w:tcBorders>
              <w:top w:val="single" w:sz="4" w:space="0" w:color="002060"/>
              <w:bottom w:val="single" w:sz="4" w:space="0" w:color="002060"/>
            </w:tcBorders>
            <w:noWrap/>
            <w:hideMark/>
          </w:tcPr>
          <w:p w14:paraId="409694FB" w14:textId="77777777" w:rsidR="00181BDB" w:rsidRPr="0007074F" w:rsidRDefault="00181BDB" w:rsidP="00523B7B">
            <w:pPr>
              <w:jc w:val="center"/>
              <w:rPr>
                <w:rFonts w:ascii="Calibri" w:hAnsi="Calibri" w:cs="Calibri"/>
                <w:color w:val="002060"/>
                <w:sz w:val="18"/>
                <w:szCs w:val="18"/>
                <w:lang w:val="sr-Cyrl-CS"/>
              </w:rPr>
            </w:pPr>
            <w:r w:rsidRPr="0007074F">
              <w:rPr>
                <w:rFonts w:ascii="Calibri" w:hAnsi="Calibri" w:cs="Calibri"/>
                <w:color w:val="002060"/>
                <w:sz w:val="18"/>
                <w:szCs w:val="18"/>
                <w:lang w:val="sr-Cyrl-CS"/>
              </w:rPr>
              <w:t>2025 п</w:t>
            </w:r>
          </w:p>
        </w:tc>
        <w:tc>
          <w:tcPr>
            <w:tcW w:w="493" w:type="pct"/>
            <w:tcBorders>
              <w:top w:val="single" w:sz="4" w:space="0" w:color="002060"/>
              <w:bottom w:val="single" w:sz="4" w:space="0" w:color="002060"/>
            </w:tcBorders>
            <w:noWrap/>
            <w:hideMark/>
          </w:tcPr>
          <w:p w14:paraId="6BDE2F68" w14:textId="77777777" w:rsidR="00181BDB" w:rsidRPr="0007074F" w:rsidRDefault="00181BDB" w:rsidP="00523B7B">
            <w:pPr>
              <w:jc w:val="center"/>
              <w:rPr>
                <w:rFonts w:ascii="Calibri" w:hAnsi="Calibri" w:cs="Calibri"/>
                <w:color w:val="002060"/>
                <w:sz w:val="18"/>
                <w:szCs w:val="18"/>
                <w:lang w:val="sr-Cyrl-CS"/>
              </w:rPr>
            </w:pPr>
            <w:r w:rsidRPr="0007074F">
              <w:rPr>
                <w:rFonts w:ascii="Calibri" w:hAnsi="Calibri" w:cs="Calibri"/>
                <w:color w:val="002060"/>
                <w:sz w:val="18"/>
                <w:szCs w:val="18"/>
                <w:lang w:val="sr-Cyrl-CS"/>
              </w:rPr>
              <w:t>2026 п</w:t>
            </w:r>
          </w:p>
        </w:tc>
      </w:tr>
      <w:tr w:rsidR="00181BDB" w:rsidRPr="0007074F" w14:paraId="2023433A"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single" w:sz="8" w:space="0" w:color="FFFFFF" w:themeColor="background1"/>
              <w:bottom w:val="nil"/>
            </w:tcBorders>
            <w:shd w:val="clear" w:color="auto" w:fill="E7E6E6" w:themeFill="background2"/>
            <w:noWrap/>
            <w:hideMark/>
          </w:tcPr>
          <w:p w14:paraId="7BBC359B"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Дуг централне државе/БДП</w:t>
            </w:r>
          </w:p>
        </w:tc>
        <w:tc>
          <w:tcPr>
            <w:tcW w:w="492" w:type="pct"/>
            <w:tcBorders>
              <w:top w:val="single" w:sz="4" w:space="0" w:color="002060"/>
              <w:bottom w:val="nil"/>
            </w:tcBorders>
            <w:shd w:val="clear" w:color="auto" w:fill="E7E6E6" w:themeFill="background2"/>
            <w:hideMark/>
          </w:tcPr>
          <w:p w14:paraId="7E616328"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56,5</w:t>
            </w:r>
          </w:p>
        </w:tc>
        <w:tc>
          <w:tcPr>
            <w:tcW w:w="493" w:type="pct"/>
            <w:tcBorders>
              <w:top w:val="single" w:sz="4" w:space="0" w:color="002060"/>
              <w:bottom w:val="nil"/>
            </w:tcBorders>
            <w:shd w:val="clear" w:color="auto" w:fill="E7E6E6" w:themeFill="background2"/>
            <w:hideMark/>
          </w:tcPr>
          <w:p w14:paraId="7925EC70"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55,1</w:t>
            </w:r>
          </w:p>
        </w:tc>
        <w:tc>
          <w:tcPr>
            <w:tcW w:w="493" w:type="pct"/>
            <w:tcBorders>
              <w:top w:val="single" w:sz="4" w:space="0" w:color="002060"/>
              <w:bottom w:val="nil"/>
            </w:tcBorders>
            <w:shd w:val="clear" w:color="auto" w:fill="E7E6E6" w:themeFill="background2"/>
            <w:noWrap/>
            <w:hideMark/>
          </w:tcPr>
          <w:p w14:paraId="3EEC8F15"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53,6</w:t>
            </w:r>
          </w:p>
        </w:tc>
        <w:tc>
          <w:tcPr>
            <w:tcW w:w="493" w:type="pct"/>
            <w:tcBorders>
              <w:top w:val="single" w:sz="4" w:space="0" w:color="002060"/>
              <w:bottom w:val="nil"/>
            </w:tcBorders>
            <w:shd w:val="clear" w:color="auto" w:fill="E7E6E6" w:themeFill="background2"/>
            <w:noWrap/>
            <w:hideMark/>
          </w:tcPr>
          <w:p w14:paraId="1439DEFD"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53,2</w:t>
            </w:r>
          </w:p>
        </w:tc>
        <w:tc>
          <w:tcPr>
            <w:tcW w:w="493" w:type="pct"/>
            <w:tcBorders>
              <w:top w:val="single" w:sz="4" w:space="0" w:color="002060"/>
              <w:bottom w:val="nil"/>
            </w:tcBorders>
            <w:shd w:val="clear" w:color="auto" w:fill="E7E6E6" w:themeFill="background2"/>
            <w:noWrap/>
            <w:hideMark/>
          </w:tcPr>
          <w:p w14:paraId="0B2C58E5"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52,1</w:t>
            </w:r>
          </w:p>
        </w:tc>
        <w:tc>
          <w:tcPr>
            <w:tcW w:w="493" w:type="pct"/>
            <w:tcBorders>
              <w:top w:val="single" w:sz="4" w:space="0" w:color="002060"/>
              <w:bottom w:val="nil"/>
            </w:tcBorders>
            <w:shd w:val="clear" w:color="auto" w:fill="E7E6E6" w:themeFill="background2"/>
            <w:noWrap/>
            <w:hideMark/>
          </w:tcPr>
          <w:p w14:paraId="3F5AF985"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50,9</w:t>
            </w:r>
          </w:p>
        </w:tc>
      </w:tr>
      <w:tr w:rsidR="00181BDB" w:rsidRPr="0007074F" w14:paraId="301AB035" w14:textId="77777777" w:rsidTr="00FF2460">
        <w:trPr>
          <w:trHeight w:val="265"/>
        </w:trPr>
        <w:tc>
          <w:tcPr>
            <w:tcW w:w="2043" w:type="pct"/>
            <w:tcBorders>
              <w:top w:val="nil"/>
              <w:left w:val="nil"/>
              <w:bottom w:val="nil"/>
              <w:right w:val="nil"/>
            </w:tcBorders>
            <w:noWrap/>
            <w:hideMark/>
          </w:tcPr>
          <w:p w14:paraId="03D6CEBB"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Промена у односу на претходну год. у % БДП</w:t>
            </w:r>
          </w:p>
        </w:tc>
        <w:tc>
          <w:tcPr>
            <w:tcW w:w="492" w:type="pct"/>
            <w:tcBorders>
              <w:top w:val="nil"/>
              <w:left w:val="nil"/>
              <w:bottom w:val="nil"/>
              <w:right w:val="nil"/>
            </w:tcBorders>
            <w:hideMark/>
          </w:tcPr>
          <w:p w14:paraId="62C59A6C"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-0,5</w:t>
            </w:r>
          </w:p>
        </w:tc>
        <w:tc>
          <w:tcPr>
            <w:tcW w:w="493" w:type="pct"/>
            <w:tcBorders>
              <w:top w:val="nil"/>
              <w:left w:val="nil"/>
              <w:bottom w:val="nil"/>
              <w:right w:val="nil"/>
            </w:tcBorders>
            <w:hideMark/>
          </w:tcPr>
          <w:p w14:paraId="51C20DCE"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-1,4</w:t>
            </w:r>
          </w:p>
        </w:tc>
        <w:tc>
          <w:tcPr>
            <w:tcW w:w="493" w:type="pct"/>
            <w:tcBorders>
              <w:top w:val="nil"/>
              <w:left w:val="nil"/>
              <w:bottom w:val="nil"/>
              <w:right w:val="nil"/>
            </w:tcBorders>
            <w:noWrap/>
            <w:hideMark/>
          </w:tcPr>
          <w:p w14:paraId="1C98793F"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-1,5</w:t>
            </w:r>
          </w:p>
        </w:tc>
        <w:tc>
          <w:tcPr>
            <w:tcW w:w="493" w:type="pct"/>
            <w:tcBorders>
              <w:top w:val="nil"/>
              <w:left w:val="nil"/>
              <w:bottom w:val="nil"/>
              <w:right w:val="nil"/>
            </w:tcBorders>
            <w:noWrap/>
            <w:hideMark/>
          </w:tcPr>
          <w:p w14:paraId="20701E76"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-0,4</w:t>
            </w:r>
          </w:p>
        </w:tc>
        <w:tc>
          <w:tcPr>
            <w:tcW w:w="493" w:type="pct"/>
            <w:tcBorders>
              <w:top w:val="nil"/>
              <w:left w:val="nil"/>
              <w:bottom w:val="nil"/>
              <w:right w:val="nil"/>
            </w:tcBorders>
            <w:noWrap/>
            <w:hideMark/>
          </w:tcPr>
          <w:p w14:paraId="084D4DAB"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-1,1</w:t>
            </w:r>
          </w:p>
        </w:tc>
        <w:tc>
          <w:tcPr>
            <w:tcW w:w="493" w:type="pct"/>
            <w:tcBorders>
              <w:top w:val="nil"/>
              <w:left w:val="nil"/>
              <w:bottom w:val="nil"/>
              <w:right w:val="nil"/>
            </w:tcBorders>
            <w:noWrap/>
            <w:hideMark/>
          </w:tcPr>
          <w:p w14:paraId="18A94076"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-1,2</w:t>
            </w:r>
          </w:p>
        </w:tc>
      </w:tr>
      <w:tr w:rsidR="00181BDB" w:rsidRPr="0007074F" w14:paraId="5B84EE2E"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noWrap/>
            <w:hideMark/>
          </w:tcPr>
          <w:p w14:paraId="0AE6A3B8"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Допринос примарног фискалног резултата</w:t>
            </w:r>
          </w:p>
        </w:tc>
        <w:tc>
          <w:tcPr>
            <w:tcW w:w="492" w:type="pct"/>
            <w:tcBorders>
              <w:top w:val="nil"/>
              <w:bottom w:val="nil"/>
            </w:tcBorders>
            <w:shd w:val="clear" w:color="auto" w:fill="E7E6E6" w:themeFill="background2"/>
            <w:hideMark/>
          </w:tcPr>
          <w:p w14:paraId="4D2381BD"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2,9</w:t>
            </w:r>
          </w:p>
        </w:tc>
        <w:tc>
          <w:tcPr>
            <w:tcW w:w="493" w:type="pct"/>
            <w:tcBorders>
              <w:top w:val="nil"/>
              <w:bottom w:val="nil"/>
            </w:tcBorders>
            <w:shd w:val="clear" w:color="auto" w:fill="E7E6E6" w:themeFill="background2"/>
            <w:hideMark/>
          </w:tcPr>
          <w:p w14:paraId="66351CD4"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1,8</w:t>
            </w:r>
          </w:p>
        </w:tc>
        <w:tc>
          <w:tcPr>
            <w:tcW w:w="493" w:type="pct"/>
            <w:tcBorders>
              <w:top w:val="nil"/>
              <w:bottom w:val="nil"/>
            </w:tcBorders>
            <w:shd w:val="clear" w:color="auto" w:fill="E7E6E6" w:themeFill="background2"/>
            <w:noWrap/>
            <w:hideMark/>
          </w:tcPr>
          <w:p w14:paraId="1E9FE3CF"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1,3</w:t>
            </w:r>
          </w:p>
        </w:tc>
        <w:tc>
          <w:tcPr>
            <w:tcW w:w="493" w:type="pct"/>
            <w:tcBorders>
              <w:top w:val="nil"/>
              <w:bottom w:val="nil"/>
            </w:tcBorders>
            <w:shd w:val="clear" w:color="auto" w:fill="E7E6E6" w:themeFill="background2"/>
            <w:noWrap/>
            <w:hideMark/>
          </w:tcPr>
          <w:p w14:paraId="76F33A29"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0,2</w:t>
            </w:r>
          </w:p>
        </w:tc>
        <w:tc>
          <w:tcPr>
            <w:tcW w:w="493" w:type="pct"/>
            <w:tcBorders>
              <w:top w:val="nil"/>
              <w:bottom w:val="nil"/>
            </w:tcBorders>
            <w:shd w:val="clear" w:color="auto" w:fill="E7E6E6" w:themeFill="background2"/>
            <w:noWrap/>
            <w:hideMark/>
          </w:tcPr>
          <w:p w14:paraId="6C0B3F69"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-0,7</w:t>
            </w:r>
          </w:p>
        </w:tc>
        <w:tc>
          <w:tcPr>
            <w:tcW w:w="493" w:type="pct"/>
            <w:tcBorders>
              <w:top w:val="nil"/>
              <w:bottom w:val="nil"/>
            </w:tcBorders>
            <w:shd w:val="clear" w:color="auto" w:fill="E7E6E6" w:themeFill="background2"/>
            <w:noWrap/>
            <w:hideMark/>
          </w:tcPr>
          <w:p w14:paraId="068C9D8D"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-0,8</w:t>
            </w:r>
          </w:p>
        </w:tc>
      </w:tr>
      <w:tr w:rsidR="00181BDB" w:rsidRPr="0007074F" w14:paraId="47B9B585" w14:textId="77777777" w:rsidTr="00FF2460">
        <w:trPr>
          <w:trHeight w:val="265"/>
        </w:trPr>
        <w:tc>
          <w:tcPr>
            <w:tcW w:w="2043" w:type="pct"/>
            <w:tcBorders>
              <w:top w:val="nil"/>
              <w:left w:val="nil"/>
              <w:bottom w:val="nil"/>
              <w:right w:val="nil"/>
            </w:tcBorders>
            <w:noWrap/>
            <w:hideMark/>
          </w:tcPr>
          <w:p w14:paraId="15B25140"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Допринос камата</w:t>
            </w:r>
          </w:p>
        </w:tc>
        <w:tc>
          <w:tcPr>
            <w:tcW w:w="492" w:type="pct"/>
            <w:tcBorders>
              <w:top w:val="nil"/>
              <w:left w:val="nil"/>
              <w:bottom w:val="nil"/>
              <w:right w:val="nil"/>
            </w:tcBorders>
            <w:hideMark/>
          </w:tcPr>
          <w:p w14:paraId="74E3C55C"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1,7</w:t>
            </w:r>
          </w:p>
        </w:tc>
        <w:tc>
          <w:tcPr>
            <w:tcW w:w="493" w:type="pct"/>
            <w:tcBorders>
              <w:top w:val="nil"/>
              <w:left w:val="nil"/>
              <w:bottom w:val="nil"/>
              <w:right w:val="nil"/>
            </w:tcBorders>
            <w:hideMark/>
          </w:tcPr>
          <w:p w14:paraId="611754B4"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1,5</w:t>
            </w:r>
          </w:p>
        </w:tc>
        <w:tc>
          <w:tcPr>
            <w:tcW w:w="493" w:type="pct"/>
            <w:tcBorders>
              <w:top w:val="nil"/>
              <w:left w:val="nil"/>
              <w:bottom w:val="nil"/>
              <w:right w:val="nil"/>
            </w:tcBorders>
            <w:noWrap/>
            <w:hideMark/>
          </w:tcPr>
          <w:p w14:paraId="57196803"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1,8</w:t>
            </w:r>
          </w:p>
        </w:tc>
        <w:tc>
          <w:tcPr>
            <w:tcW w:w="493" w:type="pct"/>
            <w:tcBorders>
              <w:top w:val="nil"/>
              <w:left w:val="nil"/>
              <w:bottom w:val="nil"/>
              <w:right w:val="nil"/>
            </w:tcBorders>
            <w:noWrap/>
            <w:hideMark/>
          </w:tcPr>
          <w:p w14:paraId="04B82724"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2,1</w:t>
            </w:r>
          </w:p>
        </w:tc>
        <w:tc>
          <w:tcPr>
            <w:tcW w:w="493" w:type="pct"/>
            <w:tcBorders>
              <w:top w:val="nil"/>
              <w:left w:val="nil"/>
              <w:bottom w:val="nil"/>
              <w:right w:val="nil"/>
            </w:tcBorders>
            <w:noWrap/>
            <w:hideMark/>
          </w:tcPr>
          <w:p w14:paraId="27C240B5"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2,2</w:t>
            </w:r>
          </w:p>
        </w:tc>
        <w:tc>
          <w:tcPr>
            <w:tcW w:w="493" w:type="pct"/>
            <w:tcBorders>
              <w:top w:val="nil"/>
              <w:left w:val="nil"/>
              <w:bottom w:val="nil"/>
              <w:right w:val="nil"/>
            </w:tcBorders>
            <w:noWrap/>
            <w:hideMark/>
          </w:tcPr>
          <w:p w14:paraId="6239352C"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2,4</w:t>
            </w:r>
          </w:p>
        </w:tc>
      </w:tr>
      <w:tr w:rsidR="00181BDB" w:rsidRPr="0007074F" w14:paraId="5E2473B7"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hideMark/>
          </w:tcPr>
          <w:p w14:paraId="3A7595AB"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Допринос раста номиналног БДП</w:t>
            </w:r>
          </w:p>
        </w:tc>
        <w:tc>
          <w:tcPr>
            <w:tcW w:w="492" w:type="pct"/>
            <w:tcBorders>
              <w:top w:val="nil"/>
              <w:bottom w:val="nil"/>
            </w:tcBorders>
            <w:shd w:val="clear" w:color="auto" w:fill="E7E6E6" w:themeFill="background2"/>
            <w:hideMark/>
          </w:tcPr>
          <w:p w14:paraId="4BFB9F9B"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-7,0</w:t>
            </w:r>
          </w:p>
        </w:tc>
        <w:tc>
          <w:tcPr>
            <w:tcW w:w="493" w:type="pct"/>
            <w:tcBorders>
              <w:top w:val="nil"/>
              <w:bottom w:val="nil"/>
            </w:tcBorders>
            <w:shd w:val="clear" w:color="auto" w:fill="E7E6E6" w:themeFill="background2"/>
            <w:hideMark/>
          </w:tcPr>
          <w:p w14:paraId="0F26D906"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-6,5</w:t>
            </w:r>
          </w:p>
        </w:tc>
        <w:tc>
          <w:tcPr>
            <w:tcW w:w="493" w:type="pct"/>
            <w:tcBorders>
              <w:top w:val="nil"/>
              <w:bottom w:val="nil"/>
            </w:tcBorders>
            <w:shd w:val="clear" w:color="auto" w:fill="E7E6E6" w:themeFill="background2"/>
            <w:noWrap/>
            <w:hideMark/>
          </w:tcPr>
          <w:p w14:paraId="60607B3E"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-6,9</w:t>
            </w:r>
          </w:p>
        </w:tc>
        <w:tc>
          <w:tcPr>
            <w:tcW w:w="493" w:type="pct"/>
            <w:tcBorders>
              <w:top w:val="nil"/>
              <w:bottom w:val="nil"/>
            </w:tcBorders>
            <w:shd w:val="clear" w:color="auto" w:fill="E7E6E6" w:themeFill="background2"/>
            <w:noWrap/>
            <w:hideMark/>
          </w:tcPr>
          <w:p w14:paraId="7064DEF9"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-4,1</w:t>
            </w:r>
          </w:p>
        </w:tc>
        <w:tc>
          <w:tcPr>
            <w:tcW w:w="493" w:type="pct"/>
            <w:tcBorders>
              <w:top w:val="nil"/>
              <w:bottom w:val="nil"/>
            </w:tcBorders>
            <w:shd w:val="clear" w:color="auto" w:fill="E7E6E6" w:themeFill="background2"/>
            <w:noWrap/>
            <w:hideMark/>
          </w:tcPr>
          <w:p w14:paraId="68CAF469"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-3,9</w:t>
            </w:r>
          </w:p>
        </w:tc>
        <w:tc>
          <w:tcPr>
            <w:tcW w:w="493" w:type="pct"/>
            <w:tcBorders>
              <w:top w:val="nil"/>
              <w:bottom w:val="nil"/>
            </w:tcBorders>
            <w:shd w:val="clear" w:color="auto" w:fill="E7E6E6" w:themeFill="background2"/>
            <w:noWrap/>
            <w:hideMark/>
          </w:tcPr>
          <w:p w14:paraId="4D0F4705"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-3,5</w:t>
            </w:r>
          </w:p>
        </w:tc>
      </w:tr>
      <w:tr w:rsidR="00181BDB" w:rsidRPr="0007074F" w14:paraId="3D7AA956" w14:textId="77777777" w:rsidTr="00FF2460">
        <w:trPr>
          <w:trHeight w:val="265"/>
        </w:trPr>
        <w:tc>
          <w:tcPr>
            <w:tcW w:w="2043" w:type="pct"/>
            <w:tcBorders>
              <w:top w:val="nil"/>
              <w:left w:val="nil"/>
              <w:bottom w:val="single" w:sz="4" w:space="0" w:color="002060"/>
              <w:right w:val="nil"/>
            </w:tcBorders>
            <w:hideMark/>
          </w:tcPr>
          <w:p w14:paraId="377818B6" w14:textId="77777777" w:rsidR="00181BDB" w:rsidRPr="0007074F" w:rsidRDefault="00181BDB" w:rsidP="00523B7B">
            <w:pPr>
              <w:spacing w:line="240" w:lineRule="auto"/>
              <w:rPr>
                <w:rFonts w:ascii="Calibri" w:hAnsi="Calibri" w:cs="Calibri"/>
                <w:bCs/>
                <w:color w:val="002060"/>
                <w:sz w:val="18"/>
                <w:szCs w:val="18"/>
                <w:lang w:val="sr-Cyrl-CS"/>
              </w:rPr>
            </w:pPr>
            <w:r w:rsidRPr="0007074F">
              <w:rPr>
                <w:rFonts w:ascii="Calibri" w:hAnsi="Calibri" w:cs="Calibri"/>
                <w:bCs/>
                <w:color w:val="002060"/>
                <w:sz w:val="18"/>
                <w:szCs w:val="18"/>
                <w:lang w:val="sr-Cyrl-CS"/>
              </w:rPr>
              <w:t>Допринос осталих фактора</w:t>
            </w:r>
          </w:p>
        </w:tc>
        <w:tc>
          <w:tcPr>
            <w:tcW w:w="492" w:type="pct"/>
            <w:tcBorders>
              <w:top w:val="nil"/>
              <w:left w:val="nil"/>
              <w:bottom w:val="single" w:sz="4" w:space="0" w:color="002060"/>
              <w:right w:val="nil"/>
            </w:tcBorders>
            <w:hideMark/>
          </w:tcPr>
          <w:p w14:paraId="1558C0CE"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1,9</w:t>
            </w:r>
          </w:p>
        </w:tc>
        <w:tc>
          <w:tcPr>
            <w:tcW w:w="493" w:type="pct"/>
            <w:tcBorders>
              <w:top w:val="nil"/>
              <w:left w:val="nil"/>
              <w:bottom w:val="single" w:sz="4" w:space="0" w:color="002060"/>
              <w:right w:val="nil"/>
            </w:tcBorders>
            <w:hideMark/>
          </w:tcPr>
          <w:p w14:paraId="08E96BA4"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1,8</w:t>
            </w:r>
          </w:p>
        </w:tc>
        <w:tc>
          <w:tcPr>
            <w:tcW w:w="493" w:type="pct"/>
            <w:tcBorders>
              <w:top w:val="nil"/>
              <w:left w:val="nil"/>
              <w:bottom w:val="single" w:sz="4" w:space="0" w:color="002060"/>
              <w:right w:val="nil"/>
            </w:tcBorders>
            <w:noWrap/>
            <w:hideMark/>
          </w:tcPr>
          <w:p w14:paraId="7DD32D05"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2,4</w:t>
            </w:r>
          </w:p>
        </w:tc>
        <w:tc>
          <w:tcPr>
            <w:tcW w:w="493" w:type="pct"/>
            <w:tcBorders>
              <w:top w:val="nil"/>
              <w:left w:val="nil"/>
              <w:bottom w:val="single" w:sz="4" w:space="0" w:color="002060"/>
              <w:right w:val="nil"/>
            </w:tcBorders>
            <w:noWrap/>
            <w:hideMark/>
          </w:tcPr>
          <w:p w14:paraId="29730CBB"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1,5</w:t>
            </w:r>
          </w:p>
        </w:tc>
        <w:tc>
          <w:tcPr>
            <w:tcW w:w="493" w:type="pct"/>
            <w:tcBorders>
              <w:top w:val="nil"/>
              <w:left w:val="nil"/>
              <w:bottom w:val="single" w:sz="4" w:space="0" w:color="002060"/>
              <w:right w:val="nil"/>
            </w:tcBorders>
            <w:noWrap/>
            <w:hideMark/>
          </w:tcPr>
          <w:p w14:paraId="3DBC3BC6"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1,2</w:t>
            </w:r>
          </w:p>
        </w:tc>
        <w:tc>
          <w:tcPr>
            <w:tcW w:w="493" w:type="pct"/>
            <w:tcBorders>
              <w:top w:val="nil"/>
              <w:left w:val="nil"/>
              <w:bottom w:val="single" w:sz="4" w:space="0" w:color="002060"/>
              <w:right w:val="nil"/>
            </w:tcBorders>
            <w:noWrap/>
            <w:hideMark/>
          </w:tcPr>
          <w:p w14:paraId="794DEC99" w14:textId="77777777" w:rsidR="00181BDB" w:rsidRPr="0007074F" w:rsidRDefault="00181BDB" w:rsidP="00523B7B">
            <w:pPr>
              <w:spacing w:line="240" w:lineRule="auto"/>
              <w:jc w:val="center"/>
              <w:rPr>
                <w:rFonts w:ascii="Calibri" w:hAnsi="Calibri" w:cs="Calibri"/>
                <w:bCs/>
                <w:color w:val="002060"/>
                <w:sz w:val="18"/>
                <w:szCs w:val="18"/>
                <w:lang w:val="sr-Cyrl-CS"/>
              </w:rPr>
            </w:pPr>
            <w:r w:rsidRPr="0007074F">
              <w:rPr>
                <w:rFonts w:ascii="Calibri" w:hAnsi="Calibri" w:cs="Calibri"/>
                <w:bCs/>
                <w:color w:val="002060"/>
                <w:sz w:val="18"/>
                <w:szCs w:val="18"/>
                <w:lang w:val="sr-Cyrl-CS"/>
              </w:rPr>
              <w:t>0,8</w:t>
            </w:r>
          </w:p>
        </w:tc>
      </w:tr>
    </w:tbl>
    <w:p w14:paraId="25BF168B" w14:textId="77777777" w:rsidR="00181BDB" w:rsidRPr="0007074F" w:rsidRDefault="00181BDB" w:rsidP="00C91F83">
      <w:pPr>
        <w:spacing w:line="256" w:lineRule="auto"/>
        <w:jc w:val="center"/>
        <w:rPr>
          <w:rFonts w:ascii="Calibri" w:eastAsia="Calibri" w:hAnsi="Calibri" w:cs="Times New Roman"/>
          <w:b/>
          <w:color w:val="002060"/>
          <w:lang w:val="sr-Cyrl-CS"/>
        </w:rPr>
        <w:sectPr w:rsidR="00181BDB" w:rsidRPr="0007074F" w:rsidSect="00C91F83">
          <w:type w:val="continuous"/>
          <w:pgSz w:w="12240" w:h="15840" w:code="1"/>
          <w:pgMar w:top="1418" w:right="1418" w:bottom="1418" w:left="1418" w:header="720" w:footer="720" w:gutter="0"/>
          <w:cols w:space="720"/>
          <w:docGrid w:linePitch="272"/>
        </w:sectPr>
      </w:pPr>
    </w:p>
    <w:p w14:paraId="2ED0A538" w14:textId="77777777" w:rsidR="00181BDB" w:rsidRPr="0007074F" w:rsidRDefault="00181BDB" w:rsidP="00523B7B">
      <w:pPr>
        <w:rPr>
          <w:lang w:val="sr-Cyrl-CS"/>
        </w:rPr>
      </w:pPr>
    </w:p>
    <w:p w14:paraId="155F1D34" w14:textId="77777777" w:rsidR="00181BDB" w:rsidRPr="0007074F" w:rsidRDefault="00181BDB" w:rsidP="00523B7B">
      <w:pPr>
        <w:rPr>
          <w:lang w:val="sr-Cyrl-CS"/>
        </w:rPr>
      </w:pPr>
    </w:p>
    <w:p w14:paraId="7CF00EC8" w14:textId="77777777" w:rsidR="00181BDB" w:rsidRPr="0007074F" w:rsidRDefault="00181BDB" w:rsidP="00523B7B">
      <w:pPr>
        <w:rPr>
          <w:lang w:val="sr-Cyrl-CS"/>
        </w:rPr>
      </w:pPr>
    </w:p>
    <w:p w14:paraId="20740605" w14:textId="77777777" w:rsidR="00181BDB" w:rsidRPr="0007074F" w:rsidRDefault="00181BDB" w:rsidP="00523B7B">
      <w:pPr>
        <w:rPr>
          <w:lang w:val="sr-Cyrl-CS"/>
        </w:rPr>
      </w:pPr>
    </w:p>
    <w:p w14:paraId="1E17AEEE" w14:textId="77777777" w:rsidR="00181BDB" w:rsidRPr="0007074F" w:rsidRDefault="00181BDB" w:rsidP="00523B7B">
      <w:pPr>
        <w:rPr>
          <w:lang w:val="sr-Cyrl-CS"/>
        </w:rPr>
      </w:pPr>
    </w:p>
    <w:p w14:paraId="0D9EB462" w14:textId="77777777" w:rsidR="00181BDB" w:rsidRPr="0007074F" w:rsidRDefault="00181BDB" w:rsidP="00523B7B">
      <w:pPr>
        <w:rPr>
          <w:lang w:val="sr-Cyrl-CS"/>
        </w:rPr>
      </w:pPr>
    </w:p>
    <w:p w14:paraId="1C7AD7DD" w14:textId="77777777" w:rsidR="00181BDB" w:rsidRPr="0007074F" w:rsidRDefault="00181BDB" w:rsidP="00523B7B">
      <w:pPr>
        <w:rPr>
          <w:lang w:val="sr-Cyrl-CS"/>
        </w:rPr>
      </w:pPr>
    </w:p>
    <w:p w14:paraId="2FB7FEF8" w14:textId="77777777" w:rsidR="00181BDB" w:rsidRPr="0007074F" w:rsidRDefault="00181BDB" w:rsidP="00523B7B">
      <w:pPr>
        <w:rPr>
          <w:lang w:val="sr-Cyrl-CS"/>
        </w:rPr>
      </w:pPr>
    </w:p>
    <w:p w14:paraId="40BD4716" w14:textId="77777777" w:rsidR="00181BDB" w:rsidRPr="0007074F" w:rsidRDefault="00181BDB" w:rsidP="00523B7B">
      <w:pPr>
        <w:rPr>
          <w:lang w:val="sr-Cyrl-CS"/>
        </w:rPr>
      </w:pPr>
    </w:p>
    <w:p w14:paraId="385CEC69" w14:textId="77777777" w:rsidR="00181BDB" w:rsidRPr="0007074F" w:rsidRDefault="00181BDB" w:rsidP="00523B7B">
      <w:pPr>
        <w:rPr>
          <w:lang w:val="sr-Cyrl-CS"/>
        </w:rPr>
      </w:pPr>
    </w:p>
    <w:p w14:paraId="5FE654AE" w14:textId="77777777" w:rsidR="00181BDB" w:rsidRPr="0007074F" w:rsidRDefault="00181BDB" w:rsidP="00523B7B">
      <w:pPr>
        <w:rPr>
          <w:lang w:val="sr-Cyrl-CS"/>
        </w:rPr>
      </w:pPr>
    </w:p>
    <w:p w14:paraId="224B7D91" w14:textId="77777777" w:rsidR="00181BDB" w:rsidRPr="0007074F" w:rsidRDefault="00181BDB" w:rsidP="00523B7B">
      <w:pPr>
        <w:rPr>
          <w:lang w:val="sr-Cyrl-CS"/>
        </w:rPr>
      </w:pPr>
    </w:p>
    <w:p w14:paraId="451CDBCC" w14:textId="77777777" w:rsidR="00181BDB" w:rsidRPr="0007074F" w:rsidRDefault="00181BDB" w:rsidP="00C91F83">
      <w:pPr>
        <w:spacing w:line="256" w:lineRule="auto"/>
        <w:jc w:val="center"/>
        <w:rPr>
          <w:rFonts w:ascii="Calibri" w:eastAsia="Calibri" w:hAnsi="Calibri" w:cs="Times New Roman"/>
          <w:b/>
          <w:color w:val="002060"/>
          <w:lang w:val="sr-Cyrl-CS"/>
        </w:rPr>
      </w:pPr>
      <w:r w:rsidRPr="0007074F">
        <w:rPr>
          <w:rFonts w:ascii="Calibri" w:eastAsia="Calibri" w:hAnsi="Calibri" w:cs="Times New Roman"/>
          <w:b/>
          <w:color w:val="002060"/>
          <w:lang w:val="sr-Cyrl-CS"/>
        </w:rPr>
        <w:lastRenderedPageBreak/>
        <w:t>Утицај промене курса динара према корпи валута из портфолија јавног дуга централног нивоа државе на промену рација јавни дуг – БДП</w:t>
      </w:r>
    </w:p>
    <w:p w14:paraId="7F28FCD1" w14:textId="77777777" w:rsidR="00181BDB" w:rsidRPr="0007074F" w:rsidRDefault="00181BDB" w:rsidP="00C91F83">
      <w:pPr>
        <w:spacing w:line="256" w:lineRule="auto"/>
        <w:rPr>
          <w:rFonts w:ascii="Calibri" w:eastAsia="Calibri" w:hAnsi="Calibri" w:cs="Times New Roman"/>
          <w:b/>
          <w:lang w:val="sr-Cyrl-CS"/>
        </w:rPr>
      </w:pPr>
      <w:r w:rsidRPr="0007074F">
        <w:rPr>
          <w:noProof/>
        </w:rPr>
        <w:drawing>
          <wp:inline distT="0" distB="0" distL="0" distR="0" wp14:anchorId="551E5E74" wp14:editId="091A6F2C">
            <wp:extent cx="2892342" cy="2971800"/>
            <wp:effectExtent l="0" t="0" r="3810" b="635"/>
            <wp:docPr id="88" name="Chart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5"/>
              </a:graphicData>
            </a:graphic>
          </wp:inline>
        </w:drawing>
      </w:r>
    </w:p>
    <w:p w14:paraId="6277EAB7"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На графикону је представљено кретање рација јавног дуга централног нивоа државе и БДП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10% депрецијације динара у односу на корпу валута. Применом наведених сценарија може се видети да би се рацио за 2026. годину кретао у распону од 46,9% до 54,9%, док би за основни сценарио био на нивоу од 50,9%.</w:t>
      </w:r>
    </w:p>
    <w:p w14:paraId="2D745402" w14:textId="77777777" w:rsidR="00181BDB" w:rsidRPr="0007074F" w:rsidRDefault="00181BDB" w:rsidP="00C91F83">
      <w:pPr>
        <w:rPr>
          <w:rFonts w:ascii="Calibri" w:eastAsia="Calibri" w:hAnsi="Calibri" w:cs="Calibri"/>
          <w:bCs/>
          <w:spacing w:val="-2"/>
          <w:szCs w:val="72"/>
          <w:lang w:val="sr-Cyrl-CS"/>
        </w:rPr>
      </w:pPr>
      <w:r w:rsidRPr="0007074F">
        <w:rPr>
          <w:rFonts w:ascii="Calibri" w:eastAsia="Calibri" w:hAnsi="Calibri" w:cs="Calibri"/>
          <w:bCs/>
          <w:spacing w:val="-2"/>
          <w:szCs w:val="72"/>
          <w:lang w:val="sr-Cyrl-CS"/>
        </w:rPr>
        <w:t>Главни ризици за остварење Стратегије, поред горе наведених фактора који су квантификовани, су и стабилност макроекономске ситуације у Републици Србији, потребе за додатним задуживањем како би се регулисали дугови на другим нивоима власти, јавном сектору и финансијском сектору Републике Србије и активирање датих гаранција.</w:t>
      </w:r>
    </w:p>
    <w:p w14:paraId="62C7AF49"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Важно је напоменути да смањењу јавног дуга у односу на БДП доприноси и адекватна контрола издавања гаранција и унапређење процеса приоритизације инвестиционих пројеката, који се финансирају из кредитних линија мултилатералних и билатералних кредитора.</w:t>
      </w:r>
    </w:p>
    <w:p w14:paraId="219C6634" w14:textId="77777777" w:rsidR="00181BDB" w:rsidRPr="0007074F" w:rsidRDefault="00181BDB" w:rsidP="00C91F83">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t>Дугорочни стратешки оквир за управљање јавним дугом</w:t>
      </w:r>
    </w:p>
    <w:p w14:paraId="080994D6" w14:textId="77777777" w:rsidR="00181BDB" w:rsidRPr="0007074F" w:rsidRDefault="00181BDB" w:rsidP="00C91F83">
      <w:pPr>
        <w:rPr>
          <w:rFonts w:ascii="Calibri" w:eastAsia="Calibri" w:hAnsi="Calibri" w:cs="Calibri"/>
          <w:bCs/>
          <w:szCs w:val="72"/>
          <w:lang w:val="sr-Cyrl-CS"/>
        </w:rPr>
      </w:pPr>
      <w:r w:rsidRPr="0007074F">
        <w:rPr>
          <w:rFonts w:ascii="Calibri" w:eastAsia="Calibri" w:hAnsi="Calibri" w:cs="Calibri"/>
          <w:bCs/>
          <w:szCs w:val="72"/>
          <w:lang w:val="sr-Cyrl-CS"/>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p>
    <w:p w14:paraId="729F9534" w14:textId="77777777" w:rsidR="00181BDB" w:rsidRPr="0007074F" w:rsidRDefault="00181BDB" w:rsidP="00DB0157">
      <w:pPr>
        <w:numPr>
          <w:ilvl w:val="0"/>
          <w:numId w:val="4"/>
        </w:numPr>
        <w:ind w:left="142" w:hanging="142"/>
        <w:contextualSpacing/>
        <w:rPr>
          <w:rFonts w:ascii="Calibri" w:eastAsia="Calibri" w:hAnsi="Calibri" w:cs="Calibri"/>
          <w:bCs/>
          <w:szCs w:val="72"/>
          <w:lang w:val="sr-Cyrl-CS"/>
        </w:rPr>
      </w:pPr>
      <w:r w:rsidRPr="0007074F">
        <w:rPr>
          <w:rFonts w:ascii="Calibri" w:eastAsia="Calibri" w:hAnsi="Calibri" w:cs="Calibri"/>
          <w:bCs/>
          <w:szCs w:val="72"/>
          <w:lang w:val="sr-Cyrl-CS"/>
        </w:rPr>
        <w:t>да учешће дуга деноминованог у динарима износи најмање 30% укупног јавног дуга на средњи рок;</w:t>
      </w:r>
    </w:p>
    <w:p w14:paraId="6F2BE652" w14:textId="77777777" w:rsidR="00181BDB" w:rsidRPr="0007074F" w:rsidRDefault="00181BDB" w:rsidP="00DB0157">
      <w:pPr>
        <w:numPr>
          <w:ilvl w:val="0"/>
          <w:numId w:val="4"/>
        </w:numPr>
        <w:ind w:left="142" w:hanging="142"/>
        <w:contextualSpacing/>
        <w:rPr>
          <w:rFonts w:ascii="Calibri" w:eastAsia="Calibri" w:hAnsi="Calibri" w:cs="Calibri"/>
          <w:bCs/>
          <w:szCs w:val="72"/>
          <w:lang w:val="sr-Cyrl-CS"/>
        </w:rPr>
      </w:pPr>
      <w:r w:rsidRPr="0007074F">
        <w:rPr>
          <w:rFonts w:ascii="Calibri" w:eastAsia="Calibri" w:hAnsi="Calibri" w:cs="Calibri"/>
          <w:bCs/>
          <w:szCs w:val="72"/>
          <w:lang w:val="sr-Cyrl-CS"/>
        </w:rPr>
        <w:t>да учешће дуга деноминованог у еврима у јавном дугу износи најмање 65% дуга у ино-валути, укључујући будућа задуживања и трансакције;</w:t>
      </w:r>
    </w:p>
    <w:p w14:paraId="022FD081" w14:textId="77777777" w:rsidR="00181BDB" w:rsidRPr="0007074F" w:rsidRDefault="00181BDB" w:rsidP="00DB0157">
      <w:pPr>
        <w:numPr>
          <w:ilvl w:val="0"/>
          <w:numId w:val="4"/>
        </w:numPr>
        <w:ind w:left="142" w:hanging="142"/>
        <w:contextualSpacing/>
        <w:rPr>
          <w:rFonts w:ascii="Calibri" w:eastAsia="Calibri" w:hAnsi="Calibri" w:cs="Calibri"/>
          <w:bCs/>
          <w:szCs w:val="72"/>
          <w:lang w:val="sr-Cyrl-CS"/>
        </w:rPr>
      </w:pPr>
      <w:r w:rsidRPr="0007074F">
        <w:rPr>
          <w:rFonts w:ascii="Calibri" w:eastAsia="Calibri" w:hAnsi="Calibri" w:cs="Calibri"/>
          <w:bCs/>
          <w:szCs w:val="72"/>
          <w:lang w:val="sr-Cyrl-CS"/>
        </w:rPr>
        <w:t>да учешће дуга са варијабилном каматном стопом износи испод 15% у средњорочном интервалу;</w:t>
      </w:r>
    </w:p>
    <w:p w14:paraId="7F5E89F3" w14:textId="77777777" w:rsidR="00181BDB" w:rsidRPr="0007074F" w:rsidRDefault="00181BDB" w:rsidP="00DB0157">
      <w:pPr>
        <w:numPr>
          <w:ilvl w:val="0"/>
          <w:numId w:val="4"/>
        </w:numPr>
        <w:ind w:left="142" w:hanging="142"/>
        <w:contextualSpacing/>
        <w:rPr>
          <w:rFonts w:ascii="Calibri" w:eastAsia="Calibri" w:hAnsi="Calibri" w:cs="Calibri"/>
          <w:bCs/>
          <w:szCs w:val="72"/>
          <w:lang w:val="sr-Cyrl-CS"/>
        </w:rPr>
      </w:pPr>
      <w:r w:rsidRPr="0007074F">
        <w:rPr>
          <w:rFonts w:ascii="Calibri" w:eastAsia="Calibri" w:hAnsi="Calibri" w:cs="Calibri"/>
          <w:bCs/>
          <w:szCs w:val="72"/>
          <w:lang w:val="sr-Cyrl-CS"/>
        </w:rPr>
        <w:t>да просечно време до промене каматне стопе (АТR) буде одржавано на нивоу од минимум 5,0 година, у складу са горе наведеном мером постепеног смањивања учешћа дуга са варијабилним каматним стопама;</w:t>
      </w:r>
    </w:p>
    <w:p w14:paraId="68DF2C1C" w14:textId="77777777" w:rsidR="00181BDB" w:rsidRPr="0007074F" w:rsidRDefault="00181BDB" w:rsidP="00DB0157">
      <w:pPr>
        <w:numPr>
          <w:ilvl w:val="0"/>
          <w:numId w:val="4"/>
        </w:numPr>
        <w:ind w:left="142" w:hanging="142"/>
        <w:contextualSpacing/>
        <w:rPr>
          <w:rFonts w:ascii="Calibri" w:eastAsia="Calibri" w:hAnsi="Calibri" w:cs="Calibri"/>
          <w:bCs/>
          <w:szCs w:val="72"/>
          <w:lang w:val="sr-Cyrl-CS"/>
        </w:rPr>
      </w:pPr>
      <w:r w:rsidRPr="0007074F">
        <w:rPr>
          <w:rFonts w:ascii="Calibri" w:eastAsia="Calibri" w:hAnsi="Calibri" w:cs="Calibri"/>
          <w:bCs/>
          <w:szCs w:val="72"/>
          <w:lang w:val="sr-Cyrl-CS"/>
        </w:rPr>
        <w:t>да просечна пондерисана каматна стопа (WAIR) на јавни дуг у домаћој валути не прелази 6,00%;</w:t>
      </w:r>
    </w:p>
    <w:p w14:paraId="54AC1041" w14:textId="77777777" w:rsidR="00181BDB" w:rsidRPr="0007074F" w:rsidRDefault="00181BDB" w:rsidP="00DB0157">
      <w:pPr>
        <w:numPr>
          <w:ilvl w:val="0"/>
          <w:numId w:val="4"/>
        </w:numPr>
        <w:ind w:left="142" w:hanging="142"/>
        <w:contextualSpacing/>
        <w:rPr>
          <w:rFonts w:ascii="Calibri" w:eastAsia="Calibri" w:hAnsi="Calibri" w:cs="Calibri"/>
          <w:bCs/>
          <w:szCs w:val="72"/>
          <w:lang w:val="sr-Cyrl-CS"/>
        </w:rPr>
      </w:pPr>
      <w:r w:rsidRPr="0007074F">
        <w:rPr>
          <w:rFonts w:ascii="Calibri" w:eastAsia="Calibri" w:hAnsi="Calibri" w:cs="Calibri"/>
          <w:bCs/>
          <w:szCs w:val="72"/>
          <w:lang w:val="sr-Cyrl-CS"/>
        </w:rPr>
        <w:t>да учешће краткорочног дуга (чије је доспеће до годину дана) износи до 20% укупног јавног дуга;</w:t>
      </w:r>
    </w:p>
    <w:p w14:paraId="67F85E89" w14:textId="77777777" w:rsidR="00181BDB" w:rsidRPr="0007074F" w:rsidRDefault="00181BDB" w:rsidP="00DB0157">
      <w:pPr>
        <w:numPr>
          <w:ilvl w:val="0"/>
          <w:numId w:val="4"/>
        </w:numPr>
        <w:ind w:left="142" w:hanging="142"/>
        <w:contextualSpacing/>
        <w:rPr>
          <w:rFonts w:ascii="Calibri" w:eastAsia="Calibri" w:hAnsi="Calibri" w:cs="Calibri"/>
          <w:bCs/>
          <w:szCs w:val="72"/>
          <w:lang w:val="sr-Cyrl-CS"/>
        </w:rPr>
      </w:pPr>
      <w:r w:rsidRPr="0007074F">
        <w:rPr>
          <w:rFonts w:ascii="Calibri" w:eastAsia="Calibri" w:hAnsi="Calibri" w:cs="Calibri"/>
          <w:bCs/>
          <w:szCs w:val="72"/>
          <w:lang w:val="sr-Cyrl-CS"/>
        </w:rPr>
        <w:t>да просечно време до доспећа (АТМ) унутрашњег дуга буде на нивоу од најмање пет година на средњи рок;</w:t>
      </w:r>
    </w:p>
    <w:p w14:paraId="3E4F8E34" w14:textId="77777777" w:rsidR="00181BDB" w:rsidRPr="0007074F" w:rsidRDefault="00181BDB" w:rsidP="00523B7B">
      <w:pPr>
        <w:numPr>
          <w:ilvl w:val="0"/>
          <w:numId w:val="4"/>
        </w:numPr>
        <w:ind w:left="142" w:hanging="142"/>
        <w:rPr>
          <w:rFonts w:ascii="Calibri" w:eastAsia="Calibri" w:hAnsi="Calibri" w:cs="Calibri"/>
          <w:bCs/>
          <w:szCs w:val="72"/>
          <w:lang w:val="sr-Cyrl-CS"/>
        </w:rPr>
      </w:pPr>
      <w:r w:rsidRPr="0007074F">
        <w:rPr>
          <w:rFonts w:ascii="Calibri" w:eastAsia="Calibri" w:hAnsi="Calibri" w:cs="Calibri"/>
          <w:bCs/>
          <w:szCs w:val="72"/>
          <w:lang w:val="sr-Cyrl-CS"/>
        </w:rPr>
        <w:t>да се просечно време до доспећа (АТМ) спољног дуга одржава на нивоу од 8,0 ± 0,5 година у истом временском хоризонту.</w:t>
      </w:r>
    </w:p>
    <w:p w14:paraId="0D0F31F7" w14:textId="77777777" w:rsidR="00181BDB" w:rsidRPr="0007074F" w:rsidRDefault="00181BDB" w:rsidP="00523B7B">
      <w:pPr>
        <w:numPr>
          <w:ilvl w:val="0"/>
          <w:numId w:val="4"/>
        </w:numPr>
        <w:ind w:left="142" w:hanging="142"/>
        <w:rPr>
          <w:rFonts w:ascii="Calibri" w:eastAsia="Calibri" w:hAnsi="Calibri" w:cs="Calibri"/>
          <w:bCs/>
          <w:szCs w:val="72"/>
          <w:lang w:val="sr-Cyrl-CS"/>
        </w:rPr>
        <w:sectPr w:rsidR="00181BDB" w:rsidRPr="0007074F" w:rsidSect="00C91F83">
          <w:type w:val="continuous"/>
          <w:pgSz w:w="12240" w:h="15840" w:code="1"/>
          <w:pgMar w:top="1418" w:right="1418" w:bottom="1418" w:left="1418" w:header="720" w:footer="720" w:gutter="0"/>
          <w:cols w:num="2" w:space="720"/>
          <w:docGrid w:linePitch="272"/>
        </w:sectPr>
      </w:pPr>
    </w:p>
    <w:p w14:paraId="1AFC98BD" w14:textId="77777777" w:rsidR="00181BDB" w:rsidRPr="0007074F" w:rsidRDefault="00181BDB" w:rsidP="00523B7B">
      <w:pPr>
        <w:rPr>
          <w:rFonts w:ascii="Calibri" w:eastAsia="Calibri" w:hAnsi="Calibri" w:cs="Calibri"/>
          <w:bCs/>
          <w:szCs w:val="72"/>
          <w:lang w:val="sr-Cyrl-CS"/>
        </w:rPr>
      </w:pPr>
    </w:p>
    <w:p w14:paraId="677C537D" w14:textId="77777777" w:rsidR="00181BDB" w:rsidRPr="0007074F" w:rsidRDefault="00181BDB">
      <w:pPr>
        <w:jc w:val="left"/>
        <w:rPr>
          <w:rFonts w:ascii="Calibri" w:eastAsia="Calibri" w:hAnsi="Calibri" w:cs="Times New Roman"/>
          <w:b/>
          <w:color w:val="002060"/>
          <w:spacing w:val="-2"/>
          <w:lang w:val="sr-Cyrl-CS"/>
        </w:rPr>
      </w:pPr>
      <w:r w:rsidRPr="0007074F">
        <w:rPr>
          <w:rFonts w:ascii="Calibri" w:eastAsia="Calibri" w:hAnsi="Calibri" w:cs="Times New Roman"/>
          <w:b/>
          <w:color w:val="002060"/>
          <w:spacing w:val="-2"/>
          <w:lang w:val="sr-Cyrl-CS"/>
        </w:rPr>
        <w:br w:type="page"/>
      </w:r>
    </w:p>
    <w:p w14:paraId="279BD188" w14:textId="77777777" w:rsidR="00181BDB" w:rsidRPr="0007074F" w:rsidRDefault="00181BDB" w:rsidP="00523B7B">
      <w:pPr>
        <w:spacing w:after="240" w:line="256" w:lineRule="auto"/>
        <w:jc w:val="center"/>
        <w:rPr>
          <w:rFonts w:ascii="Calibri" w:eastAsia="Calibri" w:hAnsi="Calibri" w:cs="Times New Roman"/>
          <w:b/>
          <w:color w:val="002060"/>
          <w:spacing w:val="-2"/>
          <w:lang w:val="sr-Cyrl-CS"/>
        </w:rPr>
      </w:pPr>
      <w:r w:rsidRPr="0007074F">
        <w:rPr>
          <w:rFonts w:ascii="Calibri" w:eastAsia="Calibri" w:hAnsi="Calibri" w:cs="Times New Roman"/>
          <w:b/>
          <w:color w:val="002060"/>
          <w:spacing w:val="-2"/>
          <w:lang w:val="sr-Cyrl-CS"/>
        </w:rPr>
        <w:lastRenderedPageBreak/>
        <w:t xml:space="preserve">Кретање приноса до доспећа динарских </w:t>
      </w:r>
      <w:r w:rsidRPr="0007074F">
        <w:rPr>
          <w:rFonts w:ascii="Calibri" w:eastAsia="Calibri" w:hAnsi="Calibri" w:cs="Calibri"/>
          <w:b/>
          <w:bCs/>
          <w:color w:val="002060"/>
          <w:spacing w:val="-2"/>
          <w:szCs w:val="72"/>
          <w:lang w:val="sr-Cyrl-CS"/>
        </w:rPr>
        <w:t>„</w:t>
      </w:r>
      <w:r w:rsidRPr="0007074F">
        <w:rPr>
          <w:rFonts w:ascii="Calibri" w:eastAsia="Calibri" w:hAnsi="Calibri" w:cs="Times New Roman"/>
          <w:b/>
          <w:color w:val="002060"/>
          <w:spacing w:val="-2"/>
          <w:lang w:val="sr-Cyrl-CS"/>
        </w:rPr>
        <w:t>бенчмарк” емисија укључених у GBI-EM Global Diversified Index на секундарном трговању</w:t>
      </w:r>
    </w:p>
    <w:p w14:paraId="1FC21032" w14:textId="77777777" w:rsidR="00181BDB" w:rsidRPr="0007074F" w:rsidRDefault="00181BDB" w:rsidP="00523B7B">
      <w:pPr>
        <w:spacing w:after="240" w:line="256" w:lineRule="auto"/>
        <w:jc w:val="center"/>
        <w:rPr>
          <w:rFonts w:ascii="Calibri" w:eastAsia="Calibri" w:hAnsi="Calibri" w:cs="Times New Roman"/>
          <w:b/>
          <w:lang w:val="sr-Cyrl-CS"/>
        </w:rPr>
      </w:pPr>
      <w:r w:rsidRPr="0007074F">
        <w:rPr>
          <w:rFonts w:ascii="Calibri" w:eastAsia="Calibri" w:hAnsi="Calibri" w:cs="Times New Roman"/>
          <w:b/>
          <w:noProof/>
        </w:rPr>
        <w:drawing>
          <wp:inline distT="0" distB="0" distL="0" distR="0" wp14:anchorId="56279518" wp14:editId="478F96B4">
            <wp:extent cx="2764155" cy="2326943"/>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2809821" cy="2365386"/>
                    </a:xfrm>
                    <a:prstGeom prst="rect">
                      <a:avLst/>
                    </a:prstGeom>
                    <a:noFill/>
                  </pic:spPr>
                </pic:pic>
              </a:graphicData>
            </a:graphic>
          </wp:inline>
        </w:drawing>
      </w:r>
    </w:p>
    <w:p w14:paraId="72F41412" w14:textId="12FB9B4A" w:rsidR="00181BDB" w:rsidRPr="0007074F" w:rsidRDefault="00181BDB" w:rsidP="00523B7B">
      <w:pPr>
        <w:spacing w:after="40" w:line="256" w:lineRule="auto"/>
        <w:jc w:val="center"/>
        <w:rPr>
          <w:rFonts w:ascii="Calibri" w:eastAsia="Calibri" w:hAnsi="Calibri" w:cs="Times New Roman"/>
          <w:b/>
          <w:color w:val="002060"/>
          <w:spacing w:val="-2"/>
          <w:lang w:val="sr-Cyrl-CS"/>
        </w:rPr>
      </w:pPr>
      <w:r w:rsidRPr="0007074F">
        <w:rPr>
          <w:rFonts w:ascii="Calibri" w:eastAsia="Calibri" w:hAnsi="Calibri" w:cs="Times New Roman"/>
          <w:b/>
          <w:bCs/>
          <w:color w:val="002060"/>
          <w:lang w:val="sr-Cyrl-CS"/>
        </w:rPr>
        <w:t xml:space="preserve">Просечно време до доспећа (АТМ) државних хартија од вредности емитованих на домаћем финансијском тржишту у периоду </w:t>
      </w:r>
      <w:r w:rsidRPr="0007074F">
        <w:rPr>
          <w:rFonts w:ascii="Calibri" w:eastAsia="Calibri" w:hAnsi="Calibri" w:cs="Times New Roman"/>
          <w:b/>
          <w:bCs/>
          <w:color w:val="002060"/>
          <w:lang w:val="sr-Cyrl-CS"/>
        </w:rPr>
        <w:br w:type="textWrapping" w:clear="all"/>
        <w:t>1. јануар 2017.–</w:t>
      </w:r>
      <w:r w:rsidRPr="0007074F">
        <w:rPr>
          <w:rFonts w:ascii="Calibri" w:eastAsia="Calibri" w:hAnsi="Calibri" w:cs="Times New Roman"/>
          <w:b/>
          <w:color w:val="002060"/>
          <w:spacing w:val="-2"/>
          <w:lang w:val="sr-Cyrl-CS"/>
        </w:rPr>
        <w:t>31. март 2023. године</w:t>
      </w:r>
    </w:p>
    <w:p w14:paraId="18B2E270" w14:textId="77777777" w:rsidR="00181BDB" w:rsidRPr="0007074F" w:rsidRDefault="00181BDB" w:rsidP="00523B7B">
      <w:pPr>
        <w:spacing w:after="40" w:line="256" w:lineRule="auto"/>
        <w:rPr>
          <w:rFonts w:ascii="Calibri" w:eastAsia="Calibri" w:hAnsi="Calibri" w:cs="Times New Roman"/>
          <w:b/>
          <w:color w:val="002060"/>
          <w:spacing w:val="-2"/>
          <w:lang w:val="sr-Cyrl-CS"/>
        </w:rPr>
      </w:pPr>
    </w:p>
    <w:p w14:paraId="21A5ABBF" w14:textId="77777777" w:rsidR="00181BDB" w:rsidRPr="0007074F" w:rsidRDefault="00181BDB" w:rsidP="00523B7B">
      <w:pPr>
        <w:rPr>
          <w:lang w:val="sr-Cyrl-CS"/>
        </w:rPr>
      </w:pPr>
      <w:r w:rsidRPr="0007074F">
        <w:rPr>
          <w:noProof/>
        </w:rPr>
        <w:drawing>
          <wp:inline distT="0" distB="0" distL="0" distR="0" wp14:anchorId="6A956130" wp14:editId="7FBE5A8E">
            <wp:extent cx="2767140" cy="2594344"/>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7"/>
                    <a:srcRect l="40967" t="35950" r="41659" b="35093"/>
                    <a:stretch/>
                  </pic:blipFill>
                  <pic:spPr bwMode="auto">
                    <a:xfrm>
                      <a:off x="0" y="0"/>
                      <a:ext cx="2800493" cy="2625615"/>
                    </a:xfrm>
                    <a:prstGeom prst="rect">
                      <a:avLst/>
                    </a:prstGeom>
                    <a:ln>
                      <a:noFill/>
                    </a:ln>
                    <a:extLst>
                      <a:ext uri="{53640926-AAD7-44D8-BBD7-CCE9431645EC}">
                        <a14:shadowObscured xmlns:a14="http://schemas.microsoft.com/office/drawing/2010/main"/>
                      </a:ext>
                    </a:extLst>
                  </pic:spPr>
                </pic:pic>
              </a:graphicData>
            </a:graphic>
          </wp:inline>
        </w:drawing>
      </w:r>
    </w:p>
    <w:p w14:paraId="6BBA75AE" w14:textId="77777777" w:rsidR="00181BDB" w:rsidRPr="0007074F" w:rsidRDefault="00181BDB" w:rsidP="00523B7B">
      <w:pPr>
        <w:spacing w:line="256" w:lineRule="auto"/>
        <w:rPr>
          <w:rFonts w:ascii="Calibri" w:eastAsia="Calibri" w:hAnsi="Calibri" w:cs="Times New Roman"/>
          <w:b/>
          <w:color w:val="2F5496" w:themeColor="accent1" w:themeShade="BF"/>
          <w:sz w:val="22"/>
          <w:lang w:val="sr-Cyrl-CS"/>
        </w:rPr>
      </w:pPr>
      <w:r w:rsidRPr="0007074F">
        <w:rPr>
          <w:rFonts w:ascii="Calibri" w:eastAsia="Calibri" w:hAnsi="Calibri" w:cs="Times New Roman"/>
          <w:b/>
          <w:color w:val="2F5496" w:themeColor="accent1" w:themeShade="BF"/>
          <w:sz w:val="22"/>
          <w:lang w:val="sr-Cyrl-CS"/>
        </w:rPr>
        <w:t>Мере за унапређење тржишта динарских хартија од вредности у периоду 2023–2026. године</w:t>
      </w:r>
    </w:p>
    <w:p w14:paraId="6B41965C"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 xml:space="preserve">Тржиште државних хартија од вредности, у периоду од 2012. године до септембра 2022. године, карактерише испуњавање зацртаних стратешких циљева, првенствено у погледу инструмената финансирања, као и у развоју и </w:t>
      </w:r>
      <w:r w:rsidRPr="0007074F">
        <w:rPr>
          <w:rFonts w:ascii="Calibri" w:eastAsia="Calibri" w:hAnsi="Calibri" w:cs="Calibri"/>
          <w:bCs/>
          <w:szCs w:val="72"/>
          <w:lang w:val="sr-Cyrl-CS"/>
        </w:rPr>
        <w:t>одржавању стабилности диверсификоване базе инвеститора. Преласком са краткорочних извора финансирања који се везују за период до 2010. године, на средњорочне и дугорочне инструменте финансирања, уз константно смањење трошкова задуживања, утиче се на смањење ризика рефинансирања, као једног од примарних ризика у процесу управљања јавним дугом. На крају 2013. године учешће дугорочних динарских инструмената по оригиналној рочности од три и више година износило је 38,3% у стању динарских хартија од вредности, док је на крају марта 2023. године износило 96,3%.</w:t>
      </w:r>
    </w:p>
    <w:p w14:paraId="4E3234E4"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Транспарентност у раду и извештавању, као и присутност на међународном тржишту капитала, утичу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Услед успешне реализације „бенчмарк</w:t>
      </w:r>
      <w:r w:rsidRPr="0007074F">
        <w:rPr>
          <w:rFonts w:eastAsia="MS PGothic" w:cstheme="minorHAnsi"/>
          <w:szCs w:val="20"/>
          <w:lang w:val="sr-Cyrl-CS" w:eastAsia="ja-JP"/>
        </w:rPr>
        <w:t>”</w:t>
      </w:r>
      <w:r w:rsidRPr="0007074F">
        <w:rPr>
          <w:rFonts w:ascii="Calibri" w:eastAsia="Calibri" w:hAnsi="Calibri" w:cs="Calibri"/>
          <w:bCs/>
          <w:szCs w:val="72"/>
          <w:lang w:val="sr-Cyrl-CS"/>
        </w:rPr>
        <w:t xml:space="preserve"> емисија током 2014. и 2015. године, са истом праксом је настављено током 2016. године. У фебруару и јулу 2016. године емитоване су „бенчмарк</w:t>
      </w:r>
      <w:r w:rsidRPr="0007074F">
        <w:rPr>
          <w:rFonts w:eastAsia="MS PGothic" w:cstheme="minorHAnsi"/>
          <w:szCs w:val="20"/>
          <w:lang w:val="sr-Cyrl-CS" w:eastAsia="ja-JP"/>
        </w:rPr>
        <w:t>”</w:t>
      </w:r>
      <w:r w:rsidRPr="0007074F">
        <w:rPr>
          <w:rFonts w:ascii="Calibri" w:eastAsia="Calibri" w:hAnsi="Calibri" w:cs="Calibri"/>
          <w:bCs/>
          <w:szCs w:val="72"/>
          <w:lang w:val="sr-Cyrl-CS"/>
        </w:rPr>
        <w:t xml:space="preserve"> трогодишња и седмогодишња обвезница обима емисије по 110,0 млрд динара. У априлу 2017. године емитована је трогодишња „бенчмарк</w:t>
      </w:r>
      <w:r w:rsidRPr="0007074F">
        <w:rPr>
          <w:rFonts w:eastAsia="MS PGothic" w:cstheme="minorHAnsi"/>
          <w:szCs w:val="20"/>
          <w:lang w:val="sr-Cyrl-CS" w:eastAsia="ja-JP"/>
        </w:rPr>
        <w:t>”</w:t>
      </w:r>
      <w:r w:rsidRPr="0007074F">
        <w:rPr>
          <w:rFonts w:ascii="Calibri" w:eastAsia="Calibri" w:hAnsi="Calibri" w:cs="Calibri"/>
          <w:bCs/>
          <w:szCs w:val="72"/>
          <w:lang w:val="sr-Cyrl-CS"/>
        </w:rPr>
        <w:t xml:space="preserve"> обвезница обима емисије у износу од 110,0 млрд динара. У јануару и фебруару 2018. године емитоване су „бенчмарк</w:t>
      </w:r>
      <w:r w:rsidRPr="0007074F">
        <w:rPr>
          <w:rFonts w:eastAsia="MS PGothic" w:cstheme="minorHAnsi"/>
          <w:szCs w:val="20"/>
          <w:lang w:val="sr-Cyrl-CS" w:eastAsia="ja-JP"/>
        </w:rPr>
        <w:t>”</w:t>
      </w:r>
      <w:r w:rsidRPr="0007074F">
        <w:rPr>
          <w:rFonts w:ascii="Calibri" w:eastAsia="Calibri" w:hAnsi="Calibri" w:cs="Calibri"/>
          <w:bCs/>
          <w:szCs w:val="72"/>
          <w:lang w:val="sr-Cyrl-CS"/>
        </w:rPr>
        <w:t xml:space="preserve"> петогодишња и десетогодишња обвезница обима емисије по 110,0 млрд динара. У јануару 2019. године емитоване су „бенчмарк</w:t>
      </w:r>
      <w:r w:rsidRPr="0007074F">
        <w:rPr>
          <w:rFonts w:eastAsia="MS PGothic" w:cstheme="minorHAnsi"/>
          <w:szCs w:val="20"/>
          <w:lang w:val="sr-Cyrl-CS" w:eastAsia="ja-JP"/>
        </w:rPr>
        <w:t>”</w:t>
      </w:r>
      <w:r w:rsidRPr="0007074F">
        <w:rPr>
          <w:rFonts w:ascii="Calibri" w:eastAsia="Calibri" w:hAnsi="Calibri" w:cs="Calibri"/>
          <w:bCs/>
          <w:szCs w:val="72"/>
          <w:lang w:val="sr-Cyrl-CS"/>
        </w:rPr>
        <w:t xml:space="preserve"> трогодишња и седмогодишња обвезница обима емисије 100,0 и 150,0 млрд динара. </w:t>
      </w:r>
      <w:r w:rsidRPr="0007074F">
        <w:rPr>
          <w:rFonts w:ascii="Calibri" w:eastAsia="Calibri" w:hAnsi="Calibri" w:cs="Calibri"/>
          <w:bCs/>
          <w:spacing w:val="-2"/>
          <w:szCs w:val="72"/>
          <w:lang w:val="sr-Cyrl-CS"/>
        </w:rPr>
        <w:t xml:space="preserve">У јануару и фебруару 2020. године по први пут су емитоване петоипогодишње и дванаестоипогодишње обвезнице са полугодишњим купоном. Изменама Уредбе о општим условима за емисију и продају државних хартија од вредности на примарном тржишту („Службени гласник РС”, бр. 100/14, 78/17, 66/18, 78/18 и 140/20), омогућено је повећање обима раније емитованих обвезница, па је код петоипогодишње и дванаестоипогодишње обвезнице, 2021. године повећан обим емисије за по 50 милијарди динара. Такође, повећање обима емисије, у износу од 10 милијарди динара, </w:t>
      </w:r>
      <w:r w:rsidRPr="0007074F">
        <w:rPr>
          <w:rFonts w:ascii="Calibri" w:eastAsia="Calibri" w:hAnsi="Calibri" w:cs="Calibri"/>
          <w:bCs/>
          <w:spacing w:val="-2"/>
          <w:szCs w:val="72"/>
          <w:lang w:val="sr-Cyrl-CS"/>
        </w:rPr>
        <w:lastRenderedPageBreak/>
        <w:t>извршено је и код десетогодишње обвезнице првобитно емитоване 6. фебруара 2018. године.</w:t>
      </w:r>
    </w:p>
    <w:p w14:paraId="7723F733"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Овим емисијама знатно је повећан обим секундарног трговања овим инструментима, што је допринело и паду извршних стопа приноса на реотварањима поменутих емисија. Учешће страних инвеститора у динарским хартијама од вредности, на крају марта 2023. године износило је 15,4%.</w:t>
      </w:r>
    </w:p>
    <w:p w14:paraId="39CF60B4"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 xml:space="preserve">30. јуна 2021. године три динарске бенчмарк обвезнице укључене су у J.P. Morgan индекс државних обвезница земаља у развоју (GBI-EM </w:t>
      </w:r>
      <w:r w:rsidRPr="0007074F">
        <w:rPr>
          <w:rFonts w:ascii="Calibri" w:eastAsia="Calibri" w:hAnsi="Calibri" w:cs="Calibri"/>
          <w:bCs/>
          <w:i/>
          <w:szCs w:val="72"/>
          <w:lang w:val="sr-Cyrl-CS"/>
        </w:rPr>
        <w:t>Global Diversified Index</w:t>
      </w:r>
      <w:r w:rsidRPr="0007074F">
        <w:rPr>
          <w:rFonts w:ascii="Calibri" w:eastAsia="Calibri" w:hAnsi="Calibri" w:cs="Calibri"/>
          <w:bCs/>
          <w:szCs w:val="72"/>
          <w:lang w:val="sr-Cyrl-CS"/>
        </w:rPr>
        <w:t>), са датумом доспећа 11. јануар 2026. године (RSMFRSD89592), 8. фебруар 2028. године (RSMFRSD55940) и 20. август 2032. године (RSMFRSD86176).</w:t>
      </w:r>
    </w:p>
    <w:p w14:paraId="63BDB8EC"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У 2022. години од динарских хартија емитоване су једногодишње и двогодишње динарске обвезнице, док је десетогодишњим динарским обвезницама повећан обим емисије за 25 млрд динара. Од евро деноминованих хартија емитоване су: двогодишње, двоипогодишње (са полугодишњим купонoм) и двадесетпетогодишње обвезнице.</w:t>
      </w:r>
    </w:p>
    <w:p w14:paraId="006C2648"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У периоду за који се доноси ова Стратегија очекује се унапређење ефикасности примарног тржишта путем приступа Euroclear платформи и 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пружиће добру основу за унапређење тржишне ефикасности секундарног тржишта државних хартија од вредности. Развојем секундарног тржишта, временом ће се успоставити концепт тржишне ефикасности у процесу вредновања државних хартија од вредности. Увођењем „бенчмарк</w:t>
      </w:r>
      <w:r w:rsidRPr="0007074F">
        <w:rPr>
          <w:rFonts w:eastAsia="MS PGothic" w:cstheme="minorHAnsi"/>
          <w:szCs w:val="20"/>
          <w:lang w:val="sr-Cyrl-CS" w:eastAsia="ja-JP"/>
        </w:rPr>
        <w:t>”</w:t>
      </w:r>
      <w:r w:rsidRPr="0007074F">
        <w:rPr>
          <w:rFonts w:ascii="Calibri" w:eastAsia="Calibri" w:hAnsi="Calibri" w:cs="Calibri"/>
          <w:bCs/>
          <w:szCs w:val="72"/>
          <w:lang w:val="sr-Cyrl-CS"/>
        </w:rPr>
        <w:t xml:space="preserve"> емисија обвезница остварен је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14:paraId="500544E3"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фактора потребно је издвојити макроекономска кретања и очекивања, као и промене на међународном финансијском тржишту, које се рефлектују на премију ризика земље.</w:t>
      </w:r>
    </w:p>
    <w:p w14:paraId="7530A329"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 xml:space="preserve">На крају 2012. године просечна рочност динарских хартија од вредности износила је 394 дана (1,1 годину), на крају 2013. године 469 дана (1,3 године), на крају 2014. године 645 дана (1,8 годину), на крају 2015. године 749 дана (2,1 годину), на крају 2016. године 789 дана (2,2 године), на крају 2017. године 864 дана (2,4 године), на крају 2018. године 1.188 дана (3,3 године), на крају 2019. године 1.403 дана (3,8 година), на крају 2020. године 1.429 дана (3,9 година), на крају 2021. године 1.377 дана (3,8 године), на крају 2022. године 1.220 дана (3,3 године), а на крају марта 2023. године </w:t>
      </w:r>
      <w:r w:rsidRPr="0007074F">
        <w:rPr>
          <w:lang w:val="sr-Cyrl-CS"/>
        </w:rPr>
        <w:t>1.360 дана (3,7 година)</w:t>
      </w:r>
      <w:r w:rsidRPr="0007074F">
        <w:rPr>
          <w:rFonts w:ascii="Calibri" w:eastAsia="Calibri" w:hAnsi="Calibri" w:cs="Calibri"/>
          <w:bCs/>
          <w:szCs w:val="72"/>
          <w:lang w:val="sr-Cyrl-CS"/>
        </w:rPr>
        <w:t>.</w:t>
      </w:r>
    </w:p>
    <w:p w14:paraId="65F05A5F" w14:textId="77777777" w:rsidR="00181BDB" w:rsidRPr="0007074F" w:rsidRDefault="00181BDB" w:rsidP="00523B7B">
      <w:pPr>
        <w:rPr>
          <w:rFonts w:ascii="Calibri" w:eastAsia="Calibri" w:hAnsi="Calibri" w:cs="Calibri"/>
          <w:bCs/>
          <w:szCs w:val="72"/>
          <w:lang w:val="sr-Cyrl-CS"/>
        </w:rPr>
      </w:pPr>
      <w:r w:rsidRPr="0007074F">
        <w:rPr>
          <w:rFonts w:ascii="Calibri" w:eastAsia="Calibri" w:hAnsi="Calibri" w:cs="Calibri"/>
          <w:bCs/>
          <w:szCs w:val="72"/>
          <w:lang w:val="sr-Cyrl-CS"/>
        </w:rPr>
        <w:t>Развој домаћег тржишта државних хартија од вредности од стране Републике Србије потпомогнут је следећим мерама:</w:t>
      </w:r>
    </w:p>
    <w:p w14:paraId="50C7DFBA" w14:textId="77777777" w:rsidR="00181BDB" w:rsidRPr="0007074F" w:rsidRDefault="00181BDB" w:rsidP="00523B7B">
      <w:pPr>
        <w:numPr>
          <w:ilvl w:val="0"/>
          <w:numId w:val="13"/>
        </w:numPr>
        <w:ind w:left="0" w:hanging="142"/>
        <w:rPr>
          <w:rFonts w:ascii="Calibri" w:eastAsia="Calibri" w:hAnsi="Calibri" w:cs="Calibri"/>
          <w:bCs/>
          <w:szCs w:val="72"/>
          <w:lang w:val="sr-Cyrl-CS"/>
        </w:rPr>
      </w:pPr>
      <w:r w:rsidRPr="0007074F">
        <w:rPr>
          <w:rFonts w:ascii="Calibri" w:eastAsia="Calibri" w:hAnsi="Calibri" w:cs="Calibri"/>
          <w:bCs/>
          <w:szCs w:val="72"/>
          <w:lang w:val="sr-Cyrl-CS"/>
        </w:rPr>
        <w:t xml:space="preserve">Обвезнице Републике Србије укључене су у </w:t>
      </w:r>
      <w:r w:rsidRPr="0007074F">
        <w:rPr>
          <w:rFonts w:ascii="Calibri" w:eastAsia="Calibri" w:hAnsi="Calibri" w:cs="Calibri"/>
          <w:bCs/>
          <w:iCs/>
          <w:szCs w:val="72"/>
          <w:lang w:val="sr-Cyrl-CS"/>
        </w:rPr>
        <w:t>Ј.P. Morgan</w:t>
      </w:r>
      <w:r w:rsidRPr="0007074F">
        <w:rPr>
          <w:rFonts w:ascii="Calibri" w:eastAsia="Calibri" w:hAnsi="Calibri" w:cs="Calibri"/>
          <w:bCs/>
          <w:szCs w:val="72"/>
          <w:lang w:val="sr-Cyrl-CS"/>
        </w:rPr>
        <w:t xml:space="preserve"> глобални индекс</w:t>
      </w:r>
      <w:r w:rsidRPr="0007074F">
        <w:rPr>
          <w:lang w:val="sr-Cyrl-CS"/>
        </w:rPr>
        <w:t xml:space="preserve"> </w:t>
      </w:r>
      <w:r w:rsidRPr="0007074F">
        <w:rPr>
          <w:rFonts w:ascii="Calibri" w:eastAsia="Calibri" w:hAnsi="Calibri" w:cs="Calibri"/>
          <w:bCs/>
          <w:szCs w:val="72"/>
          <w:lang w:val="sr-Cyrl-CS"/>
        </w:rPr>
        <w:t>државних обвезница у локалним валутама земаља у развоју (</w:t>
      </w:r>
      <w:r w:rsidRPr="0007074F">
        <w:rPr>
          <w:rFonts w:ascii="Calibri" w:eastAsia="Calibri" w:hAnsi="Calibri" w:cs="Calibri"/>
          <w:bCs/>
          <w:i/>
          <w:szCs w:val="72"/>
          <w:lang w:val="sr-Cyrl-CS"/>
        </w:rPr>
        <w:t>GBI-EM</w:t>
      </w:r>
      <w:r w:rsidRPr="0007074F">
        <w:rPr>
          <w:rFonts w:ascii="Calibri" w:eastAsia="Calibri" w:hAnsi="Calibri" w:cs="Calibri"/>
          <w:bCs/>
          <w:szCs w:val="72"/>
          <w:lang w:val="sr-Cyrl-CS"/>
        </w:rPr>
        <w:t xml:space="preserve"> </w:t>
      </w:r>
      <w:r w:rsidRPr="0007074F">
        <w:rPr>
          <w:rFonts w:ascii="Calibri" w:eastAsia="Calibri" w:hAnsi="Calibri" w:cs="Calibri"/>
          <w:bCs/>
          <w:i/>
          <w:iCs/>
          <w:szCs w:val="72"/>
          <w:lang w:val="sr-Cyrl-CS"/>
        </w:rPr>
        <w:t>Global Diversified Index</w:t>
      </w:r>
      <w:r w:rsidRPr="0007074F">
        <w:rPr>
          <w:rFonts w:ascii="Calibri" w:eastAsia="Calibri" w:hAnsi="Calibri" w:cs="Calibri"/>
          <w:bCs/>
          <w:szCs w:val="72"/>
          <w:lang w:val="sr-Cyrl-CS"/>
        </w:rPr>
        <w:t>) што би требало значајно да повећа базу инвеститора и додатно поспеши секундарно трговање, што ће даље допринети смањењу трошкова задуживања путем емисија динарских државних хартија од вредности;</w:t>
      </w:r>
    </w:p>
    <w:p w14:paraId="1EDECE05" w14:textId="77777777" w:rsidR="00181BDB" w:rsidRPr="0007074F" w:rsidRDefault="00181BDB" w:rsidP="00523B7B">
      <w:pPr>
        <w:numPr>
          <w:ilvl w:val="0"/>
          <w:numId w:val="13"/>
        </w:numPr>
        <w:ind w:left="0" w:hanging="142"/>
        <w:rPr>
          <w:rFonts w:ascii="Calibri" w:eastAsia="Calibri" w:hAnsi="Calibri" w:cs="Calibri"/>
          <w:bCs/>
          <w:szCs w:val="72"/>
          <w:lang w:val="sr-Cyrl-CS"/>
        </w:rPr>
      </w:pPr>
      <w:r w:rsidRPr="0007074F">
        <w:rPr>
          <w:rFonts w:ascii="Calibri" w:eastAsia="Calibri" w:hAnsi="Calibri" w:cs="Calibri"/>
          <w:bCs/>
          <w:szCs w:val="72"/>
          <w:lang w:val="sr-Cyrl-CS"/>
        </w:rPr>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евентуалних препрека за слободан проток капитала;</w:t>
      </w:r>
    </w:p>
    <w:p w14:paraId="64925B6C" w14:textId="77777777" w:rsidR="00181BDB" w:rsidRPr="0007074F" w:rsidRDefault="00181BDB" w:rsidP="00523B7B">
      <w:pPr>
        <w:numPr>
          <w:ilvl w:val="0"/>
          <w:numId w:val="13"/>
        </w:numPr>
        <w:ind w:left="0" w:hanging="142"/>
        <w:rPr>
          <w:rFonts w:ascii="Calibri" w:eastAsia="Calibri" w:hAnsi="Calibri" w:cs="Calibri"/>
          <w:bCs/>
          <w:szCs w:val="72"/>
          <w:lang w:val="sr-Cyrl-CS"/>
        </w:rPr>
      </w:pPr>
      <w:r w:rsidRPr="0007074F">
        <w:rPr>
          <w:rFonts w:ascii="Calibri" w:eastAsia="Calibri" w:hAnsi="Calibri" w:cs="Calibri"/>
          <w:bCs/>
          <w:szCs w:val="72"/>
          <w:lang w:val="sr-Cyrl-CS"/>
        </w:rPr>
        <w:t xml:space="preserve">Предузете су активности на омогућавању салдирања државних хартија од вредности на иностраном тржишту. Изменама и допунама Закона о јавном дугу из децембра 2019. године, омогућено је да клиринг и салдирање државних </w:t>
      </w:r>
      <w:r w:rsidRPr="0007074F">
        <w:rPr>
          <w:rFonts w:ascii="Calibri" w:eastAsia="Calibri" w:hAnsi="Calibri" w:cs="Calibri"/>
          <w:bCs/>
          <w:szCs w:val="72"/>
          <w:lang w:val="sr-Cyrl-CS"/>
        </w:rPr>
        <w:lastRenderedPageBreak/>
        <w:t>хартија од вредности емитованих на домаћем тржишту, поред Централног регистра врши и друго страно правно лице које обавља послове клиринга и салдирања.</w:t>
      </w:r>
    </w:p>
    <w:p w14:paraId="5DCA349F" w14:textId="77777777" w:rsidR="00181BDB" w:rsidRPr="0007074F" w:rsidRDefault="00181BDB" w:rsidP="00523B7B">
      <w:pPr>
        <w:numPr>
          <w:ilvl w:val="0"/>
          <w:numId w:val="13"/>
        </w:numPr>
        <w:ind w:left="0" w:hanging="142"/>
        <w:rPr>
          <w:rFonts w:ascii="Calibri" w:eastAsia="Calibri" w:hAnsi="Calibri" w:cs="Calibri"/>
          <w:bCs/>
          <w:szCs w:val="72"/>
          <w:lang w:val="sr-Cyrl-CS"/>
        </w:rPr>
      </w:pPr>
      <w:r w:rsidRPr="0007074F">
        <w:rPr>
          <w:rFonts w:ascii="Calibri" w:eastAsia="Calibri" w:hAnsi="Calibri" w:cs="Calibri"/>
          <w:bCs/>
          <w:szCs w:val="72"/>
          <w:lang w:val="sr-Cyrl-CS"/>
        </w:rPr>
        <w:t xml:space="preserve">Током 2022. године активно се радило на усаглашавању законске регулативе и ИТ инфраструктуре за успостављање међународног линка (i-Link) између Централног регистра, депоа и клиринга хартија од вредности и Euroclear банке, што је настављено и у 2023. години како би се отпочело салдирање државних бенчмарк </w:t>
      </w:r>
      <w:r w:rsidRPr="0007074F">
        <w:rPr>
          <w:rFonts w:ascii="Calibri" w:eastAsia="Calibri" w:hAnsi="Calibri" w:cs="Calibri"/>
          <w:bCs/>
          <w:szCs w:val="72"/>
          <w:lang w:val="sr-Cyrl-CS"/>
        </w:rPr>
        <w:t>обвезница преко Euroclear провајдера пост трговинских трансакција. Основне предности приступања Euroclear систему су ширење базе инвеститора кроз лакшу доступност домаћих хартија од вредности страним инвеститорима, што даље смањује трошкове у редукованом ланцу учесника куповине хартија од вредности, а тиме и пад приноса на хартије и ниже трошкове задуживања емитента. Такође, повећава се ликвидност секундарног тржишта ширењем базе инвеститора.</w:t>
      </w:r>
    </w:p>
    <w:p w14:paraId="3151914D" w14:textId="77777777" w:rsidR="00181BDB" w:rsidRPr="0007074F" w:rsidRDefault="00181BDB" w:rsidP="00523B7B">
      <w:pPr>
        <w:rPr>
          <w:rFonts w:ascii="Calibri" w:eastAsia="Calibri" w:hAnsi="Calibri" w:cs="Calibri"/>
          <w:bCs/>
          <w:szCs w:val="72"/>
          <w:lang w:val="sr-Cyrl-CS"/>
        </w:rPr>
        <w:sectPr w:rsidR="00181BDB" w:rsidRPr="0007074F" w:rsidSect="00C91F83">
          <w:type w:val="continuous"/>
          <w:pgSz w:w="12240" w:h="15840" w:code="1"/>
          <w:pgMar w:top="1418" w:right="1418" w:bottom="1418" w:left="1418" w:header="720" w:footer="720" w:gutter="0"/>
          <w:cols w:num="2" w:space="720"/>
          <w:docGrid w:linePitch="272"/>
        </w:sectPr>
      </w:pPr>
    </w:p>
    <w:p w14:paraId="21401323" w14:textId="77777777" w:rsidR="00181BDB" w:rsidRPr="0007074F" w:rsidRDefault="00181BDB" w:rsidP="00E4657F">
      <w:pPr>
        <w:spacing w:after="60"/>
        <w:rPr>
          <w:rFonts w:cstheme="minorHAnsi"/>
          <w:bCs/>
          <w:spacing w:val="-2"/>
          <w:szCs w:val="72"/>
          <w:lang w:val="sr-Cyrl-CS"/>
        </w:rPr>
      </w:pPr>
    </w:p>
    <w:p w14:paraId="2D35233F" w14:textId="07E2399B" w:rsidR="00181BDB" w:rsidRPr="0007074F" w:rsidRDefault="00181BDB" w:rsidP="00181BDB">
      <w:pPr>
        <w:rPr>
          <w:rFonts w:eastAsiaTheme="majorEastAsia"/>
          <w:color w:val="2F5496" w:themeColor="accent1" w:themeShade="BF"/>
          <w:lang w:val="sr-Cyrl-CS"/>
        </w:rPr>
      </w:pPr>
      <w:r w:rsidRPr="0007074F">
        <w:rPr>
          <w:lang w:val="sr-Cyrl-CS"/>
        </w:rPr>
        <w:br w:type="page"/>
      </w:r>
    </w:p>
    <w:p w14:paraId="2284CBDC" w14:textId="77777777" w:rsidR="008A59AE" w:rsidRPr="0007074F" w:rsidRDefault="008A59AE" w:rsidP="00427829">
      <w:pPr>
        <w:keepNext/>
        <w:keepLines/>
        <w:spacing w:after="0" w:line="240" w:lineRule="auto"/>
        <w:jc w:val="center"/>
        <w:outlineLvl w:val="0"/>
        <w:rPr>
          <w:rFonts w:cstheme="minorHAnsi"/>
          <w:bCs/>
          <w:color w:val="2F5496" w:themeColor="accent1" w:themeShade="BF"/>
          <w:szCs w:val="72"/>
          <w:lang w:val="sr-Cyrl-CS"/>
        </w:rPr>
      </w:pPr>
      <w:bookmarkStart w:id="58" w:name="_Toc529801854"/>
      <w:bookmarkStart w:id="59" w:name="_Toc86923729"/>
      <w:bookmarkStart w:id="60" w:name="_Toc135994508"/>
      <w:bookmarkEnd w:id="56"/>
      <w:bookmarkEnd w:id="57"/>
      <w:r w:rsidRPr="0007074F">
        <w:rPr>
          <w:rFonts w:eastAsiaTheme="majorEastAsia" w:cstheme="minorHAnsi"/>
          <w:b/>
          <w:color w:val="2F5496" w:themeColor="accent1" w:themeShade="BF"/>
          <w:sz w:val="26"/>
          <w:szCs w:val="26"/>
          <w:lang w:val="sr-Cyrl-CS"/>
        </w:rPr>
        <w:lastRenderedPageBreak/>
        <w:t>IV. ЗАВРШНЕ ОДРЕДБЕ</w:t>
      </w:r>
      <w:bookmarkEnd w:id="58"/>
      <w:bookmarkEnd w:id="59"/>
      <w:bookmarkEnd w:id="60"/>
    </w:p>
    <w:p w14:paraId="24811DEC" w14:textId="77777777" w:rsidR="008A59AE" w:rsidRPr="0007074F" w:rsidRDefault="008A59AE" w:rsidP="00427829">
      <w:pPr>
        <w:rPr>
          <w:lang w:val="sr-Cyrl-CS"/>
        </w:rPr>
      </w:pPr>
    </w:p>
    <w:p w14:paraId="0865BE08" w14:textId="4CB6B1DF" w:rsidR="008A59AE" w:rsidRPr="0007074F" w:rsidRDefault="00DF34C0" w:rsidP="000D3688">
      <w:pPr>
        <w:spacing w:after="80"/>
        <w:ind w:firstLine="720"/>
        <w:rPr>
          <w:rFonts w:cstheme="minorHAnsi"/>
          <w:bCs/>
          <w:szCs w:val="72"/>
          <w:lang w:val="sr-Cyrl-CS"/>
        </w:rPr>
      </w:pPr>
      <w:r w:rsidRPr="0007074F">
        <w:rPr>
          <w:rFonts w:cstheme="minorHAnsi"/>
          <w:bCs/>
          <w:szCs w:val="72"/>
          <w:lang w:val="sr-Cyrl-CS"/>
        </w:rPr>
        <w:t>Саставни део ове ф</w:t>
      </w:r>
      <w:r w:rsidR="008A59AE" w:rsidRPr="0007074F">
        <w:rPr>
          <w:rFonts w:cstheme="minorHAnsi"/>
          <w:bCs/>
          <w:szCs w:val="72"/>
          <w:lang w:val="sr-Cyrl-CS"/>
        </w:rPr>
        <w:t xml:space="preserve">искалне стратегије чине Прилог 1 – Пројекција основних макроекономских индикатора и Прилог 2 – Фискални оквир </w:t>
      </w:r>
      <w:r w:rsidR="00332897" w:rsidRPr="0007074F">
        <w:rPr>
          <w:rFonts w:cstheme="minorHAnsi"/>
          <w:bCs/>
          <w:szCs w:val="72"/>
          <w:lang w:val="sr-Cyrl-CS"/>
        </w:rPr>
        <w:t xml:space="preserve">сектора </w:t>
      </w:r>
      <w:r w:rsidR="008A59AE" w:rsidRPr="0007074F">
        <w:rPr>
          <w:rFonts w:cstheme="minorHAnsi"/>
          <w:bCs/>
          <w:szCs w:val="72"/>
          <w:lang w:val="sr-Cyrl-CS"/>
        </w:rPr>
        <w:t>државе у 2024. год</w:t>
      </w:r>
      <w:r w:rsidRPr="0007074F">
        <w:rPr>
          <w:rFonts w:cstheme="minorHAnsi"/>
          <w:bCs/>
          <w:szCs w:val="72"/>
          <w:lang w:val="sr-Cyrl-CS"/>
        </w:rPr>
        <w:t>ини, који су одштампани уз ову ф</w:t>
      </w:r>
      <w:r w:rsidR="008A59AE" w:rsidRPr="0007074F">
        <w:rPr>
          <w:rFonts w:cstheme="minorHAnsi"/>
          <w:bCs/>
          <w:szCs w:val="72"/>
          <w:lang w:val="sr-Cyrl-CS"/>
        </w:rPr>
        <w:t>искалну стратегију.</w:t>
      </w:r>
    </w:p>
    <w:p w14:paraId="4237DD79" w14:textId="2E27F5ED" w:rsidR="008A59AE" w:rsidRPr="0007074F" w:rsidRDefault="008A59AE" w:rsidP="000D3688">
      <w:pPr>
        <w:spacing w:after="80"/>
        <w:ind w:firstLine="720"/>
        <w:rPr>
          <w:rFonts w:cstheme="minorHAnsi"/>
          <w:bCs/>
          <w:szCs w:val="72"/>
          <w:lang w:val="sr-Cyrl-CS"/>
        </w:rPr>
      </w:pPr>
      <w:r w:rsidRPr="0007074F">
        <w:rPr>
          <w:rFonts w:cstheme="minorHAnsi"/>
          <w:bCs/>
          <w:szCs w:val="72"/>
          <w:lang w:val="sr-Cyrl-CS"/>
        </w:rPr>
        <w:t xml:space="preserve">Ову </w:t>
      </w:r>
      <w:r w:rsidR="00DF34C0" w:rsidRPr="0007074F">
        <w:rPr>
          <w:rFonts w:cstheme="minorHAnsi"/>
          <w:bCs/>
          <w:szCs w:val="72"/>
          <w:lang w:val="sr-Cyrl-CS"/>
        </w:rPr>
        <w:t>ф</w:t>
      </w:r>
      <w:r w:rsidRPr="0007074F">
        <w:rPr>
          <w:rFonts w:cstheme="minorHAnsi"/>
          <w:bCs/>
          <w:szCs w:val="72"/>
          <w:lang w:val="sr-Cyrl-CS"/>
        </w:rPr>
        <w:t xml:space="preserve">искалну стратегију доставити </w:t>
      </w:r>
      <w:r w:rsidRPr="0007074F">
        <w:rPr>
          <w:lang w:val="sr-Cyrl-CS"/>
        </w:rPr>
        <w:t xml:space="preserve">одбору Народне скупштине надлежном за финансије, републички буџет и контролу трошења јавних средстава </w:t>
      </w:r>
      <w:r w:rsidRPr="0007074F">
        <w:rPr>
          <w:rFonts w:cstheme="minorHAnsi"/>
          <w:bCs/>
          <w:szCs w:val="72"/>
          <w:lang w:val="sr-Cyrl-CS"/>
        </w:rPr>
        <w:t>и Министарству финансија.</w:t>
      </w:r>
    </w:p>
    <w:p w14:paraId="74383702" w14:textId="04DD269E" w:rsidR="008A59AE" w:rsidRPr="0007074F" w:rsidRDefault="008A59AE" w:rsidP="00EF6B75">
      <w:pPr>
        <w:ind w:firstLine="720"/>
        <w:rPr>
          <w:lang w:val="sr-Cyrl-CS"/>
        </w:rPr>
      </w:pPr>
      <w:r w:rsidRPr="0007074F">
        <w:rPr>
          <w:rFonts w:cstheme="minorHAnsi"/>
          <w:bCs/>
          <w:szCs w:val="72"/>
          <w:lang w:val="sr-Cyrl-CS"/>
        </w:rPr>
        <w:t xml:space="preserve">Ову </w:t>
      </w:r>
      <w:r w:rsidR="00DF34C0" w:rsidRPr="0007074F">
        <w:rPr>
          <w:rFonts w:cstheme="minorHAnsi"/>
          <w:bCs/>
          <w:szCs w:val="72"/>
          <w:lang w:val="sr-Cyrl-CS"/>
        </w:rPr>
        <w:t>ф</w:t>
      </w:r>
      <w:r w:rsidRPr="0007074F">
        <w:rPr>
          <w:rFonts w:cstheme="minorHAnsi"/>
          <w:bCs/>
          <w:szCs w:val="72"/>
          <w:lang w:val="sr-Cyrl-CS"/>
        </w:rPr>
        <w:t>искалну стратегију објавити на интернет страници Владе и Министарства финансија.</w:t>
      </w:r>
    </w:p>
    <w:p w14:paraId="2BA32F94" w14:textId="77777777" w:rsidR="008A59AE" w:rsidRPr="0007074F" w:rsidRDefault="008A59AE" w:rsidP="00427829">
      <w:pPr>
        <w:spacing w:after="0"/>
        <w:jc w:val="right"/>
        <w:rPr>
          <w:rFonts w:cstheme="minorHAnsi"/>
          <w:bCs/>
          <w:szCs w:val="72"/>
          <w:lang w:val="sr-Cyrl-CS"/>
        </w:rPr>
      </w:pPr>
    </w:p>
    <w:p w14:paraId="2E651151" w14:textId="77777777" w:rsidR="008A59AE" w:rsidRPr="0007074F" w:rsidRDefault="008A59AE" w:rsidP="00427829">
      <w:pPr>
        <w:spacing w:after="0"/>
        <w:jc w:val="right"/>
        <w:rPr>
          <w:rFonts w:cstheme="minorHAnsi"/>
          <w:bCs/>
          <w:szCs w:val="72"/>
          <w:lang w:val="sr-Cyrl-CS"/>
        </w:rPr>
      </w:pPr>
    </w:p>
    <w:p w14:paraId="76560E04" w14:textId="6F275B64" w:rsidR="008A59AE" w:rsidRPr="00A22B97" w:rsidRDefault="008A59AE" w:rsidP="000D3688">
      <w:pPr>
        <w:tabs>
          <w:tab w:val="left" w:pos="1189"/>
        </w:tabs>
        <w:spacing w:after="0"/>
        <w:rPr>
          <w:rFonts w:cstheme="minorHAnsi"/>
          <w:bCs/>
          <w:szCs w:val="72"/>
          <w:lang w:val="sr-Latn-RS"/>
        </w:rPr>
      </w:pPr>
      <w:r w:rsidRPr="0007074F">
        <w:rPr>
          <w:rFonts w:cstheme="minorHAnsi"/>
          <w:bCs/>
          <w:szCs w:val="72"/>
          <w:lang w:val="sr-Cyrl-CS"/>
        </w:rPr>
        <w:t xml:space="preserve">05 Број: </w:t>
      </w:r>
      <w:r w:rsidR="00A22B97">
        <w:rPr>
          <w:rFonts w:cstheme="minorHAnsi"/>
          <w:bCs/>
          <w:szCs w:val="72"/>
          <w:lang w:val="sr-Latn-RS"/>
        </w:rPr>
        <w:t>400-4857/2023</w:t>
      </w:r>
    </w:p>
    <w:p w14:paraId="5E649521" w14:textId="0BCAD2B4" w:rsidR="008A59AE" w:rsidRPr="0007074F" w:rsidRDefault="008A59AE" w:rsidP="000D3688">
      <w:pPr>
        <w:spacing w:after="0"/>
        <w:rPr>
          <w:rFonts w:cstheme="minorHAnsi"/>
          <w:bCs/>
          <w:szCs w:val="72"/>
          <w:lang w:val="sr-Cyrl-CS"/>
        </w:rPr>
      </w:pPr>
      <w:r w:rsidRPr="0007074F">
        <w:rPr>
          <w:rFonts w:cstheme="minorHAnsi"/>
          <w:bCs/>
          <w:szCs w:val="72"/>
          <w:lang w:val="sr-Cyrl-CS"/>
        </w:rPr>
        <w:t xml:space="preserve">У Београду, </w:t>
      </w:r>
      <w:r w:rsidR="00DF34C0" w:rsidRPr="0007074F">
        <w:rPr>
          <w:rFonts w:cstheme="minorHAnsi"/>
          <w:bCs/>
          <w:szCs w:val="72"/>
          <w:lang w:val="sr-Cyrl-CS"/>
        </w:rPr>
        <w:t>8. јуна 2023. године</w:t>
      </w:r>
    </w:p>
    <w:p w14:paraId="53B9FF8F" w14:textId="77777777" w:rsidR="008A59AE" w:rsidRPr="0007074F" w:rsidRDefault="008A59AE" w:rsidP="00427829">
      <w:pPr>
        <w:spacing w:after="0"/>
        <w:jc w:val="right"/>
        <w:rPr>
          <w:rFonts w:cstheme="minorHAnsi"/>
          <w:bCs/>
          <w:szCs w:val="72"/>
          <w:lang w:val="sr-Cyrl-CS"/>
        </w:rPr>
      </w:pPr>
    </w:p>
    <w:p w14:paraId="218DF25C" w14:textId="77777777" w:rsidR="008A59AE" w:rsidRPr="0007074F" w:rsidRDefault="008A59AE" w:rsidP="000D3688">
      <w:pPr>
        <w:spacing w:after="0"/>
        <w:jc w:val="center"/>
        <w:rPr>
          <w:rFonts w:cstheme="minorHAnsi"/>
          <w:bCs/>
          <w:szCs w:val="72"/>
          <w:lang w:val="sr-Cyrl-CS"/>
        </w:rPr>
      </w:pPr>
      <w:r w:rsidRPr="0007074F">
        <w:rPr>
          <w:rFonts w:cstheme="minorHAnsi"/>
          <w:bCs/>
          <w:szCs w:val="72"/>
          <w:lang w:val="sr-Cyrl-CS"/>
        </w:rPr>
        <w:t>В Л А Д А</w:t>
      </w:r>
    </w:p>
    <w:p w14:paraId="5D976BFE" w14:textId="77777777" w:rsidR="008A59AE" w:rsidRPr="0007074F" w:rsidRDefault="008A59AE" w:rsidP="000D3688">
      <w:pPr>
        <w:spacing w:after="0"/>
        <w:jc w:val="right"/>
        <w:rPr>
          <w:rFonts w:cstheme="minorHAnsi"/>
          <w:bCs/>
          <w:szCs w:val="72"/>
          <w:lang w:val="sr-Cyrl-CS"/>
        </w:rPr>
      </w:pPr>
    </w:p>
    <w:p w14:paraId="26FA4607" w14:textId="29E4CD94" w:rsidR="008A59AE" w:rsidRPr="0007074F" w:rsidRDefault="00444A1A" w:rsidP="00444A1A">
      <w:pPr>
        <w:spacing w:after="0"/>
        <w:jc w:val="left"/>
        <w:rPr>
          <w:rFonts w:cstheme="minorHAnsi"/>
          <w:bCs/>
          <w:szCs w:val="72"/>
          <w:lang w:val="sr-Cyrl-CS"/>
        </w:rPr>
      </w:pPr>
      <w:r w:rsidRPr="0007074F">
        <w:rPr>
          <w:rFonts w:cstheme="minorHAnsi"/>
          <w:bCs/>
          <w:szCs w:val="72"/>
          <w:lang w:val="sr-Cyrl-CS"/>
        </w:rPr>
        <w:t xml:space="preserve">                                                                                                                                                                           ПРЕДСЕДНИК</w:t>
      </w:r>
    </w:p>
    <w:p w14:paraId="6A5D3BE1" w14:textId="77777777" w:rsidR="008A59AE" w:rsidRPr="0007074F" w:rsidRDefault="008A59AE" w:rsidP="000D3688">
      <w:pPr>
        <w:spacing w:after="0"/>
        <w:rPr>
          <w:rFonts w:cstheme="minorHAnsi"/>
          <w:bCs/>
          <w:szCs w:val="72"/>
          <w:lang w:val="sr-Cyrl-CS"/>
        </w:rPr>
      </w:pPr>
    </w:p>
    <w:p w14:paraId="15CF0F91" w14:textId="39FD7066" w:rsidR="008A59AE" w:rsidRPr="00A22B97" w:rsidRDefault="00444A1A" w:rsidP="000D3688">
      <w:pPr>
        <w:spacing w:after="0"/>
        <w:jc w:val="center"/>
        <w:rPr>
          <w:rFonts w:cstheme="minorHAnsi"/>
          <w:bCs/>
          <w:szCs w:val="72"/>
          <w:lang w:val="sr-Cyrl-RS"/>
        </w:rPr>
      </w:pPr>
      <w:r w:rsidRPr="0007074F">
        <w:rPr>
          <w:rFonts w:cstheme="minorHAnsi"/>
          <w:bCs/>
          <w:szCs w:val="72"/>
          <w:lang w:val="sr-Cyrl-CS"/>
        </w:rPr>
        <w:t xml:space="preserve">                                                                                                                                                                  Ана Брнабић</w:t>
      </w:r>
      <w:r w:rsidR="00A22B97">
        <w:rPr>
          <w:rFonts w:cstheme="minorHAnsi"/>
          <w:bCs/>
          <w:szCs w:val="72"/>
          <w:lang w:val="sr-Latn-RS"/>
        </w:rPr>
        <w:t xml:space="preserve">, </w:t>
      </w:r>
      <w:r w:rsidR="00A22B97">
        <w:rPr>
          <w:rFonts w:cstheme="minorHAnsi"/>
          <w:bCs/>
          <w:szCs w:val="72"/>
          <w:lang w:val="sr-Cyrl-RS"/>
        </w:rPr>
        <w:t>с.р.</w:t>
      </w:r>
    </w:p>
    <w:p w14:paraId="4394E593" w14:textId="77777777" w:rsidR="008A59AE" w:rsidRPr="0007074F" w:rsidRDefault="008A59AE" w:rsidP="000D3688">
      <w:pPr>
        <w:spacing w:after="0"/>
        <w:jc w:val="right"/>
        <w:rPr>
          <w:rFonts w:cstheme="minorHAnsi"/>
          <w:bCs/>
          <w:szCs w:val="72"/>
          <w:lang w:val="sr-Cyrl-CS"/>
        </w:rPr>
      </w:pPr>
    </w:p>
    <w:p w14:paraId="4237FF36" w14:textId="77777777" w:rsidR="008A59AE" w:rsidRPr="0007074F" w:rsidRDefault="008A59AE" w:rsidP="00427829">
      <w:pPr>
        <w:spacing w:after="0"/>
        <w:jc w:val="right"/>
        <w:rPr>
          <w:rFonts w:cstheme="minorHAnsi"/>
          <w:bCs/>
          <w:szCs w:val="72"/>
          <w:lang w:val="sr-Cyrl-CS"/>
        </w:rPr>
      </w:pPr>
    </w:p>
    <w:p w14:paraId="7946870A" w14:textId="77777777" w:rsidR="008A59AE" w:rsidRPr="0007074F" w:rsidRDefault="008A59AE" w:rsidP="008A59AE">
      <w:pPr>
        <w:rPr>
          <w:lang w:val="sr-Cyrl-CS"/>
        </w:rPr>
      </w:pPr>
    </w:p>
    <w:p w14:paraId="21B79554" w14:textId="77777777" w:rsidR="008A59AE" w:rsidRPr="0007074F" w:rsidRDefault="008A59AE" w:rsidP="008A59AE">
      <w:pPr>
        <w:rPr>
          <w:spacing w:val="-2"/>
          <w:lang w:val="sr-Cyrl-CS"/>
        </w:rPr>
      </w:pPr>
    </w:p>
    <w:p w14:paraId="1AE87363" w14:textId="77777777" w:rsidR="008A59AE" w:rsidRPr="0007074F" w:rsidRDefault="008A59AE" w:rsidP="008A59AE">
      <w:pPr>
        <w:rPr>
          <w:spacing w:val="-2"/>
          <w:lang w:val="sr-Cyrl-CS"/>
        </w:rPr>
      </w:pPr>
    </w:p>
    <w:p w14:paraId="629F5576" w14:textId="77777777" w:rsidR="008A59AE" w:rsidRPr="0007074F" w:rsidRDefault="008A59AE" w:rsidP="008A59AE">
      <w:pPr>
        <w:rPr>
          <w:lang w:val="sr-Cyrl-CS"/>
        </w:rPr>
      </w:pPr>
    </w:p>
    <w:p w14:paraId="2E73F5E7" w14:textId="061E75DA" w:rsidR="008A59AE" w:rsidRPr="0007074F" w:rsidRDefault="008A59AE">
      <w:pPr>
        <w:jc w:val="left"/>
        <w:rPr>
          <w:rFonts w:ascii="Calibri" w:eastAsia="Calibri" w:hAnsi="Calibri" w:cs="Calibri"/>
          <w:color w:val="44546A"/>
          <w:lang w:val="sr-Cyrl-CS"/>
        </w:rPr>
      </w:pPr>
      <w:r w:rsidRPr="0007074F">
        <w:rPr>
          <w:rFonts w:ascii="Calibri" w:eastAsia="Calibri" w:hAnsi="Calibri" w:cs="Calibri"/>
          <w:color w:val="44546A"/>
          <w:lang w:val="sr-Cyrl-CS"/>
        </w:rPr>
        <w:br w:type="page"/>
      </w:r>
    </w:p>
    <w:p w14:paraId="3290A065" w14:textId="77777777" w:rsidR="006D662B" w:rsidRPr="0007074F" w:rsidRDefault="006D662B" w:rsidP="00953528">
      <w:pPr>
        <w:pStyle w:val="Heading1"/>
        <w:spacing w:after="160"/>
        <w:rPr>
          <w:rFonts w:asciiTheme="minorHAnsi" w:hAnsiTheme="minorHAnsi" w:cstheme="minorHAnsi"/>
          <w:color w:val="002060"/>
          <w:sz w:val="24"/>
          <w:szCs w:val="26"/>
          <w:lang w:val="sr-Cyrl-CS"/>
        </w:rPr>
      </w:pPr>
      <w:bookmarkStart w:id="61" w:name="_Toc119654152"/>
      <w:bookmarkStart w:id="62" w:name="_Toc135994509"/>
      <w:bookmarkStart w:id="63" w:name="_Toc86923730"/>
      <w:bookmarkStart w:id="64" w:name="_Toc23342474"/>
      <w:bookmarkStart w:id="65" w:name="_Toc530635112"/>
      <w:r w:rsidRPr="0007074F">
        <w:rPr>
          <w:rFonts w:asciiTheme="minorHAnsi" w:hAnsiTheme="minorHAnsi" w:cstheme="minorHAnsi"/>
          <w:color w:val="002060"/>
          <w:sz w:val="24"/>
          <w:szCs w:val="26"/>
          <w:lang w:val="sr-Cyrl-CS"/>
        </w:rPr>
        <w:lastRenderedPageBreak/>
        <w:t>Прилог 1 – Пројекција основних макроекономских индикатора</w:t>
      </w:r>
      <w:bookmarkEnd w:id="61"/>
      <w:bookmarkEnd w:id="62"/>
    </w:p>
    <w:tbl>
      <w:tblPr>
        <w:tblStyle w:val="TableGrid1"/>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8"/>
        <w:gridCol w:w="1129"/>
        <w:gridCol w:w="1131"/>
        <w:gridCol w:w="1129"/>
        <w:gridCol w:w="1123"/>
      </w:tblGrid>
      <w:tr w:rsidR="006D662B" w:rsidRPr="0007074F" w14:paraId="1E2881A6" w14:textId="77777777" w:rsidTr="00953528">
        <w:trPr>
          <w:trHeight w:val="551"/>
          <w:jc w:val="center"/>
        </w:trPr>
        <w:tc>
          <w:tcPr>
            <w:tcW w:w="2590" w:type="pct"/>
            <w:tcBorders>
              <w:top w:val="single" w:sz="4" w:space="0" w:color="002060"/>
              <w:bottom w:val="single" w:sz="4" w:space="0" w:color="002060"/>
            </w:tcBorders>
            <w:vAlign w:val="center"/>
            <w:hideMark/>
          </w:tcPr>
          <w:p w14:paraId="71660783" w14:textId="77777777" w:rsidR="006D662B" w:rsidRPr="0007074F" w:rsidRDefault="006D662B" w:rsidP="00953528">
            <w:pPr>
              <w:rPr>
                <w:rFonts w:eastAsia="Calibri" w:cstheme="minorHAnsi"/>
                <w:iCs/>
                <w:color w:val="002060"/>
                <w:sz w:val="18"/>
                <w:szCs w:val="18"/>
                <w:lang w:val="sr-Cyrl-CS"/>
              </w:rPr>
            </w:pPr>
          </w:p>
        </w:tc>
        <w:tc>
          <w:tcPr>
            <w:tcW w:w="603" w:type="pct"/>
            <w:tcBorders>
              <w:top w:val="single" w:sz="4" w:space="0" w:color="002060"/>
              <w:bottom w:val="single" w:sz="4" w:space="0" w:color="002060"/>
            </w:tcBorders>
            <w:noWrap/>
            <w:vAlign w:val="center"/>
          </w:tcPr>
          <w:p w14:paraId="723B135A" w14:textId="77777777" w:rsidR="006D662B" w:rsidRPr="0007074F" w:rsidRDefault="006D662B" w:rsidP="00953528">
            <w:pPr>
              <w:jc w:val="center"/>
              <w:rPr>
                <w:rFonts w:eastAsia="Calibri" w:cstheme="minorHAnsi"/>
                <w:iCs/>
                <w:color w:val="002060"/>
                <w:szCs w:val="18"/>
                <w:lang w:val="sr-Cyrl-CS"/>
              </w:rPr>
            </w:pPr>
            <w:r w:rsidRPr="0007074F">
              <w:rPr>
                <w:rFonts w:eastAsia="Calibri" w:cstheme="minorHAnsi"/>
                <w:iCs/>
                <w:color w:val="002060"/>
                <w:szCs w:val="18"/>
                <w:lang w:val="sr-Cyrl-CS"/>
              </w:rPr>
              <w:t>2023</w:t>
            </w:r>
          </w:p>
        </w:tc>
        <w:tc>
          <w:tcPr>
            <w:tcW w:w="604" w:type="pct"/>
            <w:tcBorders>
              <w:top w:val="single" w:sz="4" w:space="0" w:color="002060"/>
              <w:bottom w:val="single" w:sz="4" w:space="0" w:color="002060"/>
            </w:tcBorders>
            <w:noWrap/>
            <w:vAlign w:val="center"/>
            <w:hideMark/>
          </w:tcPr>
          <w:p w14:paraId="5F62555C" w14:textId="77777777" w:rsidR="006D662B" w:rsidRPr="0007074F" w:rsidRDefault="006D662B" w:rsidP="00953528">
            <w:pPr>
              <w:jc w:val="center"/>
              <w:rPr>
                <w:rFonts w:eastAsia="Calibri" w:cstheme="minorHAnsi"/>
                <w:iCs/>
                <w:color w:val="002060"/>
                <w:sz w:val="18"/>
                <w:szCs w:val="18"/>
                <w:lang w:val="sr-Cyrl-CS"/>
              </w:rPr>
            </w:pPr>
            <w:r w:rsidRPr="0007074F">
              <w:rPr>
                <w:color w:val="002060"/>
                <w:lang w:val="sr-Cyrl-CS"/>
              </w:rPr>
              <w:t>2024</w:t>
            </w:r>
          </w:p>
        </w:tc>
        <w:tc>
          <w:tcPr>
            <w:tcW w:w="603" w:type="pct"/>
            <w:tcBorders>
              <w:top w:val="single" w:sz="4" w:space="0" w:color="002060"/>
              <w:bottom w:val="single" w:sz="4" w:space="0" w:color="002060"/>
            </w:tcBorders>
            <w:noWrap/>
            <w:vAlign w:val="center"/>
            <w:hideMark/>
          </w:tcPr>
          <w:p w14:paraId="5A719964" w14:textId="77777777" w:rsidR="006D662B" w:rsidRPr="0007074F" w:rsidRDefault="006D662B" w:rsidP="00953528">
            <w:pPr>
              <w:jc w:val="center"/>
              <w:rPr>
                <w:rFonts w:eastAsia="Calibri" w:cstheme="minorHAnsi"/>
                <w:iCs/>
                <w:color w:val="002060"/>
                <w:sz w:val="18"/>
                <w:szCs w:val="18"/>
                <w:lang w:val="sr-Cyrl-CS"/>
              </w:rPr>
            </w:pPr>
            <w:r w:rsidRPr="0007074F">
              <w:rPr>
                <w:color w:val="002060"/>
                <w:lang w:val="sr-Cyrl-CS"/>
              </w:rPr>
              <w:t>2025</w:t>
            </w:r>
          </w:p>
        </w:tc>
        <w:tc>
          <w:tcPr>
            <w:tcW w:w="600" w:type="pct"/>
            <w:tcBorders>
              <w:top w:val="single" w:sz="4" w:space="0" w:color="002060"/>
              <w:bottom w:val="single" w:sz="4" w:space="0" w:color="002060"/>
            </w:tcBorders>
            <w:noWrap/>
            <w:vAlign w:val="center"/>
            <w:hideMark/>
          </w:tcPr>
          <w:p w14:paraId="53166B8A" w14:textId="77777777" w:rsidR="006D662B" w:rsidRPr="0007074F" w:rsidRDefault="006D662B" w:rsidP="00953528">
            <w:pPr>
              <w:jc w:val="center"/>
              <w:rPr>
                <w:rFonts w:eastAsia="Calibri" w:cstheme="minorHAnsi"/>
                <w:iCs/>
                <w:color w:val="002060"/>
                <w:sz w:val="18"/>
                <w:szCs w:val="18"/>
                <w:lang w:val="sr-Cyrl-CS"/>
              </w:rPr>
            </w:pPr>
            <w:r w:rsidRPr="0007074F">
              <w:rPr>
                <w:color w:val="002060"/>
                <w:lang w:val="sr-Cyrl-CS"/>
              </w:rPr>
              <w:t>2026</w:t>
            </w:r>
          </w:p>
        </w:tc>
      </w:tr>
      <w:tr w:rsidR="006D662B" w:rsidRPr="0007074F" w14:paraId="05A79DB4" w14:textId="77777777" w:rsidTr="000D3688">
        <w:trPr>
          <w:trHeight w:val="281"/>
          <w:jc w:val="center"/>
        </w:trPr>
        <w:tc>
          <w:tcPr>
            <w:tcW w:w="2590" w:type="pct"/>
            <w:tcBorders>
              <w:top w:val="single" w:sz="4" w:space="0" w:color="002060"/>
            </w:tcBorders>
            <w:noWrap/>
            <w:vAlign w:val="center"/>
            <w:hideMark/>
          </w:tcPr>
          <w:p w14:paraId="13028218" w14:textId="77777777" w:rsidR="006D662B" w:rsidRPr="0007074F" w:rsidRDefault="006D662B" w:rsidP="000D3688">
            <w:pPr>
              <w:jc w:val="left"/>
              <w:rPr>
                <w:rFonts w:eastAsia="Calibri" w:cstheme="minorHAnsi"/>
                <w:color w:val="002060"/>
                <w:sz w:val="18"/>
                <w:szCs w:val="18"/>
                <w:lang w:val="sr-Cyrl-CS"/>
              </w:rPr>
            </w:pPr>
            <w:r w:rsidRPr="0007074F">
              <w:rPr>
                <w:rFonts w:eastAsia="Calibri" w:cstheme="minorHAnsi"/>
                <w:color w:val="002060"/>
                <w:sz w:val="18"/>
                <w:szCs w:val="18"/>
                <w:lang w:val="sr-Cyrl-CS"/>
              </w:rPr>
              <w:t>Стопа реалног раста БДП, %</w:t>
            </w:r>
          </w:p>
        </w:tc>
        <w:tc>
          <w:tcPr>
            <w:tcW w:w="603" w:type="pct"/>
            <w:tcBorders>
              <w:top w:val="nil"/>
              <w:left w:val="nil"/>
              <w:bottom w:val="nil"/>
              <w:right w:val="nil"/>
            </w:tcBorders>
            <w:shd w:val="clear" w:color="auto" w:fill="auto"/>
            <w:noWrap/>
            <w:vAlign w:val="center"/>
          </w:tcPr>
          <w:p w14:paraId="62457C74" w14:textId="77777777" w:rsidR="006D662B" w:rsidRPr="0007074F" w:rsidRDefault="006D662B" w:rsidP="000D3688">
            <w:pPr>
              <w:jc w:val="center"/>
              <w:rPr>
                <w:rFonts w:cstheme="minorHAnsi"/>
                <w:color w:val="002060"/>
                <w:sz w:val="18"/>
                <w:szCs w:val="18"/>
                <w:lang w:val="sr-Cyrl-CS"/>
              </w:rPr>
            </w:pPr>
            <w:r w:rsidRPr="0007074F">
              <w:rPr>
                <w:color w:val="002060"/>
                <w:sz w:val="18"/>
                <w:lang w:val="sr-Cyrl-CS"/>
              </w:rPr>
              <w:t>2,5</w:t>
            </w:r>
          </w:p>
        </w:tc>
        <w:tc>
          <w:tcPr>
            <w:tcW w:w="604" w:type="pct"/>
            <w:tcBorders>
              <w:top w:val="nil"/>
              <w:left w:val="nil"/>
              <w:bottom w:val="nil"/>
              <w:right w:val="nil"/>
            </w:tcBorders>
            <w:shd w:val="clear" w:color="auto" w:fill="auto"/>
            <w:noWrap/>
            <w:vAlign w:val="center"/>
          </w:tcPr>
          <w:p w14:paraId="1EC44EA7" w14:textId="77777777" w:rsidR="006D662B" w:rsidRPr="0007074F" w:rsidRDefault="006D662B" w:rsidP="000D3688">
            <w:pPr>
              <w:jc w:val="center"/>
              <w:rPr>
                <w:rFonts w:cstheme="minorHAnsi"/>
                <w:color w:val="002060"/>
                <w:sz w:val="18"/>
                <w:szCs w:val="18"/>
                <w:lang w:val="sr-Cyrl-CS"/>
              </w:rPr>
            </w:pPr>
            <w:r w:rsidRPr="0007074F">
              <w:rPr>
                <w:color w:val="002060"/>
                <w:sz w:val="18"/>
                <w:lang w:val="sr-Cyrl-CS"/>
              </w:rPr>
              <w:t>3,5</w:t>
            </w:r>
          </w:p>
        </w:tc>
        <w:tc>
          <w:tcPr>
            <w:tcW w:w="603" w:type="pct"/>
            <w:tcBorders>
              <w:top w:val="nil"/>
              <w:left w:val="nil"/>
              <w:bottom w:val="nil"/>
              <w:right w:val="nil"/>
            </w:tcBorders>
            <w:shd w:val="clear" w:color="auto" w:fill="auto"/>
            <w:noWrap/>
            <w:vAlign w:val="center"/>
          </w:tcPr>
          <w:p w14:paraId="6C0A0E58" w14:textId="77777777" w:rsidR="006D662B" w:rsidRPr="0007074F" w:rsidRDefault="006D662B" w:rsidP="000D3688">
            <w:pPr>
              <w:jc w:val="center"/>
              <w:rPr>
                <w:rFonts w:cstheme="minorHAnsi"/>
                <w:color w:val="002060"/>
                <w:sz w:val="18"/>
                <w:szCs w:val="18"/>
                <w:lang w:val="sr-Cyrl-CS"/>
              </w:rPr>
            </w:pPr>
            <w:r w:rsidRPr="0007074F">
              <w:rPr>
                <w:color w:val="002060"/>
                <w:sz w:val="18"/>
                <w:lang w:val="sr-Cyrl-CS"/>
              </w:rPr>
              <w:t>4,0</w:t>
            </w:r>
          </w:p>
        </w:tc>
        <w:tc>
          <w:tcPr>
            <w:tcW w:w="600" w:type="pct"/>
            <w:tcBorders>
              <w:top w:val="nil"/>
              <w:left w:val="nil"/>
              <w:bottom w:val="nil"/>
              <w:right w:val="nil"/>
            </w:tcBorders>
            <w:shd w:val="clear" w:color="auto" w:fill="auto"/>
            <w:noWrap/>
            <w:vAlign w:val="center"/>
          </w:tcPr>
          <w:p w14:paraId="58D53037" w14:textId="77777777" w:rsidR="006D662B" w:rsidRPr="0007074F" w:rsidRDefault="006D662B" w:rsidP="000D3688">
            <w:pPr>
              <w:jc w:val="center"/>
              <w:rPr>
                <w:rFonts w:cstheme="minorHAnsi"/>
                <w:color w:val="002060"/>
                <w:sz w:val="18"/>
                <w:szCs w:val="18"/>
                <w:lang w:val="sr-Cyrl-CS"/>
              </w:rPr>
            </w:pPr>
            <w:r w:rsidRPr="0007074F">
              <w:rPr>
                <w:color w:val="002060"/>
                <w:sz w:val="18"/>
                <w:lang w:val="sr-Cyrl-CS"/>
              </w:rPr>
              <w:t>4,3</w:t>
            </w:r>
          </w:p>
        </w:tc>
      </w:tr>
      <w:tr w:rsidR="006D662B" w:rsidRPr="0007074F" w14:paraId="2C795D2E" w14:textId="77777777" w:rsidTr="000D3688">
        <w:trPr>
          <w:trHeight w:val="281"/>
          <w:jc w:val="center"/>
        </w:trPr>
        <w:tc>
          <w:tcPr>
            <w:tcW w:w="2590" w:type="pct"/>
            <w:noWrap/>
            <w:vAlign w:val="center"/>
            <w:hideMark/>
          </w:tcPr>
          <w:p w14:paraId="0A59AF34" w14:textId="77777777" w:rsidR="006D662B" w:rsidRPr="0007074F" w:rsidRDefault="006D662B" w:rsidP="000D3688">
            <w:pPr>
              <w:jc w:val="left"/>
              <w:rPr>
                <w:rFonts w:eastAsia="Calibri" w:cstheme="minorHAnsi"/>
                <w:color w:val="002060"/>
                <w:sz w:val="18"/>
                <w:szCs w:val="18"/>
                <w:lang w:val="sr-Cyrl-CS"/>
              </w:rPr>
            </w:pPr>
            <w:r w:rsidRPr="0007074F">
              <w:rPr>
                <w:rFonts w:eastAsia="Calibri" w:cstheme="minorHAnsi"/>
                <w:color w:val="002060"/>
                <w:sz w:val="18"/>
                <w:szCs w:val="18"/>
                <w:lang w:val="sr-Cyrl-CS"/>
              </w:rPr>
              <w:t>БДП у текућим тржишним ценама</w:t>
            </w:r>
          </w:p>
          <w:p w14:paraId="2DA302D5" w14:textId="77777777" w:rsidR="006D662B" w:rsidRPr="0007074F" w:rsidRDefault="006D662B" w:rsidP="000D3688">
            <w:pPr>
              <w:jc w:val="left"/>
              <w:rPr>
                <w:rFonts w:eastAsia="Calibri" w:cstheme="minorHAnsi"/>
                <w:bCs/>
                <w:color w:val="002060"/>
                <w:sz w:val="18"/>
                <w:szCs w:val="18"/>
                <w:lang w:val="sr-Cyrl-CS"/>
              </w:rPr>
            </w:pPr>
            <w:r w:rsidRPr="0007074F">
              <w:rPr>
                <w:rFonts w:eastAsia="Calibri" w:cstheme="minorHAnsi"/>
                <w:color w:val="002060"/>
                <w:sz w:val="18"/>
                <w:szCs w:val="18"/>
                <w:lang w:val="sr-Cyrl-CS"/>
              </w:rPr>
              <w:t>(у млрд динара)</w:t>
            </w:r>
          </w:p>
        </w:tc>
        <w:tc>
          <w:tcPr>
            <w:tcW w:w="603" w:type="pct"/>
            <w:tcBorders>
              <w:top w:val="nil"/>
              <w:left w:val="nil"/>
              <w:bottom w:val="nil"/>
              <w:right w:val="nil"/>
            </w:tcBorders>
            <w:shd w:val="clear" w:color="auto" w:fill="auto"/>
            <w:noWrap/>
            <w:vAlign w:val="center"/>
          </w:tcPr>
          <w:p w14:paraId="61B06DE8" w14:textId="77777777" w:rsidR="006D662B" w:rsidRPr="0007074F" w:rsidRDefault="006D662B" w:rsidP="000D3688">
            <w:pPr>
              <w:jc w:val="center"/>
              <w:rPr>
                <w:rFonts w:cstheme="minorHAnsi"/>
                <w:color w:val="002060"/>
                <w:sz w:val="18"/>
                <w:szCs w:val="18"/>
                <w:lang w:val="sr-Cyrl-CS"/>
              </w:rPr>
            </w:pPr>
            <w:r w:rsidRPr="0007074F">
              <w:rPr>
                <w:color w:val="002060"/>
                <w:sz w:val="18"/>
                <w:lang w:val="sr-Cyrl-CS"/>
              </w:rPr>
              <w:t>8.103,5</w:t>
            </w:r>
          </w:p>
        </w:tc>
        <w:tc>
          <w:tcPr>
            <w:tcW w:w="604" w:type="pct"/>
            <w:tcBorders>
              <w:top w:val="nil"/>
              <w:left w:val="nil"/>
              <w:bottom w:val="nil"/>
              <w:right w:val="nil"/>
            </w:tcBorders>
            <w:shd w:val="clear" w:color="auto" w:fill="auto"/>
            <w:noWrap/>
            <w:vAlign w:val="center"/>
          </w:tcPr>
          <w:p w14:paraId="487556E4" w14:textId="77777777" w:rsidR="006D662B" w:rsidRPr="0007074F" w:rsidRDefault="006D662B" w:rsidP="000D3688">
            <w:pPr>
              <w:jc w:val="center"/>
              <w:rPr>
                <w:rFonts w:cstheme="minorHAnsi"/>
                <w:color w:val="002060"/>
                <w:sz w:val="18"/>
                <w:szCs w:val="18"/>
                <w:lang w:val="sr-Cyrl-CS"/>
              </w:rPr>
            </w:pPr>
            <w:r w:rsidRPr="0007074F">
              <w:rPr>
                <w:color w:val="002060"/>
                <w:sz w:val="18"/>
                <w:lang w:val="sr-Cyrl-CS"/>
              </w:rPr>
              <w:t>8.773,6</w:t>
            </w:r>
          </w:p>
        </w:tc>
        <w:tc>
          <w:tcPr>
            <w:tcW w:w="603" w:type="pct"/>
            <w:tcBorders>
              <w:top w:val="nil"/>
              <w:left w:val="nil"/>
              <w:bottom w:val="nil"/>
              <w:right w:val="nil"/>
            </w:tcBorders>
            <w:shd w:val="clear" w:color="auto" w:fill="auto"/>
            <w:noWrap/>
            <w:vAlign w:val="center"/>
          </w:tcPr>
          <w:p w14:paraId="58933B19" w14:textId="77777777" w:rsidR="006D662B" w:rsidRPr="0007074F" w:rsidRDefault="006D662B" w:rsidP="000D3688">
            <w:pPr>
              <w:jc w:val="center"/>
              <w:rPr>
                <w:rFonts w:cstheme="minorHAnsi"/>
                <w:color w:val="002060"/>
                <w:sz w:val="18"/>
                <w:szCs w:val="18"/>
                <w:lang w:val="sr-Cyrl-CS"/>
              </w:rPr>
            </w:pPr>
            <w:r w:rsidRPr="0007074F">
              <w:rPr>
                <w:color w:val="002060"/>
                <w:sz w:val="18"/>
                <w:lang w:val="sr-Cyrl-CS"/>
              </w:rPr>
              <w:t>9.461,4</w:t>
            </w:r>
          </w:p>
        </w:tc>
        <w:tc>
          <w:tcPr>
            <w:tcW w:w="600" w:type="pct"/>
            <w:tcBorders>
              <w:top w:val="nil"/>
              <w:left w:val="nil"/>
              <w:bottom w:val="nil"/>
              <w:right w:val="nil"/>
            </w:tcBorders>
            <w:shd w:val="clear" w:color="auto" w:fill="auto"/>
            <w:noWrap/>
            <w:vAlign w:val="center"/>
          </w:tcPr>
          <w:p w14:paraId="234F18DB" w14:textId="77777777" w:rsidR="006D662B" w:rsidRPr="0007074F" w:rsidRDefault="006D662B" w:rsidP="000D3688">
            <w:pPr>
              <w:jc w:val="center"/>
              <w:rPr>
                <w:rFonts w:cstheme="minorHAnsi"/>
                <w:color w:val="002060"/>
                <w:sz w:val="18"/>
                <w:szCs w:val="18"/>
                <w:lang w:val="sr-Cyrl-CS"/>
              </w:rPr>
            </w:pPr>
            <w:r w:rsidRPr="0007074F">
              <w:rPr>
                <w:color w:val="002060"/>
                <w:sz w:val="18"/>
                <w:lang w:val="sr-Cyrl-CS"/>
              </w:rPr>
              <w:t>10.148,4</w:t>
            </w:r>
          </w:p>
        </w:tc>
      </w:tr>
      <w:tr w:rsidR="006D662B" w:rsidRPr="0007074F" w14:paraId="28B45063" w14:textId="77777777" w:rsidTr="000D3688">
        <w:trPr>
          <w:trHeight w:val="281"/>
          <w:jc w:val="center"/>
        </w:trPr>
        <w:tc>
          <w:tcPr>
            <w:tcW w:w="2590" w:type="pct"/>
            <w:shd w:val="clear" w:color="auto" w:fill="E7E6E6" w:themeFill="background2"/>
            <w:noWrap/>
            <w:vAlign w:val="center"/>
            <w:hideMark/>
          </w:tcPr>
          <w:p w14:paraId="46F87C76" w14:textId="77777777" w:rsidR="006D662B" w:rsidRPr="0007074F" w:rsidRDefault="006D662B" w:rsidP="00953528">
            <w:pPr>
              <w:jc w:val="left"/>
              <w:rPr>
                <w:rFonts w:eastAsia="Calibri" w:cstheme="minorHAnsi"/>
                <w:bCs/>
                <w:color w:val="002060"/>
                <w:sz w:val="18"/>
                <w:szCs w:val="18"/>
                <w:lang w:val="sr-Cyrl-CS"/>
              </w:rPr>
            </w:pPr>
            <w:r w:rsidRPr="0007074F">
              <w:rPr>
                <w:rFonts w:eastAsia="Calibri" w:cstheme="minorHAnsi"/>
                <w:iCs/>
                <w:color w:val="002060"/>
                <w:sz w:val="18"/>
                <w:szCs w:val="18"/>
                <w:lang w:val="sr-Cyrl-CS"/>
              </w:rPr>
              <w:t xml:space="preserve">Извори раста: процентне промене у </w:t>
            </w:r>
            <w:r w:rsidRPr="0007074F">
              <w:rPr>
                <w:rFonts w:eastAsia="Calibri" w:cstheme="minorHAnsi"/>
                <w:bCs/>
                <w:iCs/>
                <w:color w:val="002060"/>
                <w:sz w:val="18"/>
                <w:szCs w:val="18"/>
                <w:lang w:val="sr-Cyrl-CS"/>
              </w:rPr>
              <w:t>сталним</w:t>
            </w:r>
            <w:r w:rsidRPr="0007074F">
              <w:rPr>
                <w:rFonts w:eastAsia="Calibri" w:cstheme="minorHAnsi"/>
                <w:iCs/>
                <w:color w:val="002060"/>
                <w:sz w:val="18"/>
                <w:szCs w:val="18"/>
                <w:lang w:val="sr-Cyrl-CS"/>
              </w:rPr>
              <w:t xml:space="preserve"> ценама</w:t>
            </w:r>
          </w:p>
        </w:tc>
        <w:tc>
          <w:tcPr>
            <w:tcW w:w="603" w:type="pct"/>
            <w:shd w:val="clear" w:color="auto" w:fill="E7E6E6" w:themeFill="background2"/>
            <w:vAlign w:val="center"/>
          </w:tcPr>
          <w:p w14:paraId="45CB9109" w14:textId="77777777" w:rsidR="006D662B" w:rsidRPr="0007074F" w:rsidRDefault="006D662B" w:rsidP="000D3688">
            <w:pPr>
              <w:jc w:val="center"/>
              <w:rPr>
                <w:rFonts w:eastAsia="Calibri" w:cstheme="minorHAnsi"/>
                <w:bCs/>
                <w:color w:val="002060"/>
                <w:sz w:val="18"/>
                <w:szCs w:val="18"/>
                <w:lang w:val="sr-Cyrl-CS"/>
              </w:rPr>
            </w:pPr>
          </w:p>
        </w:tc>
        <w:tc>
          <w:tcPr>
            <w:tcW w:w="604" w:type="pct"/>
            <w:shd w:val="clear" w:color="auto" w:fill="E7E6E6" w:themeFill="background2"/>
            <w:vAlign w:val="center"/>
          </w:tcPr>
          <w:p w14:paraId="2D87DBC4" w14:textId="77777777" w:rsidR="006D662B" w:rsidRPr="0007074F" w:rsidRDefault="006D662B" w:rsidP="000D3688">
            <w:pPr>
              <w:jc w:val="center"/>
              <w:rPr>
                <w:rFonts w:eastAsia="Calibri" w:cstheme="minorHAnsi"/>
                <w:bCs/>
                <w:color w:val="002060"/>
                <w:sz w:val="18"/>
                <w:szCs w:val="18"/>
                <w:lang w:val="sr-Cyrl-CS"/>
              </w:rPr>
            </w:pPr>
          </w:p>
        </w:tc>
        <w:tc>
          <w:tcPr>
            <w:tcW w:w="603" w:type="pct"/>
            <w:shd w:val="clear" w:color="auto" w:fill="E7E6E6" w:themeFill="background2"/>
            <w:vAlign w:val="center"/>
          </w:tcPr>
          <w:p w14:paraId="5006AB58" w14:textId="77777777" w:rsidR="006D662B" w:rsidRPr="0007074F" w:rsidRDefault="006D662B" w:rsidP="000D3688">
            <w:pPr>
              <w:jc w:val="center"/>
              <w:rPr>
                <w:rFonts w:eastAsia="Calibri" w:cstheme="minorHAnsi"/>
                <w:bCs/>
                <w:color w:val="002060"/>
                <w:sz w:val="18"/>
                <w:szCs w:val="18"/>
                <w:lang w:val="sr-Cyrl-CS"/>
              </w:rPr>
            </w:pPr>
          </w:p>
        </w:tc>
        <w:tc>
          <w:tcPr>
            <w:tcW w:w="600" w:type="pct"/>
            <w:shd w:val="clear" w:color="auto" w:fill="E7E6E6" w:themeFill="background2"/>
            <w:vAlign w:val="center"/>
          </w:tcPr>
          <w:p w14:paraId="2AE83134" w14:textId="77777777" w:rsidR="006D662B" w:rsidRPr="0007074F" w:rsidRDefault="006D662B" w:rsidP="000D3688">
            <w:pPr>
              <w:jc w:val="center"/>
              <w:rPr>
                <w:rFonts w:eastAsia="Calibri" w:cstheme="minorHAnsi"/>
                <w:bCs/>
                <w:color w:val="002060"/>
                <w:sz w:val="18"/>
                <w:szCs w:val="18"/>
                <w:lang w:val="sr-Cyrl-CS"/>
              </w:rPr>
            </w:pPr>
          </w:p>
        </w:tc>
      </w:tr>
      <w:tr w:rsidR="006D662B" w:rsidRPr="0007074F" w14:paraId="68EF0EC6" w14:textId="77777777" w:rsidTr="000D3688">
        <w:trPr>
          <w:trHeight w:val="281"/>
          <w:jc w:val="center"/>
        </w:trPr>
        <w:tc>
          <w:tcPr>
            <w:tcW w:w="2590" w:type="pct"/>
            <w:noWrap/>
            <w:vAlign w:val="center"/>
            <w:hideMark/>
          </w:tcPr>
          <w:p w14:paraId="287CBE28"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Лична потрошња</w:t>
            </w:r>
          </w:p>
        </w:tc>
        <w:tc>
          <w:tcPr>
            <w:tcW w:w="603" w:type="pct"/>
            <w:tcBorders>
              <w:top w:val="nil"/>
              <w:left w:val="nil"/>
              <w:bottom w:val="nil"/>
              <w:right w:val="nil"/>
            </w:tcBorders>
            <w:shd w:val="clear" w:color="auto" w:fill="auto"/>
            <w:noWrap/>
            <w:vAlign w:val="center"/>
          </w:tcPr>
          <w:p w14:paraId="5497D65A" w14:textId="77777777" w:rsidR="006D662B" w:rsidRPr="0007074F" w:rsidRDefault="006D662B" w:rsidP="000D3688">
            <w:pPr>
              <w:jc w:val="center"/>
              <w:rPr>
                <w:color w:val="002060"/>
                <w:sz w:val="18"/>
                <w:lang w:val="sr-Cyrl-CS"/>
              </w:rPr>
            </w:pPr>
            <w:r w:rsidRPr="0007074F">
              <w:rPr>
                <w:color w:val="002060"/>
                <w:sz w:val="18"/>
                <w:lang w:val="sr-Cyrl-CS"/>
              </w:rPr>
              <w:t>2,2</w:t>
            </w:r>
          </w:p>
        </w:tc>
        <w:tc>
          <w:tcPr>
            <w:tcW w:w="604" w:type="pct"/>
            <w:tcBorders>
              <w:top w:val="nil"/>
              <w:left w:val="nil"/>
              <w:bottom w:val="nil"/>
              <w:right w:val="nil"/>
            </w:tcBorders>
            <w:shd w:val="clear" w:color="auto" w:fill="auto"/>
            <w:noWrap/>
            <w:vAlign w:val="center"/>
          </w:tcPr>
          <w:p w14:paraId="60072205" w14:textId="77777777" w:rsidR="006D662B" w:rsidRPr="0007074F" w:rsidRDefault="006D662B" w:rsidP="000D3688">
            <w:pPr>
              <w:jc w:val="center"/>
              <w:rPr>
                <w:color w:val="002060"/>
                <w:sz w:val="18"/>
                <w:lang w:val="sr-Cyrl-CS"/>
              </w:rPr>
            </w:pPr>
            <w:r w:rsidRPr="0007074F">
              <w:rPr>
                <w:color w:val="002060"/>
                <w:sz w:val="18"/>
                <w:lang w:val="sr-Cyrl-CS"/>
              </w:rPr>
              <w:t>3,5</w:t>
            </w:r>
          </w:p>
        </w:tc>
        <w:tc>
          <w:tcPr>
            <w:tcW w:w="603" w:type="pct"/>
            <w:tcBorders>
              <w:top w:val="nil"/>
              <w:left w:val="nil"/>
              <w:bottom w:val="nil"/>
              <w:right w:val="nil"/>
            </w:tcBorders>
            <w:shd w:val="clear" w:color="auto" w:fill="auto"/>
            <w:noWrap/>
            <w:vAlign w:val="center"/>
          </w:tcPr>
          <w:p w14:paraId="0CB1062B" w14:textId="77777777" w:rsidR="006D662B" w:rsidRPr="0007074F" w:rsidRDefault="006D662B" w:rsidP="000D3688">
            <w:pPr>
              <w:jc w:val="center"/>
              <w:rPr>
                <w:color w:val="002060"/>
                <w:sz w:val="18"/>
                <w:lang w:val="sr-Cyrl-CS"/>
              </w:rPr>
            </w:pPr>
            <w:r w:rsidRPr="0007074F">
              <w:rPr>
                <w:color w:val="002060"/>
                <w:sz w:val="18"/>
                <w:lang w:val="sr-Cyrl-CS"/>
              </w:rPr>
              <w:t>3,6</w:t>
            </w:r>
          </w:p>
        </w:tc>
        <w:tc>
          <w:tcPr>
            <w:tcW w:w="600" w:type="pct"/>
            <w:tcBorders>
              <w:top w:val="nil"/>
              <w:left w:val="nil"/>
              <w:bottom w:val="nil"/>
              <w:right w:val="nil"/>
            </w:tcBorders>
            <w:shd w:val="clear" w:color="auto" w:fill="auto"/>
            <w:noWrap/>
            <w:vAlign w:val="center"/>
          </w:tcPr>
          <w:p w14:paraId="7E4645C2" w14:textId="77777777" w:rsidR="006D662B" w:rsidRPr="0007074F" w:rsidRDefault="006D662B" w:rsidP="000D3688">
            <w:pPr>
              <w:jc w:val="center"/>
              <w:rPr>
                <w:color w:val="002060"/>
                <w:sz w:val="18"/>
                <w:lang w:val="sr-Cyrl-CS"/>
              </w:rPr>
            </w:pPr>
            <w:r w:rsidRPr="0007074F">
              <w:rPr>
                <w:color w:val="002060"/>
                <w:sz w:val="18"/>
                <w:lang w:val="sr-Cyrl-CS"/>
              </w:rPr>
              <w:t>3,7</w:t>
            </w:r>
          </w:p>
        </w:tc>
      </w:tr>
      <w:tr w:rsidR="006D662B" w:rsidRPr="0007074F" w14:paraId="45F37925" w14:textId="77777777" w:rsidTr="000D3688">
        <w:trPr>
          <w:trHeight w:val="281"/>
          <w:jc w:val="center"/>
        </w:trPr>
        <w:tc>
          <w:tcPr>
            <w:tcW w:w="2590" w:type="pct"/>
            <w:noWrap/>
            <w:vAlign w:val="center"/>
            <w:hideMark/>
          </w:tcPr>
          <w:p w14:paraId="36169FF7"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Државна потрошња</w:t>
            </w:r>
          </w:p>
        </w:tc>
        <w:tc>
          <w:tcPr>
            <w:tcW w:w="603" w:type="pct"/>
            <w:tcBorders>
              <w:top w:val="nil"/>
              <w:left w:val="nil"/>
              <w:bottom w:val="nil"/>
              <w:right w:val="nil"/>
            </w:tcBorders>
            <w:shd w:val="clear" w:color="auto" w:fill="auto"/>
            <w:noWrap/>
            <w:vAlign w:val="center"/>
          </w:tcPr>
          <w:p w14:paraId="1D039F00" w14:textId="77777777" w:rsidR="006D662B" w:rsidRPr="0007074F" w:rsidRDefault="006D662B" w:rsidP="000D3688">
            <w:pPr>
              <w:jc w:val="center"/>
              <w:rPr>
                <w:color w:val="002060"/>
                <w:sz w:val="18"/>
                <w:lang w:val="sr-Cyrl-CS"/>
              </w:rPr>
            </w:pPr>
            <w:r w:rsidRPr="0007074F">
              <w:rPr>
                <w:color w:val="002060"/>
                <w:sz w:val="18"/>
                <w:lang w:val="sr-Cyrl-CS"/>
              </w:rPr>
              <w:t>-1,5</w:t>
            </w:r>
          </w:p>
        </w:tc>
        <w:tc>
          <w:tcPr>
            <w:tcW w:w="604" w:type="pct"/>
            <w:tcBorders>
              <w:top w:val="nil"/>
              <w:left w:val="nil"/>
              <w:bottom w:val="nil"/>
              <w:right w:val="nil"/>
            </w:tcBorders>
            <w:shd w:val="clear" w:color="auto" w:fill="auto"/>
            <w:noWrap/>
            <w:vAlign w:val="center"/>
          </w:tcPr>
          <w:p w14:paraId="2EF7756E" w14:textId="77777777" w:rsidR="006D662B" w:rsidRPr="0007074F" w:rsidRDefault="006D662B" w:rsidP="000D3688">
            <w:pPr>
              <w:jc w:val="center"/>
              <w:rPr>
                <w:color w:val="002060"/>
                <w:sz w:val="18"/>
                <w:lang w:val="sr-Cyrl-CS"/>
              </w:rPr>
            </w:pPr>
            <w:r w:rsidRPr="0007074F">
              <w:rPr>
                <w:color w:val="002060"/>
                <w:sz w:val="18"/>
                <w:lang w:val="sr-Cyrl-CS"/>
              </w:rPr>
              <w:t>1,0</w:t>
            </w:r>
          </w:p>
        </w:tc>
        <w:tc>
          <w:tcPr>
            <w:tcW w:w="603" w:type="pct"/>
            <w:tcBorders>
              <w:top w:val="nil"/>
              <w:left w:val="nil"/>
              <w:bottom w:val="nil"/>
              <w:right w:val="nil"/>
            </w:tcBorders>
            <w:shd w:val="clear" w:color="auto" w:fill="auto"/>
            <w:noWrap/>
            <w:vAlign w:val="center"/>
          </w:tcPr>
          <w:p w14:paraId="6660B9CD" w14:textId="77777777" w:rsidR="006D662B" w:rsidRPr="0007074F" w:rsidRDefault="006D662B" w:rsidP="000D3688">
            <w:pPr>
              <w:jc w:val="center"/>
              <w:rPr>
                <w:color w:val="002060"/>
                <w:sz w:val="18"/>
                <w:lang w:val="sr-Cyrl-CS"/>
              </w:rPr>
            </w:pPr>
            <w:r w:rsidRPr="0007074F">
              <w:rPr>
                <w:color w:val="002060"/>
                <w:sz w:val="18"/>
                <w:lang w:val="sr-Cyrl-CS"/>
              </w:rPr>
              <w:t>0,8</w:t>
            </w:r>
          </w:p>
        </w:tc>
        <w:tc>
          <w:tcPr>
            <w:tcW w:w="600" w:type="pct"/>
            <w:tcBorders>
              <w:top w:val="nil"/>
              <w:left w:val="nil"/>
              <w:bottom w:val="nil"/>
              <w:right w:val="nil"/>
            </w:tcBorders>
            <w:shd w:val="clear" w:color="auto" w:fill="auto"/>
            <w:noWrap/>
            <w:vAlign w:val="center"/>
          </w:tcPr>
          <w:p w14:paraId="27C4DA32" w14:textId="77777777" w:rsidR="006D662B" w:rsidRPr="0007074F" w:rsidRDefault="006D662B" w:rsidP="000D3688">
            <w:pPr>
              <w:jc w:val="center"/>
              <w:rPr>
                <w:color w:val="002060"/>
                <w:sz w:val="18"/>
                <w:lang w:val="sr-Cyrl-CS"/>
              </w:rPr>
            </w:pPr>
            <w:r w:rsidRPr="0007074F">
              <w:rPr>
                <w:color w:val="002060"/>
                <w:sz w:val="18"/>
                <w:lang w:val="sr-Cyrl-CS"/>
              </w:rPr>
              <w:t>1,0</w:t>
            </w:r>
          </w:p>
        </w:tc>
      </w:tr>
      <w:tr w:rsidR="006D662B" w:rsidRPr="0007074F" w14:paraId="32046F97" w14:textId="77777777" w:rsidTr="000D3688">
        <w:trPr>
          <w:trHeight w:val="281"/>
          <w:jc w:val="center"/>
        </w:trPr>
        <w:tc>
          <w:tcPr>
            <w:tcW w:w="2590" w:type="pct"/>
            <w:noWrap/>
            <w:vAlign w:val="center"/>
            <w:hideMark/>
          </w:tcPr>
          <w:p w14:paraId="287B5723"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Инвестиције у основна средства</w:t>
            </w:r>
          </w:p>
        </w:tc>
        <w:tc>
          <w:tcPr>
            <w:tcW w:w="603" w:type="pct"/>
            <w:tcBorders>
              <w:top w:val="nil"/>
              <w:left w:val="nil"/>
              <w:bottom w:val="nil"/>
              <w:right w:val="nil"/>
            </w:tcBorders>
            <w:shd w:val="clear" w:color="auto" w:fill="auto"/>
            <w:noWrap/>
            <w:vAlign w:val="center"/>
          </w:tcPr>
          <w:p w14:paraId="1ECA9343" w14:textId="77777777" w:rsidR="006D662B" w:rsidRPr="0007074F" w:rsidRDefault="006D662B" w:rsidP="000D3688">
            <w:pPr>
              <w:jc w:val="center"/>
              <w:rPr>
                <w:color w:val="002060"/>
                <w:sz w:val="18"/>
                <w:lang w:val="sr-Cyrl-CS"/>
              </w:rPr>
            </w:pPr>
            <w:r w:rsidRPr="0007074F">
              <w:rPr>
                <w:color w:val="002060"/>
                <w:sz w:val="18"/>
                <w:lang w:val="sr-Cyrl-CS"/>
              </w:rPr>
              <w:t>2,6</w:t>
            </w:r>
          </w:p>
        </w:tc>
        <w:tc>
          <w:tcPr>
            <w:tcW w:w="604" w:type="pct"/>
            <w:tcBorders>
              <w:top w:val="nil"/>
              <w:left w:val="nil"/>
              <w:bottom w:val="nil"/>
              <w:right w:val="nil"/>
            </w:tcBorders>
            <w:shd w:val="clear" w:color="auto" w:fill="auto"/>
            <w:noWrap/>
            <w:vAlign w:val="center"/>
          </w:tcPr>
          <w:p w14:paraId="5C8037FF" w14:textId="77777777" w:rsidR="006D662B" w:rsidRPr="0007074F" w:rsidRDefault="006D662B" w:rsidP="000D3688">
            <w:pPr>
              <w:jc w:val="center"/>
              <w:rPr>
                <w:color w:val="002060"/>
                <w:sz w:val="18"/>
                <w:lang w:val="sr-Cyrl-CS"/>
              </w:rPr>
            </w:pPr>
            <w:r w:rsidRPr="0007074F">
              <w:rPr>
                <w:color w:val="002060"/>
                <w:sz w:val="18"/>
                <w:lang w:val="sr-Cyrl-CS"/>
              </w:rPr>
              <w:t>3,2</w:t>
            </w:r>
          </w:p>
        </w:tc>
        <w:tc>
          <w:tcPr>
            <w:tcW w:w="603" w:type="pct"/>
            <w:tcBorders>
              <w:top w:val="nil"/>
              <w:left w:val="nil"/>
              <w:bottom w:val="nil"/>
              <w:right w:val="nil"/>
            </w:tcBorders>
            <w:shd w:val="clear" w:color="auto" w:fill="auto"/>
            <w:noWrap/>
            <w:vAlign w:val="center"/>
          </w:tcPr>
          <w:p w14:paraId="3DF1167E" w14:textId="77777777" w:rsidR="006D662B" w:rsidRPr="0007074F" w:rsidRDefault="006D662B" w:rsidP="000D3688">
            <w:pPr>
              <w:jc w:val="center"/>
              <w:rPr>
                <w:color w:val="002060"/>
                <w:sz w:val="18"/>
                <w:lang w:val="sr-Cyrl-CS"/>
              </w:rPr>
            </w:pPr>
            <w:r w:rsidRPr="0007074F">
              <w:rPr>
                <w:color w:val="002060"/>
                <w:sz w:val="18"/>
                <w:lang w:val="sr-Cyrl-CS"/>
              </w:rPr>
              <w:t>5,8</w:t>
            </w:r>
          </w:p>
        </w:tc>
        <w:tc>
          <w:tcPr>
            <w:tcW w:w="600" w:type="pct"/>
            <w:tcBorders>
              <w:top w:val="nil"/>
              <w:left w:val="nil"/>
              <w:bottom w:val="nil"/>
              <w:right w:val="nil"/>
            </w:tcBorders>
            <w:shd w:val="clear" w:color="auto" w:fill="auto"/>
            <w:noWrap/>
            <w:vAlign w:val="center"/>
          </w:tcPr>
          <w:p w14:paraId="64F8A5FB" w14:textId="77777777" w:rsidR="006D662B" w:rsidRPr="0007074F" w:rsidRDefault="006D662B" w:rsidP="000D3688">
            <w:pPr>
              <w:jc w:val="center"/>
              <w:rPr>
                <w:color w:val="002060"/>
                <w:sz w:val="18"/>
                <w:lang w:val="sr-Cyrl-CS"/>
              </w:rPr>
            </w:pPr>
            <w:r w:rsidRPr="0007074F">
              <w:rPr>
                <w:color w:val="002060"/>
                <w:sz w:val="18"/>
                <w:lang w:val="sr-Cyrl-CS"/>
              </w:rPr>
              <w:t>6,8</w:t>
            </w:r>
          </w:p>
        </w:tc>
      </w:tr>
      <w:tr w:rsidR="006D662B" w:rsidRPr="0007074F" w14:paraId="0BAC80EA" w14:textId="77777777" w:rsidTr="000D3688">
        <w:trPr>
          <w:trHeight w:val="281"/>
          <w:jc w:val="center"/>
        </w:trPr>
        <w:tc>
          <w:tcPr>
            <w:tcW w:w="2590" w:type="pct"/>
            <w:noWrap/>
            <w:vAlign w:val="center"/>
            <w:hideMark/>
          </w:tcPr>
          <w:p w14:paraId="6F39D2C9"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Извоз робе и услуга</w:t>
            </w:r>
          </w:p>
        </w:tc>
        <w:tc>
          <w:tcPr>
            <w:tcW w:w="603" w:type="pct"/>
            <w:tcBorders>
              <w:top w:val="nil"/>
              <w:left w:val="nil"/>
              <w:bottom w:val="nil"/>
              <w:right w:val="nil"/>
            </w:tcBorders>
            <w:shd w:val="clear" w:color="auto" w:fill="auto"/>
            <w:noWrap/>
            <w:vAlign w:val="center"/>
          </w:tcPr>
          <w:p w14:paraId="18586E8B" w14:textId="77777777" w:rsidR="006D662B" w:rsidRPr="0007074F" w:rsidRDefault="006D662B" w:rsidP="000D3688">
            <w:pPr>
              <w:jc w:val="center"/>
              <w:rPr>
                <w:color w:val="002060"/>
                <w:sz w:val="18"/>
                <w:lang w:val="sr-Cyrl-CS"/>
              </w:rPr>
            </w:pPr>
            <w:r w:rsidRPr="0007074F">
              <w:rPr>
                <w:color w:val="002060"/>
                <w:sz w:val="18"/>
                <w:lang w:val="sr-Cyrl-CS"/>
              </w:rPr>
              <w:t>5,1</w:t>
            </w:r>
          </w:p>
        </w:tc>
        <w:tc>
          <w:tcPr>
            <w:tcW w:w="604" w:type="pct"/>
            <w:tcBorders>
              <w:top w:val="nil"/>
              <w:left w:val="nil"/>
              <w:bottom w:val="nil"/>
              <w:right w:val="nil"/>
            </w:tcBorders>
            <w:shd w:val="clear" w:color="auto" w:fill="auto"/>
            <w:noWrap/>
            <w:vAlign w:val="center"/>
          </w:tcPr>
          <w:p w14:paraId="1395985A" w14:textId="77777777" w:rsidR="006D662B" w:rsidRPr="0007074F" w:rsidRDefault="006D662B" w:rsidP="000D3688">
            <w:pPr>
              <w:jc w:val="center"/>
              <w:rPr>
                <w:color w:val="002060"/>
                <w:sz w:val="18"/>
                <w:lang w:val="sr-Cyrl-CS"/>
              </w:rPr>
            </w:pPr>
            <w:r w:rsidRPr="0007074F">
              <w:rPr>
                <w:color w:val="002060"/>
                <w:sz w:val="18"/>
                <w:lang w:val="sr-Cyrl-CS"/>
              </w:rPr>
              <w:t>8,6</w:t>
            </w:r>
          </w:p>
        </w:tc>
        <w:tc>
          <w:tcPr>
            <w:tcW w:w="603" w:type="pct"/>
            <w:tcBorders>
              <w:top w:val="nil"/>
              <w:left w:val="nil"/>
              <w:bottom w:val="nil"/>
              <w:right w:val="nil"/>
            </w:tcBorders>
            <w:shd w:val="clear" w:color="auto" w:fill="auto"/>
            <w:noWrap/>
            <w:vAlign w:val="center"/>
          </w:tcPr>
          <w:p w14:paraId="6D025D9B" w14:textId="77777777" w:rsidR="006D662B" w:rsidRPr="0007074F" w:rsidRDefault="006D662B" w:rsidP="000D3688">
            <w:pPr>
              <w:jc w:val="center"/>
              <w:rPr>
                <w:color w:val="002060"/>
                <w:sz w:val="18"/>
                <w:lang w:val="sr-Cyrl-CS"/>
              </w:rPr>
            </w:pPr>
            <w:r w:rsidRPr="0007074F">
              <w:rPr>
                <w:color w:val="002060"/>
                <w:sz w:val="18"/>
                <w:lang w:val="sr-Cyrl-CS"/>
              </w:rPr>
              <w:t>10,6</w:t>
            </w:r>
          </w:p>
        </w:tc>
        <w:tc>
          <w:tcPr>
            <w:tcW w:w="600" w:type="pct"/>
            <w:tcBorders>
              <w:top w:val="nil"/>
              <w:left w:val="nil"/>
              <w:bottom w:val="nil"/>
              <w:right w:val="nil"/>
            </w:tcBorders>
            <w:shd w:val="clear" w:color="auto" w:fill="auto"/>
            <w:noWrap/>
            <w:vAlign w:val="center"/>
          </w:tcPr>
          <w:p w14:paraId="0ECDE3E5" w14:textId="77777777" w:rsidR="006D662B" w:rsidRPr="0007074F" w:rsidRDefault="006D662B" w:rsidP="000D3688">
            <w:pPr>
              <w:jc w:val="center"/>
              <w:rPr>
                <w:color w:val="002060"/>
                <w:sz w:val="18"/>
                <w:lang w:val="sr-Cyrl-CS"/>
              </w:rPr>
            </w:pPr>
            <w:r w:rsidRPr="0007074F">
              <w:rPr>
                <w:color w:val="002060"/>
                <w:sz w:val="18"/>
                <w:lang w:val="sr-Cyrl-CS"/>
              </w:rPr>
              <w:t>11,8</w:t>
            </w:r>
          </w:p>
        </w:tc>
      </w:tr>
      <w:tr w:rsidR="006D662B" w:rsidRPr="0007074F" w14:paraId="22F5E6F6" w14:textId="77777777" w:rsidTr="000D3688">
        <w:trPr>
          <w:trHeight w:val="281"/>
          <w:jc w:val="center"/>
        </w:trPr>
        <w:tc>
          <w:tcPr>
            <w:tcW w:w="2590" w:type="pct"/>
            <w:noWrap/>
            <w:vAlign w:val="center"/>
          </w:tcPr>
          <w:p w14:paraId="73DA57BD"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bCs/>
                <w:color w:val="002060"/>
                <w:sz w:val="18"/>
                <w:szCs w:val="18"/>
                <w:lang w:val="sr-Cyrl-CS"/>
              </w:rPr>
              <w:t>Увоз робе и услуга</w:t>
            </w:r>
          </w:p>
        </w:tc>
        <w:tc>
          <w:tcPr>
            <w:tcW w:w="603" w:type="pct"/>
            <w:tcBorders>
              <w:top w:val="nil"/>
              <w:left w:val="nil"/>
              <w:bottom w:val="nil"/>
              <w:right w:val="nil"/>
            </w:tcBorders>
            <w:shd w:val="clear" w:color="auto" w:fill="auto"/>
            <w:noWrap/>
            <w:vAlign w:val="center"/>
          </w:tcPr>
          <w:p w14:paraId="1A64D97C" w14:textId="77777777" w:rsidR="006D662B" w:rsidRPr="0007074F" w:rsidRDefault="006D662B" w:rsidP="000D3688">
            <w:pPr>
              <w:jc w:val="center"/>
              <w:rPr>
                <w:color w:val="002060"/>
                <w:sz w:val="18"/>
                <w:lang w:val="sr-Cyrl-CS"/>
              </w:rPr>
            </w:pPr>
            <w:r w:rsidRPr="0007074F">
              <w:rPr>
                <w:color w:val="002060"/>
                <w:sz w:val="18"/>
                <w:lang w:val="sr-Cyrl-CS"/>
              </w:rPr>
              <w:t>3,8</w:t>
            </w:r>
          </w:p>
        </w:tc>
        <w:tc>
          <w:tcPr>
            <w:tcW w:w="604" w:type="pct"/>
            <w:tcBorders>
              <w:top w:val="nil"/>
              <w:left w:val="nil"/>
              <w:bottom w:val="nil"/>
              <w:right w:val="nil"/>
            </w:tcBorders>
            <w:shd w:val="clear" w:color="auto" w:fill="auto"/>
            <w:noWrap/>
            <w:vAlign w:val="center"/>
          </w:tcPr>
          <w:p w14:paraId="29F82C36" w14:textId="77777777" w:rsidR="006D662B" w:rsidRPr="0007074F" w:rsidRDefault="006D662B" w:rsidP="000D3688">
            <w:pPr>
              <w:jc w:val="center"/>
              <w:rPr>
                <w:color w:val="002060"/>
                <w:sz w:val="18"/>
                <w:lang w:val="sr-Cyrl-CS"/>
              </w:rPr>
            </w:pPr>
            <w:r w:rsidRPr="0007074F">
              <w:rPr>
                <w:color w:val="002060"/>
                <w:sz w:val="18"/>
                <w:lang w:val="sr-Cyrl-CS"/>
              </w:rPr>
              <w:t>7,2</w:t>
            </w:r>
          </w:p>
        </w:tc>
        <w:tc>
          <w:tcPr>
            <w:tcW w:w="603" w:type="pct"/>
            <w:tcBorders>
              <w:top w:val="nil"/>
              <w:left w:val="nil"/>
              <w:bottom w:val="nil"/>
              <w:right w:val="nil"/>
            </w:tcBorders>
            <w:shd w:val="clear" w:color="auto" w:fill="auto"/>
            <w:noWrap/>
            <w:vAlign w:val="center"/>
          </w:tcPr>
          <w:p w14:paraId="30C4D601" w14:textId="77777777" w:rsidR="006D662B" w:rsidRPr="0007074F" w:rsidRDefault="006D662B" w:rsidP="000D3688">
            <w:pPr>
              <w:jc w:val="center"/>
              <w:rPr>
                <w:color w:val="002060"/>
                <w:sz w:val="18"/>
                <w:lang w:val="sr-Cyrl-CS"/>
              </w:rPr>
            </w:pPr>
            <w:r w:rsidRPr="0007074F">
              <w:rPr>
                <w:color w:val="002060"/>
                <w:sz w:val="18"/>
                <w:lang w:val="sr-Cyrl-CS"/>
              </w:rPr>
              <w:t>8,9</w:t>
            </w:r>
          </w:p>
        </w:tc>
        <w:tc>
          <w:tcPr>
            <w:tcW w:w="600" w:type="pct"/>
            <w:tcBorders>
              <w:top w:val="nil"/>
              <w:left w:val="nil"/>
              <w:bottom w:val="nil"/>
              <w:right w:val="nil"/>
            </w:tcBorders>
            <w:shd w:val="clear" w:color="auto" w:fill="auto"/>
            <w:noWrap/>
            <w:vAlign w:val="center"/>
          </w:tcPr>
          <w:p w14:paraId="0A52BBA9" w14:textId="77777777" w:rsidR="006D662B" w:rsidRPr="0007074F" w:rsidRDefault="006D662B" w:rsidP="000D3688">
            <w:pPr>
              <w:jc w:val="center"/>
              <w:rPr>
                <w:color w:val="002060"/>
                <w:sz w:val="18"/>
                <w:lang w:val="sr-Cyrl-CS"/>
              </w:rPr>
            </w:pPr>
            <w:r w:rsidRPr="0007074F">
              <w:rPr>
                <w:color w:val="002060"/>
                <w:sz w:val="18"/>
                <w:lang w:val="sr-Cyrl-CS"/>
              </w:rPr>
              <w:t>10,0</w:t>
            </w:r>
          </w:p>
        </w:tc>
      </w:tr>
      <w:tr w:rsidR="006D662B" w:rsidRPr="0007074F" w14:paraId="1F9D462E" w14:textId="77777777" w:rsidTr="000D3688">
        <w:trPr>
          <w:trHeight w:val="281"/>
          <w:jc w:val="center"/>
        </w:trPr>
        <w:tc>
          <w:tcPr>
            <w:tcW w:w="2590" w:type="pct"/>
            <w:shd w:val="clear" w:color="auto" w:fill="E7E6E6" w:themeFill="background2"/>
            <w:noWrap/>
            <w:vAlign w:val="center"/>
            <w:hideMark/>
          </w:tcPr>
          <w:p w14:paraId="4EAA376B" w14:textId="77777777" w:rsidR="006D662B" w:rsidRPr="0007074F" w:rsidRDefault="006D662B" w:rsidP="00953528">
            <w:pPr>
              <w:jc w:val="left"/>
              <w:rPr>
                <w:rFonts w:eastAsia="Calibri" w:cstheme="minorHAnsi"/>
                <w:bCs/>
                <w:iCs/>
                <w:color w:val="002060"/>
                <w:sz w:val="18"/>
                <w:szCs w:val="18"/>
                <w:lang w:val="sr-Cyrl-CS"/>
              </w:rPr>
            </w:pPr>
            <w:r w:rsidRPr="0007074F">
              <w:rPr>
                <w:rFonts w:eastAsia="Calibri" w:cstheme="minorHAnsi"/>
                <w:iCs/>
                <w:color w:val="002060"/>
                <w:sz w:val="18"/>
                <w:szCs w:val="18"/>
                <w:lang w:val="sr-Cyrl-CS"/>
              </w:rPr>
              <w:t>Допринос расту БДП</w:t>
            </w:r>
            <w:r w:rsidRPr="0007074F">
              <w:rPr>
                <w:rFonts w:eastAsia="Calibri" w:cstheme="minorHAnsi"/>
                <w:bCs/>
                <w:iCs/>
                <w:color w:val="002060"/>
                <w:sz w:val="18"/>
                <w:szCs w:val="18"/>
                <w:lang w:val="sr-Cyrl-CS"/>
              </w:rPr>
              <w:t>, процентни поени</w:t>
            </w:r>
          </w:p>
        </w:tc>
        <w:tc>
          <w:tcPr>
            <w:tcW w:w="603" w:type="pct"/>
            <w:shd w:val="clear" w:color="auto" w:fill="E7E6E6" w:themeFill="background2"/>
            <w:noWrap/>
            <w:vAlign w:val="center"/>
          </w:tcPr>
          <w:p w14:paraId="731CEBB8" w14:textId="77777777" w:rsidR="006D662B" w:rsidRPr="0007074F" w:rsidRDefault="006D662B" w:rsidP="000D3688">
            <w:pPr>
              <w:jc w:val="center"/>
              <w:rPr>
                <w:rFonts w:eastAsia="Calibri" w:cstheme="minorHAnsi"/>
                <w:iCs/>
                <w:color w:val="002060"/>
                <w:sz w:val="18"/>
                <w:szCs w:val="18"/>
                <w:lang w:val="sr-Cyrl-CS"/>
              </w:rPr>
            </w:pPr>
          </w:p>
        </w:tc>
        <w:tc>
          <w:tcPr>
            <w:tcW w:w="604" w:type="pct"/>
            <w:shd w:val="clear" w:color="auto" w:fill="E7E6E6" w:themeFill="background2"/>
            <w:noWrap/>
            <w:vAlign w:val="center"/>
          </w:tcPr>
          <w:p w14:paraId="378BE89B" w14:textId="77777777" w:rsidR="006D662B" w:rsidRPr="0007074F" w:rsidRDefault="006D662B" w:rsidP="000D3688">
            <w:pPr>
              <w:jc w:val="center"/>
              <w:rPr>
                <w:rFonts w:eastAsia="Calibri" w:cstheme="minorHAnsi"/>
                <w:color w:val="002060"/>
                <w:sz w:val="18"/>
                <w:szCs w:val="18"/>
                <w:lang w:val="sr-Cyrl-CS"/>
              </w:rPr>
            </w:pPr>
          </w:p>
        </w:tc>
        <w:tc>
          <w:tcPr>
            <w:tcW w:w="603" w:type="pct"/>
            <w:shd w:val="clear" w:color="auto" w:fill="E7E6E6" w:themeFill="background2"/>
            <w:noWrap/>
            <w:vAlign w:val="center"/>
          </w:tcPr>
          <w:p w14:paraId="0D675868" w14:textId="77777777" w:rsidR="006D662B" w:rsidRPr="0007074F" w:rsidRDefault="006D662B" w:rsidP="000D3688">
            <w:pPr>
              <w:jc w:val="center"/>
              <w:rPr>
                <w:rFonts w:eastAsia="Calibri" w:cstheme="minorHAnsi"/>
                <w:color w:val="002060"/>
                <w:sz w:val="18"/>
                <w:szCs w:val="18"/>
                <w:lang w:val="sr-Cyrl-CS"/>
              </w:rPr>
            </w:pPr>
          </w:p>
        </w:tc>
        <w:tc>
          <w:tcPr>
            <w:tcW w:w="600" w:type="pct"/>
            <w:shd w:val="clear" w:color="auto" w:fill="E7E6E6" w:themeFill="background2"/>
            <w:noWrap/>
            <w:vAlign w:val="center"/>
          </w:tcPr>
          <w:p w14:paraId="50B735F1" w14:textId="77777777" w:rsidR="006D662B" w:rsidRPr="0007074F" w:rsidRDefault="006D662B" w:rsidP="000D3688">
            <w:pPr>
              <w:jc w:val="center"/>
              <w:rPr>
                <w:rFonts w:eastAsia="Calibri" w:cstheme="minorHAnsi"/>
                <w:color w:val="002060"/>
                <w:sz w:val="18"/>
                <w:szCs w:val="18"/>
                <w:lang w:val="sr-Cyrl-CS"/>
              </w:rPr>
            </w:pPr>
          </w:p>
        </w:tc>
      </w:tr>
      <w:tr w:rsidR="006D662B" w:rsidRPr="0007074F" w14:paraId="762936A2" w14:textId="77777777" w:rsidTr="000D3688">
        <w:trPr>
          <w:trHeight w:val="281"/>
          <w:jc w:val="center"/>
        </w:trPr>
        <w:tc>
          <w:tcPr>
            <w:tcW w:w="2590" w:type="pct"/>
            <w:noWrap/>
            <w:vAlign w:val="center"/>
            <w:hideMark/>
          </w:tcPr>
          <w:p w14:paraId="6F9A0E34"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Домаћа тражња</w:t>
            </w:r>
          </w:p>
        </w:tc>
        <w:tc>
          <w:tcPr>
            <w:tcW w:w="603" w:type="pct"/>
            <w:tcBorders>
              <w:top w:val="nil"/>
              <w:left w:val="nil"/>
              <w:bottom w:val="nil"/>
              <w:right w:val="nil"/>
            </w:tcBorders>
            <w:shd w:val="clear" w:color="auto" w:fill="auto"/>
            <w:noWrap/>
            <w:vAlign w:val="center"/>
          </w:tcPr>
          <w:p w14:paraId="041FC347" w14:textId="77777777" w:rsidR="006D662B" w:rsidRPr="0007074F" w:rsidRDefault="006D662B" w:rsidP="000D3688">
            <w:pPr>
              <w:jc w:val="center"/>
              <w:rPr>
                <w:color w:val="002060"/>
                <w:sz w:val="18"/>
                <w:lang w:val="sr-Cyrl-CS"/>
              </w:rPr>
            </w:pPr>
            <w:r w:rsidRPr="0007074F">
              <w:rPr>
                <w:color w:val="002060"/>
                <w:sz w:val="18"/>
                <w:lang w:val="sr-Cyrl-CS"/>
              </w:rPr>
              <w:t>2,0</w:t>
            </w:r>
          </w:p>
        </w:tc>
        <w:tc>
          <w:tcPr>
            <w:tcW w:w="604" w:type="pct"/>
            <w:tcBorders>
              <w:top w:val="nil"/>
              <w:left w:val="nil"/>
              <w:bottom w:val="nil"/>
              <w:right w:val="nil"/>
            </w:tcBorders>
            <w:shd w:val="clear" w:color="auto" w:fill="auto"/>
            <w:noWrap/>
            <w:vAlign w:val="center"/>
          </w:tcPr>
          <w:p w14:paraId="51931AF0" w14:textId="77777777" w:rsidR="006D662B" w:rsidRPr="0007074F" w:rsidRDefault="006D662B" w:rsidP="000D3688">
            <w:pPr>
              <w:jc w:val="center"/>
              <w:rPr>
                <w:color w:val="002060"/>
                <w:sz w:val="18"/>
                <w:lang w:val="sr-Cyrl-CS"/>
              </w:rPr>
            </w:pPr>
            <w:r w:rsidRPr="0007074F">
              <w:rPr>
                <w:color w:val="002060"/>
                <w:sz w:val="18"/>
                <w:lang w:val="sr-Cyrl-CS"/>
              </w:rPr>
              <w:t>3,4</w:t>
            </w:r>
          </w:p>
        </w:tc>
        <w:tc>
          <w:tcPr>
            <w:tcW w:w="603" w:type="pct"/>
            <w:tcBorders>
              <w:top w:val="nil"/>
              <w:left w:val="nil"/>
              <w:bottom w:val="nil"/>
              <w:right w:val="nil"/>
            </w:tcBorders>
            <w:shd w:val="clear" w:color="auto" w:fill="auto"/>
            <w:noWrap/>
            <w:vAlign w:val="center"/>
          </w:tcPr>
          <w:p w14:paraId="137D401B" w14:textId="77777777" w:rsidR="006D662B" w:rsidRPr="0007074F" w:rsidRDefault="006D662B" w:rsidP="000D3688">
            <w:pPr>
              <w:jc w:val="center"/>
              <w:rPr>
                <w:color w:val="002060"/>
                <w:sz w:val="18"/>
                <w:lang w:val="sr-Cyrl-CS"/>
              </w:rPr>
            </w:pPr>
            <w:r w:rsidRPr="0007074F">
              <w:rPr>
                <w:color w:val="002060"/>
                <w:sz w:val="18"/>
                <w:lang w:val="sr-Cyrl-CS"/>
              </w:rPr>
              <w:t>3,8</w:t>
            </w:r>
          </w:p>
        </w:tc>
        <w:tc>
          <w:tcPr>
            <w:tcW w:w="600" w:type="pct"/>
            <w:tcBorders>
              <w:top w:val="nil"/>
              <w:left w:val="nil"/>
              <w:bottom w:val="nil"/>
              <w:right w:val="nil"/>
            </w:tcBorders>
            <w:shd w:val="clear" w:color="auto" w:fill="auto"/>
            <w:noWrap/>
            <w:vAlign w:val="center"/>
          </w:tcPr>
          <w:p w14:paraId="47111A42" w14:textId="77777777" w:rsidR="006D662B" w:rsidRPr="0007074F" w:rsidRDefault="006D662B" w:rsidP="000D3688">
            <w:pPr>
              <w:jc w:val="center"/>
              <w:rPr>
                <w:color w:val="002060"/>
                <w:sz w:val="18"/>
                <w:lang w:val="sr-Cyrl-CS"/>
              </w:rPr>
            </w:pPr>
            <w:r w:rsidRPr="0007074F">
              <w:rPr>
                <w:color w:val="002060"/>
                <w:sz w:val="18"/>
                <w:lang w:val="sr-Cyrl-CS"/>
              </w:rPr>
              <w:t>4,0</w:t>
            </w:r>
          </w:p>
        </w:tc>
      </w:tr>
      <w:tr w:rsidR="006D662B" w:rsidRPr="0007074F" w14:paraId="5748A93B" w14:textId="77777777" w:rsidTr="000D3688">
        <w:trPr>
          <w:trHeight w:val="281"/>
          <w:jc w:val="center"/>
        </w:trPr>
        <w:tc>
          <w:tcPr>
            <w:tcW w:w="2590" w:type="pct"/>
            <w:noWrap/>
            <w:vAlign w:val="center"/>
            <w:hideMark/>
          </w:tcPr>
          <w:p w14:paraId="2621CAD5"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Лична потрошња</w:t>
            </w:r>
          </w:p>
        </w:tc>
        <w:tc>
          <w:tcPr>
            <w:tcW w:w="603" w:type="pct"/>
            <w:tcBorders>
              <w:top w:val="nil"/>
              <w:left w:val="nil"/>
              <w:bottom w:val="nil"/>
              <w:right w:val="nil"/>
            </w:tcBorders>
            <w:shd w:val="clear" w:color="auto" w:fill="auto"/>
            <w:noWrap/>
            <w:vAlign w:val="center"/>
          </w:tcPr>
          <w:p w14:paraId="796F0918" w14:textId="77777777" w:rsidR="006D662B" w:rsidRPr="0007074F" w:rsidRDefault="006D662B" w:rsidP="000D3688">
            <w:pPr>
              <w:jc w:val="center"/>
              <w:rPr>
                <w:color w:val="002060"/>
                <w:sz w:val="18"/>
                <w:lang w:val="sr-Cyrl-CS"/>
              </w:rPr>
            </w:pPr>
            <w:r w:rsidRPr="0007074F">
              <w:rPr>
                <w:color w:val="002060"/>
                <w:sz w:val="18"/>
                <w:lang w:val="sr-Cyrl-CS"/>
              </w:rPr>
              <w:t>1,5</w:t>
            </w:r>
          </w:p>
        </w:tc>
        <w:tc>
          <w:tcPr>
            <w:tcW w:w="604" w:type="pct"/>
            <w:tcBorders>
              <w:top w:val="nil"/>
              <w:left w:val="nil"/>
              <w:bottom w:val="nil"/>
              <w:right w:val="nil"/>
            </w:tcBorders>
            <w:shd w:val="clear" w:color="auto" w:fill="auto"/>
            <w:noWrap/>
            <w:vAlign w:val="center"/>
          </w:tcPr>
          <w:p w14:paraId="33BCD501" w14:textId="77777777" w:rsidR="006D662B" w:rsidRPr="0007074F" w:rsidRDefault="006D662B" w:rsidP="000D3688">
            <w:pPr>
              <w:jc w:val="center"/>
              <w:rPr>
                <w:color w:val="002060"/>
                <w:sz w:val="18"/>
                <w:lang w:val="sr-Cyrl-CS"/>
              </w:rPr>
            </w:pPr>
            <w:r w:rsidRPr="0007074F">
              <w:rPr>
                <w:color w:val="002060"/>
                <w:sz w:val="18"/>
                <w:lang w:val="sr-Cyrl-CS"/>
              </w:rPr>
              <w:t>2,5</w:t>
            </w:r>
          </w:p>
        </w:tc>
        <w:tc>
          <w:tcPr>
            <w:tcW w:w="603" w:type="pct"/>
            <w:tcBorders>
              <w:top w:val="nil"/>
              <w:left w:val="nil"/>
              <w:bottom w:val="nil"/>
              <w:right w:val="nil"/>
            </w:tcBorders>
            <w:shd w:val="clear" w:color="auto" w:fill="auto"/>
            <w:noWrap/>
            <w:vAlign w:val="center"/>
          </w:tcPr>
          <w:p w14:paraId="6E4467CB" w14:textId="77777777" w:rsidR="006D662B" w:rsidRPr="0007074F" w:rsidRDefault="006D662B" w:rsidP="000D3688">
            <w:pPr>
              <w:jc w:val="center"/>
              <w:rPr>
                <w:color w:val="002060"/>
                <w:sz w:val="18"/>
                <w:lang w:val="sr-Cyrl-CS"/>
              </w:rPr>
            </w:pPr>
            <w:r w:rsidRPr="0007074F">
              <w:rPr>
                <w:color w:val="002060"/>
                <w:sz w:val="18"/>
                <w:lang w:val="sr-Cyrl-CS"/>
              </w:rPr>
              <w:t>2,5</w:t>
            </w:r>
          </w:p>
        </w:tc>
        <w:tc>
          <w:tcPr>
            <w:tcW w:w="600" w:type="pct"/>
            <w:tcBorders>
              <w:top w:val="nil"/>
              <w:left w:val="nil"/>
              <w:bottom w:val="nil"/>
              <w:right w:val="nil"/>
            </w:tcBorders>
            <w:shd w:val="clear" w:color="auto" w:fill="auto"/>
            <w:noWrap/>
            <w:vAlign w:val="center"/>
          </w:tcPr>
          <w:p w14:paraId="514ECE2E" w14:textId="77777777" w:rsidR="006D662B" w:rsidRPr="0007074F" w:rsidRDefault="006D662B" w:rsidP="000D3688">
            <w:pPr>
              <w:jc w:val="center"/>
              <w:rPr>
                <w:color w:val="002060"/>
                <w:sz w:val="18"/>
                <w:lang w:val="sr-Cyrl-CS"/>
              </w:rPr>
            </w:pPr>
            <w:r w:rsidRPr="0007074F">
              <w:rPr>
                <w:color w:val="002060"/>
                <w:sz w:val="18"/>
                <w:lang w:val="sr-Cyrl-CS"/>
              </w:rPr>
              <w:t>2,5</w:t>
            </w:r>
          </w:p>
        </w:tc>
      </w:tr>
      <w:tr w:rsidR="006D662B" w:rsidRPr="0007074F" w14:paraId="663C44A5" w14:textId="77777777" w:rsidTr="000D3688">
        <w:trPr>
          <w:trHeight w:val="281"/>
          <w:jc w:val="center"/>
        </w:trPr>
        <w:tc>
          <w:tcPr>
            <w:tcW w:w="2590" w:type="pct"/>
            <w:noWrap/>
            <w:vAlign w:val="center"/>
            <w:hideMark/>
          </w:tcPr>
          <w:p w14:paraId="19911334"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Државна потрошња</w:t>
            </w:r>
          </w:p>
        </w:tc>
        <w:tc>
          <w:tcPr>
            <w:tcW w:w="603" w:type="pct"/>
            <w:tcBorders>
              <w:top w:val="nil"/>
              <w:left w:val="nil"/>
              <w:bottom w:val="nil"/>
              <w:right w:val="nil"/>
            </w:tcBorders>
            <w:shd w:val="clear" w:color="auto" w:fill="auto"/>
            <w:noWrap/>
            <w:vAlign w:val="center"/>
          </w:tcPr>
          <w:p w14:paraId="6D9A7267" w14:textId="77777777" w:rsidR="006D662B" w:rsidRPr="0007074F" w:rsidRDefault="006D662B" w:rsidP="000D3688">
            <w:pPr>
              <w:jc w:val="center"/>
              <w:rPr>
                <w:color w:val="002060"/>
                <w:sz w:val="18"/>
                <w:lang w:val="sr-Cyrl-CS"/>
              </w:rPr>
            </w:pPr>
            <w:r w:rsidRPr="0007074F">
              <w:rPr>
                <w:color w:val="002060"/>
                <w:sz w:val="18"/>
                <w:lang w:val="sr-Cyrl-CS"/>
              </w:rPr>
              <w:t>-0,2</w:t>
            </w:r>
          </w:p>
        </w:tc>
        <w:tc>
          <w:tcPr>
            <w:tcW w:w="604" w:type="pct"/>
            <w:tcBorders>
              <w:top w:val="nil"/>
              <w:left w:val="nil"/>
              <w:bottom w:val="nil"/>
              <w:right w:val="nil"/>
            </w:tcBorders>
            <w:shd w:val="clear" w:color="auto" w:fill="auto"/>
            <w:noWrap/>
            <w:vAlign w:val="center"/>
          </w:tcPr>
          <w:p w14:paraId="5923C251" w14:textId="77777777" w:rsidR="006D662B" w:rsidRPr="0007074F" w:rsidRDefault="006D662B" w:rsidP="000D3688">
            <w:pPr>
              <w:jc w:val="center"/>
              <w:rPr>
                <w:color w:val="002060"/>
                <w:sz w:val="18"/>
                <w:lang w:val="sr-Cyrl-CS"/>
              </w:rPr>
            </w:pPr>
            <w:r w:rsidRPr="0007074F">
              <w:rPr>
                <w:color w:val="002060"/>
                <w:sz w:val="18"/>
                <w:lang w:val="sr-Cyrl-CS"/>
              </w:rPr>
              <w:t>0,2</w:t>
            </w:r>
          </w:p>
        </w:tc>
        <w:tc>
          <w:tcPr>
            <w:tcW w:w="603" w:type="pct"/>
            <w:tcBorders>
              <w:top w:val="nil"/>
              <w:left w:val="nil"/>
              <w:bottom w:val="nil"/>
              <w:right w:val="nil"/>
            </w:tcBorders>
            <w:shd w:val="clear" w:color="auto" w:fill="auto"/>
            <w:noWrap/>
            <w:vAlign w:val="center"/>
          </w:tcPr>
          <w:p w14:paraId="4BE282A7" w14:textId="77777777" w:rsidR="006D662B" w:rsidRPr="0007074F" w:rsidRDefault="006D662B" w:rsidP="000D3688">
            <w:pPr>
              <w:jc w:val="center"/>
              <w:rPr>
                <w:color w:val="002060"/>
                <w:sz w:val="18"/>
                <w:lang w:val="sr-Cyrl-CS"/>
              </w:rPr>
            </w:pPr>
            <w:r w:rsidRPr="0007074F">
              <w:rPr>
                <w:color w:val="002060"/>
                <w:sz w:val="18"/>
                <w:lang w:val="sr-Cyrl-CS"/>
              </w:rPr>
              <w:t>0,1</w:t>
            </w:r>
          </w:p>
        </w:tc>
        <w:tc>
          <w:tcPr>
            <w:tcW w:w="600" w:type="pct"/>
            <w:tcBorders>
              <w:top w:val="nil"/>
              <w:left w:val="nil"/>
              <w:bottom w:val="nil"/>
              <w:right w:val="nil"/>
            </w:tcBorders>
            <w:shd w:val="clear" w:color="auto" w:fill="auto"/>
            <w:noWrap/>
            <w:vAlign w:val="center"/>
          </w:tcPr>
          <w:p w14:paraId="4BBB29B8" w14:textId="77777777" w:rsidR="006D662B" w:rsidRPr="0007074F" w:rsidRDefault="006D662B" w:rsidP="000D3688">
            <w:pPr>
              <w:jc w:val="center"/>
              <w:rPr>
                <w:color w:val="002060"/>
                <w:sz w:val="18"/>
                <w:lang w:val="sr-Cyrl-CS"/>
              </w:rPr>
            </w:pPr>
            <w:r w:rsidRPr="0007074F">
              <w:rPr>
                <w:color w:val="002060"/>
                <w:sz w:val="18"/>
                <w:lang w:val="sr-Cyrl-CS"/>
              </w:rPr>
              <w:t>0,1</w:t>
            </w:r>
          </w:p>
        </w:tc>
      </w:tr>
      <w:tr w:rsidR="006D662B" w:rsidRPr="0007074F" w14:paraId="65E59775" w14:textId="77777777" w:rsidTr="000D3688">
        <w:trPr>
          <w:trHeight w:val="281"/>
          <w:jc w:val="center"/>
        </w:trPr>
        <w:tc>
          <w:tcPr>
            <w:tcW w:w="2590" w:type="pct"/>
            <w:vAlign w:val="center"/>
          </w:tcPr>
          <w:p w14:paraId="31224EC0"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Инвестиције у основна средства</w:t>
            </w:r>
          </w:p>
        </w:tc>
        <w:tc>
          <w:tcPr>
            <w:tcW w:w="603" w:type="pct"/>
            <w:tcBorders>
              <w:top w:val="nil"/>
              <w:left w:val="nil"/>
              <w:bottom w:val="nil"/>
              <w:right w:val="nil"/>
            </w:tcBorders>
            <w:shd w:val="clear" w:color="auto" w:fill="auto"/>
            <w:noWrap/>
            <w:vAlign w:val="center"/>
          </w:tcPr>
          <w:p w14:paraId="0C33E94E" w14:textId="77777777" w:rsidR="006D662B" w:rsidRPr="0007074F" w:rsidRDefault="006D662B" w:rsidP="000D3688">
            <w:pPr>
              <w:jc w:val="center"/>
              <w:rPr>
                <w:color w:val="002060"/>
                <w:sz w:val="18"/>
                <w:lang w:val="sr-Cyrl-CS"/>
              </w:rPr>
            </w:pPr>
            <w:r w:rsidRPr="0007074F">
              <w:rPr>
                <w:color w:val="002060"/>
                <w:sz w:val="18"/>
                <w:lang w:val="sr-Cyrl-CS"/>
              </w:rPr>
              <w:t>0,6</w:t>
            </w:r>
          </w:p>
        </w:tc>
        <w:tc>
          <w:tcPr>
            <w:tcW w:w="604" w:type="pct"/>
            <w:tcBorders>
              <w:top w:val="nil"/>
              <w:left w:val="nil"/>
              <w:bottom w:val="nil"/>
              <w:right w:val="nil"/>
            </w:tcBorders>
            <w:shd w:val="clear" w:color="auto" w:fill="auto"/>
            <w:noWrap/>
            <w:vAlign w:val="center"/>
          </w:tcPr>
          <w:p w14:paraId="3E8A08BD" w14:textId="77777777" w:rsidR="006D662B" w:rsidRPr="0007074F" w:rsidRDefault="006D662B" w:rsidP="000D3688">
            <w:pPr>
              <w:jc w:val="center"/>
              <w:rPr>
                <w:color w:val="002060"/>
                <w:sz w:val="18"/>
                <w:lang w:val="sr-Cyrl-CS"/>
              </w:rPr>
            </w:pPr>
            <w:r w:rsidRPr="0007074F">
              <w:rPr>
                <w:color w:val="002060"/>
                <w:sz w:val="18"/>
                <w:lang w:val="sr-Cyrl-CS"/>
              </w:rPr>
              <w:t>0,8</w:t>
            </w:r>
          </w:p>
        </w:tc>
        <w:tc>
          <w:tcPr>
            <w:tcW w:w="603" w:type="pct"/>
            <w:tcBorders>
              <w:top w:val="nil"/>
              <w:left w:val="nil"/>
              <w:bottom w:val="nil"/>
              <w:right w:val="nil"/>
            </w:tcBorders>
            <w:shd w:val="clear" w:color="auto" w:fill="auto"/>
            <w:noWrap/>
            <w:vAlign w:val="center"/>
          </w:tcPr>
          <w:p w14:paraId="507E055D" w14:textId="77777777" w:rsidR="006D662B" w:rsidRPr="0007074F" w:rsidRDefault="006D662B" w:rsidP="000D3688">
            <w:pPr>
              <w:jc w:val="center"/>
              <w:rPr>
                <w:color w:val="002060"/>
                <w:sz w:val="18"/>
                <w:lang w:val="sr-Cyrl-CS"/>
              </w:rPr>
            </w:pPr>
            <w:r w:rsidRPr="0007074F">
              <w:rPr>
                <w:color w:val="002060"/>
                <w:sz w:val="18"/>
                <w:lang w:val="sr-Cyrl-CS"/>
              </w:rPr>
              <w:t>1,4</w:t>
            </w:r>
          </w:p>
        </w:tc>
        <w:tc>
          <w:tcPr>
            <w:tcW w:w="600" w:type="pct"/>
            <w:tcBorders>
              <w:top w:val="nil"/>
              <w:left w:val="nil"/>
              <w:bottom w:val="nil"/>
              <w:right w:val="nil"/>
            </w:tcBorders>
            <w:shd w:val="clear" w:color="auto" w:fill="auto"/>
            <w:noWrap/>
            <w:vAlign w:val="center"/>
          </w:tcPr>
          <w:p w14:paraId="0DA09E4D" w14:textId="77777777" w:rsidR="006D662B" w:rsidRPr="0007074F" w:rsidRDefault="006D662B" w:rsidP="000D3688">
            <w:pPr>
              <w:jc w:val="center"/>
              <w:rPr>
                <w:color w:val="002060"/>
                <w:sz w:val="18"/>
                <w:lang w:val="sr-Cyrl-CS"/>
              </w:rPr>
            </w:pPr>
            <w:r w:rsidRPr="0007074F">
              <w:rPr>
                <w:color w:val="002060"/>
                <w:sz w:val="18"/>
                <w:lang w:val="sr-Cyrl-CS"/>
              </w:rPr>
              <w:t>1,6</w:t>
            </w:r>
          </w:p>
        </w:tc>
      </w:tr>
      <w:tr w:rsidR="006D662B" w:rsidRPr="0007074F" w14:paraId="55D455C3" w14:textId="77777777" w:rsidTr="000D3688">
        <w:trPr>
          <w:trHeight w:val="281"/>
          <w:jc w:val="center"/>
        </w:trPr>
        <w:tc>
          <w:tcPr>
            <w:tcW w:w="2590" w:type="pct"/>
            <w:vAlign w:val="center"/>
            <w:hideMark/>
          </w:tcPr>
          <w:p w14:paraId="33F05924"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Промена у залихама</w:t>
            </w:r>
          </w:p>
        </w:tc>
        <w:tc>
          <w:tcPr>
            <w:tcW w:w="603" w:type="pct"/>
            <w:tcBorders>
              <w:top w:val="nil"/>
              <w:left w:val="nil"/>
              <w:bottom w:val="nil"/>
              <w:right w:val="nil"/>
            </w:tcBorders>
            <w:shd w:val="clear" w:color="auto" w:fill="auto"/>
            <w:noWrap/>
            <w:vAlign w:val="center"/>
          </w:tcPr>
          <w:p w14:paraId="26989AAA" w14:textId="77777777" w:rsidR="006D662B" w:rsidRPr="0007074F" w:rsidRDefault="006D662B" w:rsidP="000D3688">
            <w:pPr>
              <w:jc w:val="center"/>
              <w:rPr>
                <w:color w:val="002060"/>
                <w:sz w:val="18"/>
                <w:lang w:val="sr-Cyrl-CS"/>
              </w:rPr>
            </w:pPr>
            <w:r w:rsidRPr="0007074F">
              <w:rPr>
                <w:color w:val="002060"/>
                <w:sz w:val="18"/>
                <w:lang w:val="sr-Cyrl-CS"/>
              </w:rPr>
              <w:t>0,1</w:t>
            </w:r>
          </w:p>
        </w:tc>
        <w:tc>
          <w:tcPr>
            <w:tcW w:w="604" w:type="pct"/>
            <w:tcBorders>
              <w:top w:val="nil"/>
              <w:left w:val="nil"/>
              <w:bottom w:val="nil"/>
              <w:right w:val="nil"/>
            </w:tcBorders>
            <w:shd w:val="clear" w:color="auto" w:fill="auto"/>
            <w:noWrap/>
            <w:vAlign w:val="center"/>
          </w:tcPr>
          <w:p w14:paraId="47722467" w14:textId="77777777" w:rsidR="006D662B" w:rsidRPr="0007074F" w:rsidRDefault="006D662B" w:rsidP="000D3688">
            <w:pPr>
              <w:jc w:val="center"/>
              <w:rPr>
                <w:color w:val="002060"/>
                <w:sz w:val="18"/>
                <w:lang w:val="sr-Cyrl-CS"/>
              </w:rPr>
            </w:pPr>
            <w:r w:rsidRPr="0007074F">
              <w:rPr>
                <w:color w:val="002060"/>
                <w:sz w:val="18"/>
                <w:lang w:val="sr-Cyrl-CS"/>
              </w:rPr>
              <w:t>0,0</w:t>
            </w:r>
          </w:p>
        </w:tc>
        <w:tc>
          <w:tcPr>
            <w:tcW w:w="603" w:type="pct"/>
            <w:tcBorders>
              <w:top w:val="nil"/>
              <w:left w:val="nil"/>
              <w:bottom w:val="nil"/>
              <w:right w:val="nil"/>
            </w:tcBorders>
            <w:shd w:val="clear" w:color="auto" w:fill="auto"/>
            <w:noWrap/>
            <w:vAlign w:val="center"/>
          </w:tcPr>
          <w:p w14:paraId="00EB698D" w14:textId="77777777" w:rsidR="006D662B" w:rsidRPr="0007074F" w:rsidRDefault="006D662B" w:rsidP="000D3688">
            <w:pPr>
              <w:jc w:val="center"/>
              <w:rPr>
                <w:color w:val="002060"/>
                <w:sz w:val="18"/>
                <w:lang w:val="sr-Cyrl-CS"/>
              </w:rPr>
            </w:pPr>
            <w:r w:rsidRPr="0007074F">
              <w:rPr>
                <w:color w:val="002060"/>
                <w:sz w:val="18"/>
                <w:lang w:val="sr-Cyrl-CS"/>
              </w:rPr>
              <w:t>-0,2</w:t>
            </w:r>
          </w:p>
        </w:tc>
        <w:tc>
          <w:tcPr>
            <w:tcW w:w="600" w:type="pct"/>
            <w:tcBorders>
              <w:top w:val="nil"/>
              <w:left w:val="nil"/>
              <w:bottom w:val="nil"/>
              <w:right w:val="nil"/>
            </w:tcBorders>
            <w:shd w:val="clear" w:color="auto" w:fill="auto"/>
            <w:noWrap/>
            <w:vAlign w:val="center"/>
          </w:tcPr>
          <w:p w14:paraId="623CE970" w14:textId="77777777" w:rsidR="006D662B" w:rsidRPr="0007074F" w:rsidRDefault="006D662B" w:rsidP="000D3688">
            <w:pPr>
              <w:jc w:val="center"/>
              <w:rPr>
                <w:color w:val="002060"/>
                <w:sz w:val="18"/>
                <w:lang w:val="sr-Cyrl-CS"/>
              </w:rPr>
            </w:pPr>
            <w:r w:rsidRPr="0007074F">
              <w:rPr>
                <w:color w:val="002060"/>
                <w:sz w:val="18"/>
                <w:lang w:val="sr-Cyrl-CS"/>
              </w:rPr>
              <w:t>-0,3</w:t>
            </w:r>
          </w:p>
        </w:tc>
      </w:tr>
      <w:tr w:rsidR="006D662B" w:rsidRPr="0007074F" w14:paraId="63590E33" w14:textId="77777777" w:rsidTr="000D3688">
        <w:trPr>
          <w:trHeight w:val="281"/>
          <w:jc w:val="center"/>
        </w:trPr>
        <w:tc>
          <w:tcPr>
            <w:tcW w:w="2590" w:type="pct"/>
            <w:noWrap/>
            <w:vAlign w:val="center"/>
            <w:hideMark/>
          </w:tcPr>
          <w:p w14:paraId="4DEB0A9B"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Нето извоз робе и услуга</w:t>
            </w:r>
          </w:p>
        </w:tc>
        <w:tc>
          <w:tcPr>
            <w:tcW w:w="603" w:type="pct"/>
            <w:tcBorders>
              <w:top w:val="nil"/>
              <w:left w:val="nil"/>
              <w:bottom w:val="nil"/>
              <w:right w:val="nil"/>
            </w:tcBorders>
            <w:shd w:val="clear" w:color="auto" w:fill="auto"/>
            <w:noWrap/>
            <w:vAlign w:val="center"/>
          </w:tcPr>
          <w:p w14:paraId="4D02C44F" w14:textId="77777777" w:rsidR="006D662B" w:rsidRPr="0007074F" w:rsidRDefault="006D662B" w:rsidP="000D3688">
            <w:pPr>
              <w:jc w:val="center"/>
              <w:rPr>
                <w:color w:val="002060"/>
                <w:sz w:val="18"/>
                <w:lang w:val="sr-Cyrl-CS"/>
              </w:rPr>
            </w:pPr>
            <w:r w:rsidRPr="0007074F">
              <w:rPr>
                <w:color w:val="002060"/>
                <w:sz w:val="18"/>
                <w:lang w:val="sr-Cyrl-CS"/>
              </w:rPr>
              <w:t>0,4</w:t>
            </w:r>
          </w:p>
        </w:tc>
        <w:tc>
          <w:tcPr>
            <w:tcW w:w="604" w:type="pct"/>
            <w:tcBorders>
              <w:top w:val="nil"/>
              <w:left w:val="nil"/>
              <w:bottom w:val="nil"/>
              <w:right w:val="nil"/>
            </w:tcBorders>
            <w:shd w:val="clear" w:color="auto" w:fill="auto"/>
            <w:noWrap/>
            <w:vAlign w:val="center"/>
          </w:tcPr>
          <w:p w14:paraId="7E31E908" w14:textId="77777777" w:rsidR="006D662B" w:rsidRPr="0007074F" w:rsidRDefault="006D662B" w:rsidP="000D3688">
            <w:pPr>
              <w:jc w:val="center"/>
              <w:rPr>
                <w:color w:val="002060"/>
                <w:sz w:val="18"/>
                <w:lang w:val="sr-Cyrl-CS"/>
              </w:rPr>
            </w:pPr>
            <w:r w:rsidRPr="0007074F">
              <w:rPr>
                <w:color w:val="002060"/>
                <w:sz w:val="18"/>
                <w:lang w:val="sr-Cyrl-CS"/>
              </w:rPr>
              <w:t>0,1</w:t>
            </w:r>
          </w:p>
        </w:tc>
        <w:tc>
          <w:tcPr>
            <w:tcW w:w="603" w:type="pct"/>
            <w:tcBorders>
              <w:top w:val="nil"/>
              <w:left w:val="nil"/>
              <w:bottom w:val="nil"/>
              <w:right w:val="nil"/>
            </w:tcBorders>
            <w:shd w:val="clear" w:color="auto" w:fill="auto"/>
            <w:noWrap/>
            <w:vAlign w:val="center"/>
          </w:tcPr>
          <w:p w14:paraId="5BC5CC0B" w14:textId="77777777" w:rsidR="006D662B" w:rsidRPr="0007074F" w:rsidRDefault="006D662B" w:rsidP="000D3688">
            <w:pPr>
              <w:jc w:val="center"/>
              <w:rPr>
                <w:color w:val="002060"/>
                <w:sz w:val="18"/>
                <w:lang w:val="sr-Cyrl-CS"/>
              </w:rPr>
            </w:pPr>
            <w:r w:rsidRPr="0007074F">
              <w:rPr>
                <w:color w:val="002060"/>
                <w:sz w:val="18"/>
                <w:lang w:val="sr-Cyrl-CS"/>
              </w:rPr>
              <w:t>0,2</w:t>
            </w:r>
          </w:p>
        </w:tc>
        <w:tc>
          <w:tcPr>
            <w:tcW w:w="600" w:type="pct"/>
            <w:tcBorders>
              <w:top w:val="nil"/>
              <w:left w:val="nil"/>
              <w:bottom w:val="nil"/>
              <w:right w:val="nil"/>
            </w:tcBorders>
            <w:shd w:val="clear" w:color="auto" w:fill="auto"/>
            <w:noWrap/>
            <w:vAlign w:val="center"/>
          </w:tcPr>
          <w:p w14:paraId="4E31B0D1" w14:textId="77777777" w:rsidR="006D662B" w:rsidRPr="0007074F" w:rsidRDefault="006D662B" w:rsidP="000D3688">
            <w:pPr>
              <w:jc w:val="center"/>
              <w:rPr>
                <w:color w:val="002060"/>
                <w:sz w:val="18"/>
                <w:lang w:val="sr-Cyrl-CS"/>
              </w:rPr>
            </w:pPr>
            <w:r w:rsidRPr="0007074F">
              <w:rPr>
                <w:color w:val="002060"/>
                <w:sz w:val="18"/>
                <w:lang w:val="sr-Cyrl-CS"/>
              </w:rPr>
              <w:t>0,2</w:t>
            </w:r>
          </w:p>
        </w:tc>
      </w:tr>
      <w:tr w:rsidR="006D662B" w:rsidRPr="0007074F" w14:paraId="5D3E226E" w14:textId="77777777" w:rsidTr="000D3688">
        <w:trPr>
          <w:trHeight w:val="281"/>
          <w:jc w:val="center"/>
        </w:trPr>
        <w:tc>
          <w:tcPr>
            <w:tcW w:w="2590" w:type="pct"/>
            <w:shd w:val="clear" w:color="auto" w:fill="E7E6E6" w:themeFill="background2"/>
            <w:noWrap/>
            <w:vAlign w:val="center"/>
            <w:hideMark/>
          </w:tcPr>
          <w:p w14:paraId="6A82B748" w14:textId="77777777" w:rsidR="006D662B" w:rsidRPr="0007074F" w:rsidRDefault="006D662B" w:rsidP="00953528">
            <w:pPr>
              <w:jc w:val="left"/>
              <w:rPr>
                <w:rFonts w:eastAsia="Calibri" w:cstheme="minorHAnsi"/>
                <w:bCs/>
                <w:color w:val="002060"/>
                <w:sz w:val="18"/>
                <w:szCs w:val="18"/>
                <w:lang w:val="sr-Cyrl-CS"/>
              </w:rPr>
            </w:pPr>
            <w:r w:rsidRPr="0007074F">
              <w:rPr>
                <w:rFonts w:eastAsia="Calibri" w:cstheme="minorHAnsi"/>
                <w:iCs/>
                <w:color w:val="002060"/>
                <w:sz w:val="18"/>
                <w:szCs w:val="18"/>
                <w:lang w:val="sr-Cyrl-CS"/>
              </w:rPr>
              <w:t>Раст БДВ по секторима и нето пореза, %</w:t>
            </w:r>
          </w:p>
        </w:tc>
        <w:tc>
          <w:tcPr>
            <w:tcW w:w="603" w:type="pct"/>
            <w:shd w:val="clear" w:color="auto" w:fill="E7E6E6" w:themeFill="background2"/>
            <w:vAlign w:val="center"/>
          </w:tcPr>
          <w:p w14:paraId="33BE2F8E" w14:textId="77777777" w:rsidR="006D662B" w:rsidRPr="0007074F" w:rsidRDefault="006D662B" w:rsidP="000D3688">
            <w:pPr>
              <w:jc w:val="center"/>
              <w:rPr>
                <w:rFonts w:eastAsia="Calibri" w:cstheme="minorHAnsi"/>
                <w:bCs/>
                <w:color w:val="002060"/>
                <w:sz w:val="18"/>
                <w:szCs w:val="18"/>
                <w:lang w:val="sr-Cyrl-CS"/>
              </w:rPr>
            </w:pPr>
          </w:p>
        </w:tc>
        <w:tc>
          <w:tcPr>
            <w:tcW w:w="604" w:type="pct"/>
            <w:shd w:val="clear" w:color="auto" w:fill="E7E6E6" w:themeFill="background2"/>
            <w:vAlign w:val="center"/>
          </w:tcPr>
          <w:p w14:paraId="223331BB" w14:textId="77777777" w:rsidR="006D662B" w:rsidRPr="0007074F" w:rsidRDefault="006D662B" w:rsidP="000D3688">
            <w:pPr>
              <w:jc w:val="center"/>
              <w:rPr>
                <w:rFonts w:eastAsia="Calibri" w:cstheme="minorHAnsi"/>
                <w:bCs/>
                <w:color w:val="002060"/>
                <w:sz w:val="18"/>
                <w:szCs w:val="18"/>
                <w:lang w:val="sr-Cyrl-CS"/>
              </w:rPr>
            </w:pPr>
          </w:p>
        </w:tc>
        <w:tc>
          <w:tcPr>
            <w:tcW w:w="603" w:type="pct"/>
            <w:shd w:val="clear" w:color="auto" w:fill="E7E6E6" w:themeFill="background2"/>
            <w:vAlign w:val="center"/>
          </w:tcPr>
          <w:p w14:paraId="21078FED" w14:textId="77777777" w:rsidR="006D662B" w:rsidRPr="0007074F" w:rsidRDefault="006D662B" w:rsidP="000D3688">
            <w:pPr>
              <w:jc w:val="center"/>
              <w:rPr>
                <w:rFonts w:eastAsia="Calibri" w:cstheme="minorHAnsi"/>
                <w:bCs/>
                <w:color w:val="002060"/>
                <w:sz w:val="18"/>
                <w:szCs w:val="18"/>
                <w:lang w:val="sr-Cyrl-CS"/>
              </w:rPr>
            </w:pPr>
          </w:p>
        </w:tc>
        <w:tc>
          <w:tcPr>
            <w:tcW w:w="600" w:type="pct"/>
            <w:shd w:val="clear" w:color="auto" w:fill="E7E6E6" w:themeFill="background2"/>
            <w:vAlign w:val="center"/>
          </w:tcPr>
          <w:p w14:paraId="3A294B65" w14:textId="77777777" w:rsidR="006D662B" w:rsidRPr="0007074F" w:rsidRDefault="006D662B" w:rsidP="000D3688">
            <w:pPr>
              <w:jc w:val="center"/>
              <w:rPr>
                <w:rFonts w:eastAsia="Calibri" w:cstheme="minorHAnsi"/>
                <w:bCs/>
                <w:color w:val="002060"/>
                <w:sz w:val="18"/>
                <w:szCs w:val="18"/>
                <w:lang w:val="sr-Cyrl-CS"/>
              </w:rPr>
            </w:pPr>
          </w:p>
        </w:tc>
      </w:tr>
      <w:tr w:rsidR="006D662B" w:rsidRPr="0007074F" w14:paraId="14C5E4C9" w14:textId="77777777" w:rsidTr="000D3688">
        <w:trPr>
          <w:trHeight w:val="281"/>
          <w:jc w:val="center"/>
        </w:trPr>
        <w:tc>
          <w:tcPr>
            <w:tcW w:w="2590" w:type="pct"/>
            <w:noWrap/>
            <w:vAlign w:val="center"/>
            <w:hideMark/>
          </w:tcPr>
          <w:p w14:paraId="33BBAD67"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Пољопривреда</w:t>
            </w:r>
          </w:p>
        </w:tc>
        <w:tc>
          <w:tcPr>
            <w:tcW w:w="603" w:type="pct"/>
            <w:tcBorders>
              <w:top w:val="nil"/>
              <w:left w:val="nil"/>
              <w:bottom w:val="nil"/>
            </w:tcBorders>
            <w:shd w:val="clear" w:color="auto" w:fill="auto"/>
            <w:noWrap/>
            <w:vAlign w:val="center"/>
          </w:tcPr>
          <w:p w14:paraId="41F82148" w14:textId="77777777" w:rsidR="006D662B" w:rsidRPr="0007074F" w:rsidRDefault="006D662B" w:rsidP="000D3688">
            <w:pPr>
              <w:jc w:val="center"/>
              <w:rPr>
                <w:color w:val="002060"/>
                <w:sz w:val="18"/>
                <w:lang w:val="sr-Cyrl-CS"/>
              </w:rPr>
            </w:pPr>
            <w:r w:rsidRPr="0007074F">
              <w:rPr>
                <w:color w:val="002060"/>
                <w:sz w:val="18"/>
                <w:lang w:val="sr-Cyrl-CS"/>
              </w:rPr>
              <w:t>6,9</w:t>
            </w:r>
          </w:p>
        </w:tc>
        <w:tc>
          <w:tcPr>
            <w:tcW w:w="604" w:type="pct"/>
            <w:tcBorders>
              <w:top w:val="nil"/>
              <w:bottom w:val="nil"/>
            </w:tcBorders>
            <w:shd w:val="clear" w:color="auto" w:fill="auto"/>
            <w:noWrap/>
            <w:vAlign w:val="center"/>
          </w:tcPr>
          <w:p w14:paraId="6721B154" w14:textId="77777777" w:rsidR="006D662B" w:rsidRPr="0007074F" w:rsidRDefault="006D662B" w:rsidP="000D3688">
            <w:pPr>
              <w:jc w:val="center"/>
              <w:rPr>
                <w:color w:val="002060"/>
                <w:sz w:val="18"/>
                <w:lang w:val="sr-Cyrl-CS"/>
              </w:rPr>
            </w:pPr>
            <w:r w:rsidRPr="0007074F">
              <w:rPr>
                <w:color w:val="002060"/>
                <w:sz w:val="18"/>
                <w:lang w:val="sr-Cyrl-CS"/>
              </w:rPr>
              <w:t>0,9</w:t>
            </w:r>
          </w:p>
        </w:tc>
        <w:tc>
          <w:tcPr>
            <w:tcW w:w="603" w:type="pct"/>
            <w:tcBorders>
              <w:top w:val="nil"/>
              <w:bottom w:val="nil"/>
            </w:tcBorders>
            <w:shd w:val="clear" w:color="auto" w:fill="auto"/>
            <w:noWrap/>
            <w:vAlign w:val="center"/>
          </w:tcPr>
          <w:p w14:paraId="129CCC1E" w14:textId="77777777" w:rsidR="006D662B" w:rsidRPr="0007074F" w:rsidRDefault="006D662B" w:rsidP="000D3688">
            <w:pPr>
              <w:jc w:val="center"/>
              <w:rPr>
                <w:color w:val="002060"/>
                <w:sz w:val="18"/>
                <w:lang w:val="sr-Cyrl-CS"/>
              </w:rPr>
            </w:pPr>
            <w:r w:rsidRPr="0007074F">
              <w:rPr>
                <w:color w:val="002060"/>
                <w:sz w:val="18"/>
                <w:lang w:val="sr-Cyrl-CS"/>
              </w:rPr>
              <w:t>0,0</w:t>
            </w:r>
          </w:p>
        </w:tc>
        <w:tc>
          <w:tcPr>
            <w:tcW w:w="600" w:type="pct"/>
            <w:tcBorders>
              <w:top w:val="nil"/>
              <w:bottom w:val="nil"/>
              <w:right w:val="nil"/>
            </w:tcBorders>
            <w:shd w:val="clear" w:color="auto" w:fill="auto"/>
            <w:noWrap/>
            <w:vAlign w:val="center"/>
          </w:tcPr>
          <w:p w14:paraId="244F6441" w14:textId="77777777" w:rsidR="006D662B" w:rsidRPr="0007074F" w:rsidRDefault="006D662B" w:rsidP="000D3688">
            <w:pPr>
              <w:jc w:val="center"/>
              <w:rPr>
                <w:color w:val="002060"/>
                <w:sz w:val="18"/>
                <w:lang w:val="sr-Cyrl-CS"/>
              </w:rPr>
            </w:pPr>
            <w:r w:rsidRPr="0007074F">
              <w:rPr>
                <w:color w:val="002060"/>
                <w:sz w:val="18"/>
                <w:lang w:val="sr-Cyrl-CS"/>
              </w:rPr>
              <w:t>0,0</w:t>
            </w:r>
          </w:p>
        </w:tc>
      </w:tr>
      <w:tr w:rsidR="006D662B" w:rsidRPr="0007074F" w14:paraId="7B8278E6" w14:textId="77777777" w:rsidTr="000D3688">
        <w:trPr>
          <w:trHeight w:val="281"/>
          <w:jc w:val="center"/>
        </w:trPr>
        <w:tc>
          <w:tcPr>
            <w:tcW w:w="2590" w:type="pct"/>
            <w:noWrap/>
            <w:vAlign w:val="center"/>
            <w:hideMark/>
          </w:tcPr>
          <w:p w14:paraId="06E6BE54"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Индустрија</w:t>
            </w:r>
          </w:p>
        </w:tc>
        <w:tc>
          <w:tcPr>
            <w:tcW w:w="603" w:type="pct"/>
            <w:tcBorders>
              <w:top w:val="nil"/>
              <w:left w:val="nil"/>
              <w:bottom w:val="nil"/>
            </w:tcBorders>
            <w:shd w:val="clear" w:color="auto" w:fill="auto"/>
            <w:noWrap/>
            <w:vAlign w:val="center"/>
          </w:tcPr>
          <w:p w14:paraId="5D203EAE" w14:textId="77777777" w:rsidR="006D662B" w:rsidRPr="0007074F" w:rsidRDefault="006D662B" w:rsidP="000D3688">
            <w:pPr>
              <w:jc w:val="center"/>
              <w:rPr>
                <w:color w:val="002060"/>
                <w:sz w:val="18"/>
                <w:lang w:val="sr-Cyrl-CS"/>
              </w:rPr>
            </w:pPr>
            <w:r w:rsidRPr="0007074F">
              <w:rPr>
                <w:color w:val="002060"/>
                <w:sz w:val="18"/>
                <w:lang w:val="sr-Cyrl-CS"/>
              </w:rPr>
              <w:t>2,2</w:t>
            </w:r>
          </w:p>
        </w:tc>
        <w:tc>
          <w:tcPr>
            <w:tcW w:w="604" w:type="pct"/>
            <w:tcBorders>
              <w:top w:val="nil"/>
              <w:bottom w:val="nil"/>
            </w:tcBorders>
            <w:shd w:val="clear" w:color="auto" w:fill="auto"/>
            <w:noWrap/>
            <w:vAlign w:val="center"/>
          </w:tcPr>
          <w:p w14:paraId="391192D2" w14:textId="77777777" w:rsidR="006D662B" w:rsidRPr="0007074F" w:rsidRDefault="006D662B" w:rsidP="000D3688">
            <w:pPr>
              <w:jc w:val="center"/>
              <w:rPr>
                <w:color w:val="002060"/>
                <w:sz w:val="18"/>
                <w:lang w:val="sr-Cyrl-CS"/>
              </w:rPr>
            </w:pPr>
            <w:r w:rsidRPr="0007074F">
              <w:rPr>
                <w:color w:val="002060"/>
                <w:sz w:val="18"/>
                <w:lang w:val="sr-Cyrl-CS"/>
              </w:rPr>
              <w:t>3,6</w:t>
            </w:r>
          </w:p>
        </w:tc>
        <w:tc>
          <w:tcPr>
            <w:tcW w:w="603" w:type="pct"/>
            <w:tcBorders>
              <w:top w:val="nil"/>
              <w:bottom w:val="nil"/>
            </w:tcBorders>
            <w:shd w:val="clear" w:color="auto" w:fill="auto"/>
            <w:noWrap/>
            <w:vAlign w:val="center"/>
          </w:tcPr>
          <w:p w14:paraId="723A548F" w14:textId="77777777" w:rsidR="006D662B" w:rsidRPr="0007074F" w:rsidRDefault="006D662B" w:rsidP="000D3688">
            <w:pPr>
              <w:jc w:val="center"/>
              <w:rPr>
                <w:color w:val="002060"/>
                <w:sz w:val="18"/>
                <w:lang w:val="sr-Cyrl-CS"/>
              </w:rPr>
            </w:pPr>
            <w:r w:rsidRPr="0007074F">
              <w:rPr>
                <w:color w:val="002060"/>
                <w:sz w:val="18"/>
                <w:lang w:val="sr-Cyrl-CS"/>
              </w:rPr>
              <w:t>5,4</w:t>
            </w:r>
          </w:p>
        </w:tc>
        <w:tc>
          <w:tcPr>
            <w:tcW w:w="600" w:type="pct"/>
            <w:tcBorders>
              <w:top w:val="nil"/>
              <w:bottom w:val="nil"/>
              <w:right w:val="nil"/>
            </w:tcBorders>
            <w:shd w:val="clear" w:color="auto" w:fill="auto"/>
            <w:noWrap/>
            <w:vAlign w:val="center"/>
          </w:tcPr>
          <w:p w14:paraId="42CADCB9" w14:textId="77777777" w:rsidR="006D662B" w:rsidRPr="0007074F" w:rsidRDefault="006D662B" w:rsidP="000D3688">
            <w:pPr>
              <w:jc w:val="center"/>
              <w:rPr>
                <w:color w:val="002060"/>
                <w:sz w:val="18"/>
                <w:lang w:val="sr-Cyrl-CS"/>
              </w:rPr>
            </w:pPr>
            <w:r w:rsidRPr="0007074F">
              <w:rPr>
                <w:color w:val="002060"/>
                <w:sz w:val="18"/>
                <w:lang w:val="sr-Cyrl-CS"/>
              </w:rPr>
              <w:t>5,5</w:t>
            </w:r>
          </w:p>
        </w:tc>
      </w:tr>
      <w:tr w:rsidR="006D662B" w:rsidRPr="0007074F" w14:paraId="6764839F" w14:textId="77777777" w:rsidTr="000D3688">
        <w:trPr>
          <w:trHeight w:val="281"/>
          <w:jc w:val="center"/>
        </w:trPr>
        <w:tc>
          <w:tcPr>
            <w:tcW w:w="2590" w:type="pct"/>
            <w:noWrap/>
            <w:vAlign w:val="center"/>
            <w:hideMark/>
          </w:tcPr>
          <w:p w14:paraId="57650BA3"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Грађевинарство</w:t>
            </w:r>
          </w:p>
        </w:tc>
        <w:tc>
          <w:tcPr>
            <w:tcW w:w="603" w:type="pct"/>
            <w:tcBorders>
              <w:top w:val="nil"/>
              <w:left w:val="nil"/>
              <w:bottom w:val="nil"/>
            </w:tcBorders>
            <w:shd w:val="clear" w:color="auto" w:fill="auto"/>
            <w:noWrap/>
            <w:vAlign w:val="center"/>
          </w:tcPr>
          <w:p w14:paraId="5A7C3E43" w14:textId="77777777" w:rsidR="006D662B" w:rsidRPr="0007074F" w:rsidRDefault="006D662B" w:rsidP="000D3688">
            <w:pPr>
              <w:jc w:val="center"/>
              <w:rPr>
                <w:color w:val="002060"/>
                <w:sz w:val="18"/>
                <w:lang w:val="sr-Cyrl-CS"/>
              </w:rPr>
            </w:pPr>
            <w:r w:rsidRPr="0007074F">
              <w:rPr>
                <w:color w:val="002060"/>
                <w:sz w:val="18"/>
                <w:lang w:val="sr-Cyrl-CS"/>
              </w:rPr>
              <w:t>1,1</w:t>
            </w:r>
          </w:p>
        </w:tc>
        <w:tc>
          <w:tcPr>
            <w:tcW w:w="604" w:type="pct"/>
            <w:tcBorders>
              <w:top w:val="nil"/>
              <w:bottom w:val="nil"/>
            </w:tcBorders>
            <w:shd w:val="clear" w:color="auto" w:fill="auto"/>
            <w:noWrap/>
            <w:vAlign w:val="center"/>
          </w:tcPr>
          <w:p w14:paraId="6B6D6635" w14:textId="77777777" w:rsidR="006D662B" w:rsidRPr="0007074F" w:rsidRDefault="006D662B" w:rsidP="000D3688">
            <w:pPr>
              <w:jc w:val="center"/>
              <w:rPr>
                <w:color w:val="002060"/>
                <w:sz w:val="18"/>
                <w:lang w:val="sr-Cyrl-CS"/>
              </w:rPr>
            </w:pPr>
            <w:r w:rsidRPr="0007074F">
              <w:rPr>
                <w:color w:val="002060"/>
                <w:sz w:val="18"/>
                <w:lang w:val="sr-Cyrl-CS"/>
              </w:rPr>
              <w:t>5,2</w:t>
            </w:r>
          </w:p>
        </w:tc>
        <w:tc>
          <w:tcPr>
            <w:tcW w:w="603" w:type="pct"/>
            <w:tcBorders>
              <w:top w:val="nil"/>
              <w:bottom w:val="nil"/>
            </w:tcBorders>
            <w:shd w:val="clear" w:color="auto" w:fill="auto"/>
            <w:noWrap/>
            <w:vAlign w:val="center"/>
          </w:tcPr>
          <w:p w14:paraId="5EF6DF3C" w14:textId="77777777" w:rsidR="006D662B" w:rsidRPr="0007074F" w:rsidRDefault="006D662B" w:rsidP="000D3688">
            <w:pPr>
              <w:jc w:val="center"/>
              <w:rPr>
                <w:color w:val="002060"/>
                <w:sz w:val="18"/>
                <w:lang w:val="sr-Cyrl-CS"/>
              </w:rPr>
            </w:pPr>
            <w:r w:rsidRPr="0007074F">
              <w:rPr>
                <w:color w:val="002060"/>
                <w:sz w:val="18"/>
                <w:lang w:val="sr-Cyrl-CS"/>
              </w:rPr>
              <w:t>5,9</w:t>
            </w:r>
          </w:p>
        </w:tc>
        <w:tc>
          <w:tcPr>
            <w:tcW w:w="600" w:type="pct"/>
            <w:tcBorders>
              <w:top w:val="nil"/>
              <w:bottom w:val="nil"/>
              <w:right w:val="nil"/>
            </w:tcBorders>
            <w:shd w:val="clear" w:color="auto" w:fill="auto"/>
            <w:noWrap/>
            <w:vAlign w:val="center"/>
          </w:tcPr>
          <w:p w14:paraId="3FDEF4DC" w14:textId="77777777" w:rsidR="006D662B" w:rsidRPr="0007074F" w:rsidRDefault="006D662B" w:rsidP="000D3688">
            <w:pPr>
              <w:jc w:val="center"/>
              <w:rPr>
                <w:color w:val="002060"/>
                <w:sz w:val="18"/>
                <w:lang w:val="sr-Cyrl-CS"/>
              </w:rPr>
            </w:pPr>
            <w:r w:rsidRPr="0007074F">
              <w:rPr>
                <w:color w:val="002060"/>
                <w:sz w:val="18"/>
                <w:lang w:val="sr-Cyrl-CS"/>
              </w:rPr>
              <w:t>7,1</w:t>
            </w:r>
          </w:p>
        </w:tc>
      </w:tr>
      <w:tr w:rsidR="006D662B" w:rsidRPr="0007074F" w14:paraId="689ED4DC" w14:textId="77777777" w:rsidTr="000D3688">
        <w:trPr>
          <w:trHeight w:val="281"/>
          <w:jc w:val="center"/>
        </w:trPr>
        <w:tc>
          <w:tcPr>
            <w:tcW w:w="2590" w:type="pct"/>
            <w:noWrap/>
            <w:vAlign w:val="center"/>
            <w:hideMark/>
          </w:tcPr>
          <w:p w14:paraId="161A5397"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Услуге</w:t>
            </w:r>
          </w:p>
        </w:tc>
        <w:tc>
          <w:tcPr>
            <w:tcW w:w="603" w:type="pct"/>
            <w:tcBorders>
              <w:top w:val="nil"/>
              <w:left w:val="nil"/>
              <w:bottom w:val="nil"/>
            </w:tcBorders>
            <w:shd w:val="clear" w:color="auto" w:fill="auto"/>
            <w:noWrap/>
            <w:vAlign w:val="center"/>
          </w:tcPr>
          <w:p w14:paraId="0B057FC1" w14:textId="77777777" w:rsidR="006D662B" w:rsidRPr="0007074F" w:rsidRDefault="006D662B" w:rsidP="000D3688">
            <w:pPr>
              <w:jc w:val="center"/>
              <w:rPr>
                <w:color w:val="002060"/>
                <w:sz w:val="18"/>
                <w:lang w:val="sr-Cyrl-CS"/>
              </w:rPr>
            </w:pPr>
            <w:r w:rsidRPr="0007074F">
              <w:rPr>
                <w:color w:val="002060"/>
                <w:sz w:val="18"/>
                <w:lang w:val="sr-Cyrl-CS"/>
              </w:rPr>
              <w:t>2,3</w:t>
            </w:r>
          </w:p>
        </w:tc>
        <w:tc>
          <w:tcPr>
            <w:tcW w:w="604" w:type="pct"/>
            <w:tcBorders>
              <w:top w:val="nil"/>
              <w:bottom w:val="nil"/>
            </w:tcBorders>
            <w:shd w:val="clear" w:color="auto" w:fill="auto"/>
            <w:noWrap/>
            <w:vAlign w:val="center"/>
          </w:tcPr>
          <w:p w14:paraId="6D02D5EB" w14:textId="77777777" w:rsidR="006D662B" w:rsidRPr="0007074F" w:rsidRDefault="006D662B" w:rsidP="000D3688">
            <w:pPr>
              <w:jc w:val="center"/>
              <w:rPr>
                <w:color w:val="002060"/>
                <w:sz w:val="18"/>
                <w:lang w:val="sr-Cyrl-CS"/>
              </w:rPr>
            </w:pPr>
            <w:r w:rsidRPr="0007074F">
              <w:rPr>
                <w:color w:val="002060"/>
                <w:sz w:val="18"/>
                <w:lang w:val="sr-Cyrl-CS"/>
              </w:rPr>
              <w:t>3,8</w:t>
            </w:r>
          </w:p>
        </w:tc>
        <w:tc>
          <w:tcPr>
            <w:tcW w:w="603" w:type="pct"/>
            <w:tcBorders>
              <w:top w:val="nil"/>
              <w:bottom w:val="nil"/>
            </w:tcBorders>
            <w:shd w:val="clear" w:color="auto" w:fill="auto"/>
            <w:noWrap/>
            <w:vAlign w:val="center"/>
          </w:tcPr>
          <w:p w14:paraId="20D58B2A" w14:textId="77777777" w:rsidR="006D662B" w:rsidRPr="0007074F" w:rsidRDefault="006D662B" w:rsidP="000D3688">
            <w:pPr>
              <w:jc w:val="center"/>
              <w:rPr>
                <w:color w:val="002060"/>
                <w:sz w:val="18"/>
                <w:lang w:val="sr-Cyrl-CS"/>
              </w:rPr>
            </w:pPr>
            <w:r w:rsidRPr="0007074F">
              <w:rPr>
                <w:color w:val="002060"/>
                <w:sz w:val="18"/>
                <w:lang w:val="sr-Cyrl-CS"/>
              </w:rPr>
              <w:t>4,0</w:t>
            </w:r>
          </w:p>
        </w:tc>
        <w:tc>
          <w:tcPr>
            <w:tcW w:w="600" w:type="pct"/>
            <w:tcBorders>
              <w:top w:val="nil"/>
              <w:bottom w:val="nil"/>
              <w:right w:val="nil"/>
            </w:tcBorders>
            <w:shd w:val="clear" w:color="auto" w:fill="auto"/>
            <w:noWrap/>
            <w:vAlign w:val="center"/>
          </w:tcPr>
          <w:p w14:paraId="3B488839" w14:textId="77777777" w:rsidR="006D662B" w:rsidRPr="0007074F" w:rsidRDefault="006D662B" w:rsidP="000D3688">
            <w:pPr>
              <w:jc w:val="center"/>
              <w:rPr>
                <w:color w:val="002060"/>
                <w:sz w:val="18"/>
                <w:lang w:val="sr-Cyrl-CS"/>
              </w:rPr>
            </w:pPr>
            <w:r w:rsidRPr="0007074F">
              <w:rPr>
                <w:color w:val="002060"/>
                <w:sz w:val="18"/>
                <w:lang w:val="sr-Cyrl-CS"/>
              </w:rPr>
              <w:t>4,2</w:t>
            </w:r>
          </w:p>
        </w:tc>
      </w:tr>
      <w:tr w:rsidR="006D662B" w:rsidRPr="0007074F" w14:paraId="1C421311" w14:textId="77777777" w:rsidTr="000D3688">
        <w:trPr>
          <w:trHeight w:val="281"/>
          <w:jc w:val="center"/>
        </w:trPr>
        <w:tc>
          <w:tcPr>
            <w:tcW w:w="2590" w:type="pct"/>
            <w:noWrap/>
            <w:vAlign w:val="center"/>
          </w:tcPr>
          <w:p w14:paraId="3058FA2D"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Нето порези</w:t>
            </w:r>
          </w:p>
        </w:tc>
        <w:tc>
          <w:tcPr>
            <w:tcW w:w="603" w:type="pct"/>
            <w:tcBorders>
              <w:top w:val="nil"/>
              <w:left w:val="nil"/>
              <w:bottom w:val="nil"/>
            </w:tcBorders>
            <w:shd w:val="clear" w:color="auto" w:fill="auto"/>
            <w:noWrap/>
            <w:vAlign w:val="center"/>
          </w:tcPr>
          <w:p w14:paraId="60826CA8" w14:textId="77777777" w:rsidR="006D662B" w:rsidRPr="0007074F" w:rsidRDefault="006D662B" w:rsidP="000D3688">
            <w:pPr>
              <w:jc w:val="center"/>
              <w:rPr>
                <w:color w:val="002060"/>
                <w:sz w:val="18"/>
                <w:lang w:val="sr-Cyrl-CS"/>
              </w:rPr>
            </w:pPr>
            <w:r w:rsidRPr="0007074F">
              <w:rPr>
                <w:color w:val="002060"/>
                <w:sz w:val="18"/>
                <w:lang w:val="sr-Cyrl-CS"/>
              </w:rPr>
              <w:t>2,0</w:t>
            </w:r>
          </w:p>
        </w:tc>
        <w:tc>
          <w:tcPr>
            <w:tcW w:w="604" w:type="pct"/>
            <w:tcBorders>
              <w:top w:val="nil"/>
              <w:bottom w:val="nil"/>
            </w:tcBorders>
            <w:shd w:val="clear" w:color="auto" w:fill="auto"/>
            <w:noWrap/>
            <w:vAlign w:val="center"/>
          </w:tcPr>
          <w:p w14:paraId="068F60D8" w14:textId="77777777" w:rsidR="006D662B" w:rsidRPr="0007074F" w:rsidRDefault="006D662B" w:rsidP="000D3688">
            <w:pPr>
              <w:jc w:val="center"/>
              <w:rPr>
                <w:color w:val="002060"/>
                <w:sz w:val="18"/>
                <w:lang w:val="sr-Cyrl-CS"/>
              </w:rPr>
            </w:pPr>
            <w:r w:rsidRPr="0007074F">
              <w:rPr>
                <w:color w:val="002060"/>
                <w:sz w:val="18"/>
                <w:lang w:val="sr-Cyrl-CS"/>
              </w:rPr>
              <w:t>3,0</w:t>
            </w:r>
          </w:p>
        </w:tc>
        <w:tc>
          <w:tcPr>
            <w:tcW w:w="603" w:type="pct"/>
            <w:tcBorders>
              <w:top w:val="nil"/>
              <w:bottom w:val="nil"/>
            </w:tcBorders>
            <w:shd w:val="clear" w:color="auto" w:fill="auto"/>
            <w:noWrap/>
            <w:vAlign w:val="center"/>
          </w:tcPr>
          <w:p w14:paraId="458302F4" w14:textId="77777777" w:rsidR="006D662B" w:rsidRPr="0007074F" w:rsidRDefault="006D662B" w:rsidP="000D3688">
            <w:pPr>
              <w:jc w:val="center"/>
              <w:rPr>
                <w:color w:val="002060"/>
                <w:sz w:val="18"/>
                <w:lang w:val="sr-Cyrl-CS"/>
              </w:rPr>
            </w:pPr>
            <w:r w:rsidRPr="0007074F">
              <w:rPr>
                <w:color w:val="002060"/>
                <w:sz w:val="18"/>
                <w:lang w:val="sr-Cyrl-CS"/>
              </w:rPr>
              <w:t>3,1</w:t>
            </w:r>
          </w:p>
        </w:tc>
        <w:tc>
          <w:tcPr>
            <w:tcW w:w="600" w:type="pct"/>
            <w:tcBorders>
              <w:top w:val="nil"/>
              <w:bottom w:val="nil"/>
              <w:right w:val="nil"/>
            </w:tcBorders>
            <w:shd w:val="clear" w:color="auto" w:fill="auto"/>
            <w:noWrap/>
            <w:vAlign w:val="center"/>
          </w:tcPr>
          <w:p w14:paraId="4E15253A" w14:textId="77777777" w:rsidR="006D662B" w:rsidRPr="0007074F" w:rsidRDefault="006D662B" w:rsidP="000D3688">
            <w:pPr>
              <w:jc w:val="center"/>
              <w:rPr>
                <w:color w:val="002060"/>
                <w:sz w:val="18"/>
                <w:lang w:val="sr-Cyrl-CS"/>
              </w:rPr>
            </w:pPr>
            <w:r w:rsidRPr="0007074F">
              <w:rPr>
                <w:color w:val="002060"/>
                <w:sz w:val="18"/>
                <w:lang w:val="sr-Cyrl-CS"/>
              </w:rPr>
              <w:t>3,4</w:t>
            </w:r>
          </w:p>
        </w:tc>
      </w:tr>
      <w:tr w:rsidR="006D662B" w:rsidRPr="0007074F" w14:paraId="270AE1BB" w14:textId="77777777" w:rsidTr="000D3688">
        <w:trPr>
          <w:trHeight w:val="281"/>
          <w:jc w:val="center"/>
        </w:trPr>
        <w:tc>
          <w:tcPr>
            <w:tcW w:w="2590" w:type="pct"/>
            <w:shd w:val="clear" w:color="auto" w:fill="E7E6E6" w:themeFill="background2"/>
            <w:noWrap/>
            <w:vAlign w:val="center"/>
            <w:hideMark/>
          </w:tcPr>
          <w:p w14:paraId="2DE2235B" w14:textId="77777777" w:rsidR="006D662B" w:rsidRPr="0007074F" w:rsidRDefault="006D662B" w:rsidP="00953528">
            <w:pPr>
              <w:jc w:val="left"/>
              <w:rPr>
                <w:rFonts w:eastAsia="Calibri" w:cstheme="minorHAnsi"/>
                <w:bCs/>
                <w:color w:val="002060"/>
                <w:sz w:val="18"/>
                <w:szCs w:val="18"/>
                <w:lang w:val="sr-Cyrl-CS"/>
              </w:rPr>
            </w:pPr>
            <w:r w:rsidRPr="0007074F">
              <w:rPr>
                <w:rFonts w:eastAsia="Calibri" w:cstheme="minorHAnsi"/>
                <w:iCs/>
                <w:color w:val="002060"/>
                <w:sz w:val="18"/>
                <w:szCs w:val="18"/>
                <w:lang w:val="sr-Cyrl-CS"/>
              </w:rPr>
              <w:t>Допринос расту БДП, процентни поени</w:t>
            </w:r>
          </w:p>
        </w:tc>
        <w:tc>
          <w:tcPr>
            <w:tcW w:w="603" w:type="pct"/>
            <w:shd w:val="clear" w:color="auto" w:fill="E7E6E6" w:themeFill="background2"/>
            <w:vAlign w:val="center"/>
          </w:tcPr>
          <w:p w14:paraId="57732C07" w14:textId="77777777" w:rsidR="006D662B" w:rsidRPr="0007074F" w:rsidRDefault="006D662B" w:rsidP="000D3688">
            <w:pPr>
              <w:jc w:val="center"/>
              <w:rPr>
                <w:rFonts w:eastAsia="Calibri" w:cstheme="minorHAnsi"/>
                <w:bCs/>
                <w:color w:val="002060"/>
                <w:sz w:val="18"/>
                <w:szCs w:val="18"/>
                <w:lang w:val="sr-Cyrl-CS"/>
              </w:rPr>
            </w:pPr>
          </w:p>
        </w:tc>
        <w:tc>
          <w:tcPr>
            <w:tcW w:w="604" w:type="pct"/>
            <w:shd w:val="clear" w:color="auto" w:fill="E7E6E6" w:themeFill="background2"/>
            <w:vAlign w:val="center"/>
          </w:tcPr>
          <w:p w14:paraId="786CFDCD" w14:textId="77777777" w:rsidR="006D662B" w:rsidRPr="0007074F" w:rsidRDefault="006D662B" w:rsidP="000D3688">
            <w:pPr>
              <w:jc w:val="center"/>
              <w:rPr>
                <w:rFonts w:eastAsia="Calibri" w:cstheme="minorHAnsi"/>
                <w:bCs/>
                <w:color w:val="002060"/>
                <w:sz w:val="18"/>
                <w:szCs w:val="18"/>
                <w:lang w:val="sr-Cyrl-CS"/>
              </w:rPr>
            </w:pPr>
          </w:p>
        </w:tc>
        <w:tc>
          <w:tcPr>
            <w:tcW w:w="603" w:type="pct"/>
            <w:shd w:val="clear" w:color="auto" w:fill="E7E6E6" w:themeFill="background2"/>
            <w:vAlign w:val="center"/>
          </w:tcPr>
          <w:p w14:paraId="0851ABF2" w14:textId="77777777" w:rsidR="006D662B" w:rsidRPr="0007074F" w:rsidRDefault="006D662B" w:rsidP="000D3688">
            <w:pPr>
              <w:jc w:val="center"/>
              <w:rPr>
                <w:rFonts w:eastAsia="Calibri" w:cstheme="minorHAnsi"/>
                <w:bCs/>
                <w:color w:val="002060"/>
                <w:sz w:val="18"/>
                <w:szCs w:val="18"/>
                <w:lang w:val="sr-Cyrl-CS"/>
              </w:rPr>
            </w:pPr>
          </w:p>
        </w:tc>
        <w:tc>
          <w:tcPr>
            <w:tcW w:w="600" w:type="pct"/>
            <w:shd w:val="clear" w:color="auto" w:fill="E7E6E6" w:themeFill="background2"/>
            <w:vAlign w:val="center"/>
          </w:tcPr>
          <w:p w14:paraId="403E09CD" w14:textId="77777777" w:rsidR="006D662B" w:rsidRPr="0007074F" w:rsidRDefault="006D662B" w:rsidP="000D3688">
            <w:pPr>
              <w:jc w:val="center"/>
              <w:rPr>
                <w:rFonts w:eastAsia="Calibri" w:cstheme="minorHAnsi"/>
                <w:bCs/>
                <w:color w:val="002060"/>
                <w:sz w:val="18"/>
                <w:szCs w:val="18"/>
                <w:lang w:val="sr-Cyrl-CS"/>
              </w:rPr>
            </w:pPr>
          </w:p>
        </w:tc>
      </w:tr>
      <w:tr w:rsidR="006D662B" w:rsidRPr="0007074F" w14:paraId="3BA76487" w14:textId="77777777" w:rsidTr="000D3688">
        <w:trPr>
          <w:trHeight w:val="281"/>
          <w:jc w:val="center"/>
        </w:trPr>
        <w:tc>
          <w:tcPr>
            <w:tcW w:w="2590" w:type="pct"/>
            <w:noWrap/>
            <w:vAlign w:val="center"/>
            <w:hideMark/>
          </w:tcPr>
          <w:p w14:paraId="678277C2"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Пољопривреда</w:t>
            </w:r>
          </w:p>
        </w:tc>
        <w:tc>
          <w:tcPr>
            <w:tcW w:w="603" w:type="pct"/>
            <w:tcBorders>
              <w:top w:val="nil"/>
              <w:left w:val="nil"/>
              <w:bottom w:val="nil"/>
            </w:tcBorders>
            <w:shd w:val="clear" w:color="auto" w:fill="auto"/>
            <w:noWrap/>
            <w:vAlign w:val="center"/>
          </w:tcPr>
          <w:p w14:paraId="1339297E" w14:textId="77777777" w:rsidR="006D662B" w:rsidRPr="0007074F" w:rsidRDefault="006D662B" w:rsidP="000D3688">
            <w:pPr>
              <w:jc w:val="center"/>
              <w:rPr>
                <w:color w:val="002060"/>
                <w:sz w:val="18"/>
                <w:lang w:val="sr-Cyrl-CS"/>
              </w:rPr>
            </w:pPr>
            <w:r w:rsidRPr="0007074F">
              <w:rPr>
                <w:color w:val="002060"/>
                <w:sz w:val="18"/>
                <w:lang w:val="sr-Cyrl-CS"/>
              </w:rPr>
              <w:t>0,4</w:t>
            </w:r>
          </w:p>
        </w:tc>
        <w:tc>
          <w:tcPr>
            <w:tcW w:w="604" w:type="pct"/>
            <w:tcBorders>
              <w:top w:val="nil"/>
              <w:bottom w:val="nil"/>
            </w:tcBorders>
            <w:shd w:val="clear" w:color="auto" w:fill="auto"/>
            <w:noWrap/>
            <w:vAlign w:val="center"/>
          </w:tcPr>
          <w:p w14:paraId="12F97C5A" w14:textId="77777777" w:rsidR="006D662B" w:rsidRPr="0007074F" w:rsidRDefault="006D662B" w:rsidP="000D3688">
            <w:pPr>
              <w:jc w:val="center"/>
              <w:rPr>
                <w:color w:val="002060"/>
                <w:sz w:val="18"/>
                <w:lang w:val="sr-Cyrl-CS"/>
              </w:rPr>
            </w:pPr>
            <w:r w:rsidRPr="0007074F">
              <w:rPr>
                <w:color w:val="002060"/>
                <w:sz w:val="18"/>
                <w:lang w:val="sr-Cyrl-CS"/>
              </w:rPr>
              <w:t>0,1</w:t>
            </w:r>
          </w:p>
        </w:tc>
        <w:tc>
          <w:tcPr>
            <w:tcW w:w="603" w:type="pct"/>
            <w:tcBorders>
              <w:top w:val="nil"/>
              <w:bottom w:val="nil"/>
            </w:tcBorders>
            <w:shd w:val="clear" w:color="auto" w:fill="auto"/>
            <w:noWrap/>
            <w:vAlign w:val="center"/>
          </w:tcPr>
          <w:p w14:paraId="0824374E" w14:textId="77777777" w:rsidR="006D662B" w:rsidRPr="0007074F" w:rsidRDefault="006D662B" w:rsidP="000D3688">
            <w:pPr>
              <w:jc w:val="center"/>
              <w:rPr>
                <w:color w:val="002060"/>
                <w:sz w:val="18"/>
                <w:lang w:val="sr-Cyrl-CS"/>
              </w:rPr>
            </w:pPr>
            <w:r w:rsidRPr="0007074F">
              <w:rPr>
                <w:color w:val="002060"/>
                <w:sz w:val="18"/>
                <w:lang w:val="sr-Cyrl-CS"/>
              </w:rPr>
              <w:t>0,0</w:t>
            </w:r>
          </w:p>
        </w:tc>
        <w:tc>
          <w:tcPr>
            <w:tcW w:w="600" w:type="pct"/>
            <w:tcBorders>
              <w:top w:val="nil"/>
              <w:bottom w:val="nil"/>
            </w:tcBorders>
            <w:shd w:val="clear" w:color="auto" w:fill="auto"/>
            <w:noWrap/>
            <w:vAlign w:val="center"/>
          </w:tcPr>
          <w:p w14:paraId="706A5E0F" w14:textId="77777777" w:rsidR="006D662B" w:rsidRPr="0007074F" w:rsidRDefault="006D662B" w:rsidP="000D3688">
            <w:pPr>
              <w:jc w:val="center"/>
              <w:rPr>
                <w:color w:val="002060"/>
                <w:sz w:val="18"/>
                <w:lang w:val="sr-Cyrl-CS"/>
              </w:rPr>
            </w:pPr>
            <w:r w:rsidRPr="0007074F">
              <w:rPr>
                <w:color w:val="002060"/>
                <w:sz w:val="18"/>
                <w:lang w:val="sr-Cyrl-CS"/>
              </w:rPr>
              <w:t>0,0</w:t>
            </w:r>
          </w:p>
        </w:tc>
      </w:tr>
      <w:tr w:rsidR="006D662B" w:rsidRPr="0007074F" w14:paraId="2F4F6350" w14:textId="77777777" w:rsidTr="000D3688">
        <w:trPr>
          <w:trHeight w:val="281"/>
          <w:jc w:val="center"/>
        </w:trPr>
        <w:tc>
          <w:tcPr>
            <w:tcW w:w="2590" w:type="pct"/>
            <w:noWrap/>
            <w:vAlign w:val="center"/>
            <w:hideMark/>
          </w:tcPr>
          <w:p w14:paraId="1FC86B48"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Индустрија</w:t>
            </w:r>
          </w:p>
        </w:tc>
        <w:tc>
          <w:tcPr>
            <w:tcW w:w="603" w:type="pct"/>
            <w:tcBorders>
              <w:top w:val="nil"/>
              <w:left w:val="nil"/>
              <w:bottom w:val="nil"/>
            </w:tcBorders>
            <w:shd w:val="clear" w:color="auto" w:fill="auto"/>
            <w:noWrap/>
            <w:vAlign w:val="center"/>
          </w:tcPr>
          <w:p w14:paraId="66C873A2" w14:textId="77777777" w:rsidR="006D662B" w:rsidRPr="0007074F" w:rsidRDefault="006D662B" w:rsidP="000D3688">
            <w:pPr>
              <w:jc w:val="center"/>
              <w:rPr>
                <w:color w:val="002060"/>
                <w:sz w:val="18"/>
                <w:lang w:val="sr-Cyrl-CS"/>
              </w:rPr>
            </w:pPr>
            <w:r w:rsidRPr="0007074F">
              <w:rPr>
                <w:color w:val="002060"/>
                <w:sz w:val="18"/>
                <w:lang w:val="sr-Cyrl-CS"/>
              </w:rPr>
              <w:t>0,4</w:t>
            </w:r>
          </w:p>
        </w:tc>
        <w:tc>
          <w:tcPr>
            <w:tcW w:w="604" w:type="pct"/>
            <w:tcBorders>
              <w:top w:val="nil"/>
              <w:bottom w:val="nil"/>
            </w:tcBorders>
            <w:shd w:val="clear" w:color="auto" w:fill="auto"/>
            <w:noWrap/>
            <w:vAlign w:val="center"/>
          </w:tcPr>
          <w:p w14:paraId="3308FCD2" w14:textId="77777777" w:rsidR="006D662B" w:rsidRPr="0007074F" w:rsidRDefault="006D662B" w:rsidP="000D3688">
            <w:pPr>
              <w:jc w:val="center"/>
              <w:rPr>
                <w:color w:val="002060"/>
                <w:sz w:val="18"/>
                <w:lang w:val="sr-Cyrl-CS"/>
              </w:rPr>
            </w:pPr>
            <w:r w:rsidRPr="0007074F">
              <w:rPr>
                <w:color w:val="002060"/>
                <w:sz w:val="18"/>
                <w:lang w:val="sr-Cyrl-CS"/>
              </w:rPr>
              <w:t>0,7</w:t>
            </w:r>
          </w:p>
        </w:tc>
        <w:tc>
          <w:tcPr>
            <w:tcW w:w="603" w:type="pct"/>
            <w:tcBorders>
              <w:top w:val="nil"/>
              <w:bottom w:val="nil"/>
            </w:tcBorders>
            <w:shd w:val="clear" w:color="auto" w:fill="auto"/>
            <w:noWrap/>
            <w:vAlign w:val="center"/>
          </w:tcPr>
          <w:p w14:paraId="7AD7DE80" w14:textId="77777777" w:rsidR="006D662B" w:rsidRPr="0007074F" w:rsidRDefault="006D662B" w:rsidP="000D3688">
            <w:pPr>
              <w:jc w:val="center"/>
              <w:rPr>
                <w:color w:val="002060"/>
                <w:sz w:val="18"/>
                <w:lang w:val="sr-Cyrl-CS"/>
              </w:rPr>
            </w:pPr>
            <w:r w:rsidRPr="0007074F">
              <w:rPr>
                <w:color w:val="002060"/>
                <w:sz w:val="18"/>
                <w:lang w:val="sr-Cyrl-CS"/>
              </w:rPr>
              <w:t>1,1</w:t>
            </w:r>
          </w:p>
        </w:tc>
        <w:tc>
          <w:tcPr>
            <w:tcW w:w="600" w:type="pct"/>
            <w:tcBorders>
              <w:top w:val="nil"/>
              <w:bottom w:val="nil"/>
            </w:tcBorders>
            <w:shd w:val="clear" w:color="auto" w:fill="auto"/>
            <w:noWrap/>
            <w:vAlign w:val="center"/>
          </w:tcPr>
          <w:p w14:paraId="467FC903" w14:textId="77777777" w:rsidR="006D662B" w:rsidRPr="0007074F" w:rsidRDefault="006D662B" w:rsidP="000D3688">
            <w:pPr>
              <w:jc w:val="center"/>
              <w:rPr>
                <w:color w:val="002060"/>
                <w:sz w:val="18"/>
                <w:lang w:val="sr-Cyrl-CS"/>
              </w:rPr>
            </w:pPr>
            <w:r w:rsidRPr="0007074F">
              <w:rPr>
                <w:color w:val="002060"/>
                <w:sz w:val="18"/>
                <w:lang w:val="sr-Cyrl-CS"/>
              </w:rPr>
              <w:t>1,1</w:t>
            </w:r>
          </w:p>
        </w:tc>
      </w:tr>
      <w:tr w:rsidR="006D662B" w:rsidRPr="0007074F" w14:paraId="00978C53" w14:textId="77777777" w:rsidTr="000D3688">
        <w:trPr>
          <w:trHeight w:val="281"/>
          <w:jc w:val="center"/>
        </w:trPr>
        <w:tc>
          <w:tcPr>
            <w:tcW w:w="2590" w:type="pct"/>
            <w:noWrap/>
            <w:vAlign w:val="center"/>
            <w:hideMark/>
          </w:tcPr>
          <w:p w14:paraId="13A1CB22"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Грађевинарство</w:t>
            </w:r>
          </w:p>
        </w:tc>
        <w:tc>
          <w:tcPr>
            <w:tcW w:w="603" w:type="pct"/>
            <w:tcBorders>
              <w:top w:val="nil"/>
              <w:left w:val="nil"/>
              <w:bottom w:val="nil"/>
            </w:tcBorders>
            <w:shd w:val="clear" w:color="auto" w:fill="auto"/>
            <w:noWrap/>
            <w:vAlign w:val="center"/>
          </w:tcPr>
          <w:p w14:paraId="40FA8D60" w14:textId="77777777" w:rsidR="006D662B" w:rsidRPr="0007074F" w:rsidRDefault="006D662B" w:rsidP="000D3688">
            <w:pPr>
              <w:jc w:val="center"/>
              <w:rPr>
                <w:color w:val="002060"/>
                <w:sz w:val="18"/>
                <w:lang w:val="sr-Cyrl-CS"/>
              </w:rPr>
            </w:pPr>
            <w:r w:rsidRPr="0007074F">
              <w:rPr>
                <w:color w:val="002060"/>
                <w:sz w:val="18"/>
                <w:lang w:val="sr-Cyrl-CS"/>
              </w:rPr>
              <w:t>0,1</w:t>
            </w:r>
          </w:p>
        </w:tc>
        <w:tc>
          <w:tcPr>
            <w:tcW w:w="604" w:type="pct"/>
            <w:tcBorders>
              <w:top w:val="nil"/>
              <w:bottom w:val="nil"/>
            </w:tcBorders>
            <w:shd w:val="clear" w:color="auto" w:fill="auto"/>
            <w:noWrap/>
            <w:vAlign w:val="center"/>
          </w:tcPr>
          <w:p w14:paraId="670E744A" w14:textId="77777777" w:rsidR="006D662B" w:rsidRPr="0007074F" w:rsidRDefault="006D662B" w:rsidP="000D3688">
            <w:pPr>
              <w:jc w:val="center"/>
              <w:rPr>
                <w:color w:val="002060"/>
                <w:sz w:val="18"/>
                <w:lang w:val="sr-Cyrl-CS"/>
              </w:rPr>
            </w:pPr>
            <w:r w:rsidRPr="0007074F">
              <w:rPr>
                <w:color w:val="002060"/>
                <w:sz w:val="18"/>
                <w:lang w:val="sr-Cyrl-CS"/>
              </w:rPr>
              <w:t>0,3</w:t>
            </w:r>
          </w:p>
        </w:tc>
        <w:tc>
          <w:tcPr>
            <w:tcW w:w="603" w:type="pct"/>
            <w:tcBorders>
              <w:top w:val="nil"/>
              <w:bottom w:val="nil"/>
            </w:tcBorders>
            <w:shd w:val="clear" w:color="auto" w:fill="auto"/>
            <w:noWrap/>
            <w:vAlign w:val="center"/>
          </w:tcPr>
          <w:p w14:paraId="3090219C" w14:textId="77777777" w:rsidR="006D662B" w:rsidRPr="0007074F" w:rsidRDefault="006D662B" w:rsidP="000D3688">
            <w:pPr>
              <w:jc w:val="center"/>
              <w:rPr>
                <w:color w:val="002060"/>
                <w:sz w:val="18"/>
                <w:lang w:val="sr-Cyrl-CS"/>
              </w:rPr>
            </w:pPr>
            <w:r w:rsidRPr="0007074F">
              <w:rPr>
                <w:color w:val="002060"/>
                <w:sz w:val="18"/>
                <w:lang w:val="sr-Cyrl-CS"/>
              </w:rPr>
              <w:t>0,3</w:t>
            </w:r>
          </w:p>
        </w:tc>
        <w:tc>
          <w:tcPr>
            <w:tcW w:w="600" w:type="pct"/>
            <w:tcBorders>
              <w:top w:val="nil"/>
              <w:bottom w:val="nil"/>
            </w:tcBorders>
            <w:shd w:val="clear" w:color="auto" w:fill="auto"/>
            <w:noWrap/>
            <w:vAlign w:val="center"/>
          </w:tcPr>
          <w:p w14:paraId="246638A3" w14:textId="77777777" w:rsidR="006D662B" w:rsidRPr="0007074F" w:rsidRDefault="006D662B" w:rsidP="000D3688">
            <w:pPr>
              <w:jc w:val="center"/>
              <w:rPr>
                <w:color w:val="002060"/>
                <w:sz w:val="18"/>
                <w:lang w:val="sr-Cyrl-CS"/>
              </w:rPr>
            </w:pPr>
            <w:r w:rsidRPr="0007074F">
              <w:rPr>
                <w:color w:val="002060"/>
                <w:sz w:val="18"/>
                <w:lang w:val="sr-Cyrl-CS"/>
              </w:rPr>
              <w:t>0,4</w:t>
            </w:r>
          </w:p>
        </w:tc>
      </w:tr>
      <w:tr w:rsidR="006D662B" w:rsidRPr="0007074F" w14:paraId="6AC1A2E9" w14:textId="77777777" w:rsidTr="000D3688">
        <w:trPr>
          <w:trHeight w:val="281"/>
          <w:jc w:val="center"/>
        </w:trPr>
        <w:tc>
          <w:tcPr>
            <w:tcW w:w="2590" w:type="pct"/>
            <w:noWrap/>
            <w:vAlign w:val="center"/>
            <w:hideMark/>
          </w:tcPr>
          <w:p w14:paraId="50EF0E17"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Услуге</w:t>
            </w:r>
          </w:p>
        </w:tc>
        <w:tc>
          <w:tcPr>
            <w:tcW w:w="603" w:type="pct"/>
            <w:tcBorders>
              <w:top w:val="nil"/>
              <w:left w:val="nil"/>
              <w:bottom w:val="nil"/>
            </w:tcBorders>
            <w:shd w:val="clear" w:color="auto" w:fill="auto"/>
            <w:noWrap/>
            <w:vAlign w:val="center"/>
          </w:tcPr>
          <w:p w14:paraId="7DFC5C33" w14:textId="77777777" w:rsidR="006D662B" w:rsidRPr="0007074F" w:rsidRDefault="006D662B" w:rsidP="000D3688">
            <w:pPr>
              <w:jc w:val="center"/>
              <w:rPr>
                <w:color w:val="002060"/>
                <w:sz w:val="18"/>
                <w:lang w:val="sr-Cyrl-CS"/>
              </w:rPr>
            </w:pPr>
            <w:r w:rsidRPr="0007074F">
              <w:rPr>
                <w:color w:val="002060"/>
                <w:sz w:val="18"/>
                <w:lang w:val="sr-Cyrl-CS"/>
              </w:rPr>
              <w:t>1,2</w:t>
            </w:r>
          </w:p>
        </w:tc>
        <w:tc>
          <w:tcPr>
            <w:tcW w:w="604" w:type="pct"/>
            <w:tcBorders>
              <w:top w:val="nil"/>
              <w:bottom w:val="nil"/>
            </w:tcBorders>
            <w:shd w:val="clear" w:color="auto" w:fill="auto"/>
            <w:noWrap/>
            <w:vAlign w:val="center"/>
          </w:tcPr>
          <w:p w14:paraId="5569FFA5" w14:textId="77777777" w:rsidR="006D662B" w:rsidRPr="0007074F" w:rsidRDefault="006D662B" w:rsidP="000D3688">
            <w:pPr>
              <w:jc w:val="center"/>
              <w:rPr>
                <w:color w:val="002060"/>
                <w:sz w:val="18"/>
                <w:lang w:val="sr-Cyrl-CS"/>
              </w:rPr>
            </w:pPr>
            <w:r w:rsidRPr="0007074F">
              <w:rPr>
                <w:color w:val="002060"/>
                <w:sz w:val="18"/>
                <w:lang w:val="sr-Cyrl-CS"/>
              </w:rPr>
              <w:t>1,9</w:t>
            </w:r>
          </w:p>
        </w:tc>
        <w:tc>
          <w:tcPr>
            <w:tcW w:w="603" w:type="pct"/>
            <w:tcBorders>
              <w:top w:val="nil"/>
              <w:bottom w:val="nil"/>
            </w:tcBorders>
            <w:shd w:val="clear" w:color="auto" w:fill="auto"/>
            <w:noWrap/>
            <w:vAlign w:val="center"/>
          </w:tcPr>
          <w:p w14:paraId="5E81452A" w14:textId="77777777" w:rsidR="006D662B" w:rsidRPr="0007074F" w:rsidRDefault="006D662B" w:rsidP="000D3688">
            <w:pPr>
              <w:jc w:val="center"/>
              <w:rPr>
                <w:color w:val="002060"/>
                <w:sz w:val="18"/>
                <w:lang w:val="sr-Cyrl-CS"/>
              </w:rPr>
            </w:pPr>
            <w:r w:rsidRPr="0007074F">
              <w:rPr>
                <w:color w:val="002060"/>
                <w:sz w:val="18"/>
                <w:lang w:val="sr-Cyrl-CS"/>
              </w:rPr>
              <w:t>2,0</w:t>
            </w:r>
          </w:p>
        </w:tc>
        <w:tc>
          <w:tcPr>
            <w:tcW w:w="600" w:type="pct"/>
            <w:tcBorders>
              <w:top w:val="nil"/>
              <w:bottom w:val="nil"/>
            </w:tcBorders>
            <w:shd w:val="clear" w:color="auto" w:fill="auto"/>
            <w:noWrap/>
            <w:vAlign w:val="center"/>
          </w:tcPr>
          <w:p w14:paraId="20474F80" w14:textId="77777777" w:rsidR="006D662B" w:rsidRPr="0007074F" w:rsidRDefault="006D662B" w:rsidP="000D3688">
            <w:pPr>
              <w:jc w:val="center"/>
              <w:rPr>
                <w:color w:val="002060"/>
                <w:sz w:val="18"/>
                <w:lang w:val="sr-Cyrl-CS"/>
              </w:rPr>
            </w:pPr>
            <w:r w:rsidRPr="0007074F">
              <w:rPr>
                <w:color w:val="002060"/>
                <w:sz w:val="18"/>
                <w:lang w:val="sr-Cyrl-CS"/>
              </w:rPr>
              <w:t>2,2</w:t>
            </w:r>
          </w:p>
        </w:tc>
      </w:tr>
      <w:tr w:rsidR="006D662B" w:rsidRPr="0007074F" w14:paraId="6CBB5163" w14:textId="77777777" w:rsidTr="000D3688">
        <w:trPr>
          <w:trHeight w:val="281"/>
          <w:jc w:val="center"/>
        </w:trPr>
        <w:tc>
          <w:tcPr>
            <w:tcW w:w="2590" w:type="pct"/>
            <w:noWrap/>
            <w:vAlign w:val="center"/>
          </w:tcPr>
          <w:p w14:paraId="2193B471"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Нето порези</w:t>
            </w:r>
          </w:p>
        </w:tc>
        <w:tc>
          <w:tcPr>
            <w:tcW w:w="603" w:type="pct"/>
            <w:tcBorders>
              <w:top w:val="nil"/>
              <w:left w:val="nil"/>
              <w:bottom w:val="nil"/>
            </w:tcBorders>
            <w:shd w:val="clear" w:color="auto" w:fill="auto"/>
            <w:noWrap/>
            <w:vAlign w:val="center"/>
          </w:tcPr>
          <w:p w14:paraId="3A7E06D4" w14:textId="77777777" w:rsidR="006D662B" w:rsidRPr="0007074F" w:rsidRDefault="006D662B" w:rsidP="000D3688">
            <w:pPr>
              <w:jc w:val="center"/>
              <w:rPr>
                <w:color w:val="002060"/>
                <w:sz w:val="18"/>
                <w:lang w:val="sr-Cyrl-CS"/>
              </w:rPr>
            </w:pPr>
            <w:r w:rsidRPr="0007074F">
              <w:rPr>
                <w:color w:val="002060"/>
                <w:sz w:val="18"/>
                <w:lang w:val="sr-Cyrl-CS"/>
              </w:rPr>
              <w:t>0,3</w:t>
            </w:r>
          </w:p>
        </w:tc>
        <w:tc>
          <w:tcPr>
            <w:tcW w:w="604" w:type="pct"/>
            <w:tcBorders>
              <w:top w:val="nil"/>
              <w:bottom w:val="nil"/>
            </w:tcBorders>
            <w:shd w:val="clear" w:color="auto" w:fill="auto"/>
            <w:noWrap/>
            <w:vAlign w:val="center"/>
          </w:tcPr>
          <w:p w14:paraId="0FD8BA33" w14:textId="77777777" w:rsidR="006D662B" w:rsidRPr="0007074F" w:rsidRDefault="006D662B" w:rsidP="000D3688">
            <w:pPr>
              <w:jc w:val="center"/>
              <w:rPr>
                <w:color w:val="002060"/>
                <w:sz w:val="18"/>
                <w:lang w:val="sr-Cyrl-CS"/>
              </w:rPr>
            </w:pPr>
            <w:r w:rsidRPr="0007074F">
              <w:rPr>
                <w:color w:val="002060"/>
                <w:sz w:val="18"/>
                <w:lang w:val="sr-Cyrl-CS"/>
              </w:rPr>
              <w:t>0,5</w:t>
            </w:r>
          </w:p>
        </w:tc>
        <w:tc>
          <w:tcPr>
            <w:tcW w:w="603" w:type="pct"/>
            <w:tcBorders>
              <w:top w:val="nil"/>
              <w:bottom w:val="nil"/>
            </w:tcBorders>
            <w:shd w:val="clear" w:color="auto" w:fill="auto"/>
            <w:noWrap/>
            <w:vAlign w:val="center"/>
          </w:tcPr>
          <w:p w14:paraId="086BFF70" w14:textId="77777777" w:rsidR="006D662B" w:rsidRPr="0007074F" w:rsidRDefault="006D662B" w:rsidP="000D3688">
            <w:pPr>
              <w:jc w:val="center"/>
              <w:rPr>
                <w:color w:val="002060"/>
                <w:sz w:val="18"/>
                <w:lang w:val="sr-Cyrl-CS"/>
              </w:rPr>
            </w:pPr>
            <w:r w:rsidRPr="0007074F">
              <w:rPr>
                <w:color w:val="002060"/>
                <w:sz w:val="18"/>
                <w:lang w:val="sr-Cyrl-CS"/>
              </w:rPr>
              <w:t>0,5</w:t>
            </w:r>
          </w:p>
        </w:tc>
        <w:tc>
          <w:tcPr>
            <w:tcW w:w="600" w:type="pct"/>
            <w:tcBorders>
              <w:top w:val="nil"/>
              <w:bottom w:val="nil"/>
            </w:tcBorders>
            <w:shd w:val="clear" w:color="auto" w:fill="auto"/>
            <w:noWrap/>
            <w:vAlign w:val="center"/>
          </w:tcPr>
          <w:p w14:paraId="3233150D" w14:textId="77777777" w:rsidR="006D662B" w:rsidRPr="0007074F" w:rsidRDefault="006D662B" w:rsidP="000D3688">
            <w:pPr>
              <w:jc w:val="center"/>
              <w:rPr>
                <w:color w:val="002060"/>
                <w:sz w:val="18"/>
                <w:lang w:val="sr-Cyrl-CS"/>
              </w:rPr>
            </w:pPr>
            <w:r w:rsidRPr="0007074F">
              <w:rPr>
                <w:color w:val="002060"/>
                <w:sz w:val="18"/>
                <w:lang w:val="sr-Cyrl-CS"/>
              </w:rPr>
              <w:t>0,6</w:t>
            </w:r>
          </w:p>
        </w:tc>
      </w:tr>
      <w:tr w:rsidR="006D662B" w:rsidRPr="0007074F" w14:paraId="05BD2FF9" w14:textId="77777777" w:rsidTr="000D3688">
        <w:trPr>
          <w:trHeight w:val="281"/>
          <w:jc w:val="center"/>
        </w:trPr>
        <w:tc>
          <w:tcPr>
            <w:tcW w:w="2590" w:type="pct"/>
            <w:shd w:val="clear" w:color="auto" w:fill="E7E6E6" w:themeFill="background2"/>
            <w:noWrap/>
            <w:vAlign w:val="center"/>
            <w:hideMark/>
          </w:tcPr>
          <w:p w14:paraId="692E2F9C" w14:textId="77777777" w:rsidR="006D662B" w:rsidRPr="0007074F" w:rsidRDefault="006D662B" w:rsidP="00953528">
            <w:pPr>
              <w:jc w:val="left"/>
              <w:rPr>
                <w:rFonts w:eastAsia="Calibri" w:cstheme="minorHAnsi"/>
                <w:bCs/>
                <w:iCs/>
                <w:color w:val="002060"/>
                <w:sz w:val="18"/>
                <w:szCs w:val="18"/>
                <w:lang w:val="sr-Cyrl-CS"/>
              </w:rPr>
            </w:pPr>
            <w:r w:rsidRPr="0007074F">
              <w:rPr>
                <w:rFonts w:eastAsia="Calibri" w:cstheme="minorHAnsi"/>
                <w:iCs/>
                <w:color w:val="002060"/>
                <w:sz w:val="18"/>
                <w:szCs w:val="18"/>
                <w:lang w:val="sr-Cyrl-CS"/>
              </w:rPr>
              <w:t>Кретање цена, %</w:t>
            </w:r>
          </w:p>
        </w:tc>
        <w:tc>
          <w:tcPr>
            <w:tcW w:w="603" w:type="pct"/>
            <w:shd w:val="clear" w:color="auto" w:fill="E7E6E6" w:themeFill="background2"/>
            <w:noWrap/>
            <w:vAlign w:val="center"/>
          </w:tcPr>
          <w:p w14:paraId="2BE55C33" w14:textId="77777777" w:rsidR="006D662B" w:rsidRPr="0007074F" w:rsidRDefault="006D662B" w:rsidP="000D3688">
            <w:pPr>
              <w:jc w:val="center"/>
              <w:rPr>
                <w:rFonts w:eastAsia="Calibri" w:cstheme="minorHAnsi"/>
                <w:iCs/>
                <w:color w:val="002060"/>
                <w:sz w:val="18"/>
                <w:szCs w:val="18"/>
                <w:lang w:val="sr-Cyrl-CS"/>
              </w:rPr>
            </w:pPr>
          </w:p>
        </w:tc>
        <w:tc>
          <w:tcPr>
            <w:tcW w:w="604" w:type="pct"/>
            <w:shd w:val="clear" w:color="auto" w:fill="E7E6E6" w:themeFill="background2"/>
            <w:noWrap/>
            <w:vAlign w:val="center"/>
          </w:tcPr>
          <w:p w14:paraId="190ED2EB" w14:textId="77777777" w:rsidR="006D662B" w:rsidRPr="0007074F" w:rsidRDefault="006D662B" w:rsidP="000D3688">
            <w:pPr>
              <w:jc w:val="center"/>
              <w:rPr>
                <w:rFonts w:eastAsia="Calibri" w:cstheme="minorHAnsi"/>
                <w:color w:val="002060"/>
                <w:sz w:val="18"/>
                <w:szCs w:val="18"/>
                <w:lang w:val="sr-Cyrl-CS"/>
              </w:rPr>
            </w:pPr>
          </w:p>
        </w:tc>
        <w:tc>
          <w:tcPr>
            <w:tcW w:w="603" w:type="pct"/>
            <w:shd w:val="clear" w:color="auto" w:fill="E7E6E6" w:themeFill="background2"/>
            <w:noWrap/>
            <w:vAlign w:val="center"/>
          </w:tcPr>
          <w:p w14:paraId="68BE324C" w14:textId="77777777" w:rsidR="006D662B" w:rsidRPr="0007074F" w:rsidRDefault="006D662B" w:rsidP="000D3688">
            <w:pPr>
              <w:jc w:val="center"/>
              <w:rPr>
                <w:rFonts w:eastAsia="Calibri" w:cstheme="minorHAnsi"/>
                <w:color w:val="002060"/>
                <w:sz w:val="18"/>
                <w:szCs w:val="18"/>
                <w:lang w:val="sr-Cyrl-CS"/>
              </w:rPr>
            </w:pPr>
          </w:p>
        </w:tc>
        <w:tc>
          <w:tcPr>
            <w:tcW w:w="600" w:type="pct"/>
            <w:shd w:val="clear" w:color="auto" w:fill="E7E6E6" w:themeFill="background2"/>
            <w:noWrap/>
            <w:vAlign w:val="center"/>
          </w:tcPr>
          <w:p w14:paraId="639C7EE6" w14:textId="77777777" w:rsidR="006D662B" w:rsidRPr="0007074F" w:rsidRDefault="006D662B" w:rsidP="000D3688">
            <w:pPr>
              <w:jc w:val="center"/>
              <w:rPr>
                <w:rFonts w:eastAsia="Calibri" w:cstheme="minorHAnsi"/>
                <w:color w:val="002060"/>
                <w:sz w:val="18"/>
                <w:szCs w:val="18"/>
                <w:lang w:val="sr-Cyrl-CS"/>
              </w:rPr>
            </w:pPr>
          </w:p>
        </w:tc>
      </w:tr>
      <w:tr w:rsidR="006D662B" w:rsidRPr="0007074F" w14:paraId="345E73B8" w14:textId="77777777" w:rsidTr="000D3688">
        <w:trPr>
          <w:trHeight w:val="281"/>
          <w:jc w:val="center"/>
        </w:trPr>
        <w:tc>
          <w:tcPr>
            <w:tcW w:w="2590" w:type="pct"/>
            <w:noWrap/>
            <w:vAlign w:val="center"/>
            <w:hideMark/>
          </w:tcPr>
          <w:p w14:paraId="45E624F2"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БДП дефлатор</w:t>
            </w:r>
          </w:p>
        </w:tc>
        <w:tc>
          <w:tcPr>
            <w:tcW w:w="603" w:type="pct"/>
            <w:tcBorders>
              <w:top w:val="nil"/>
              <w:left w:val="nil"/>
              <w:bottom w:val="nil"/>
              <w:right w:val="nil"/>
            </w:tcBorders>
            <w:shd w:val="clear" w:color="auto" w:fill="auto"/>
            <w:noWrap/>
            <w:vAlign w:val="center"/>
          </w:tcPr>
          <w:p w14:paraId="29242850" w14:textId="77777777" w:rsidR="006D662B" w:rsidRPr="0007074F" w:rsidRDefault="006D662B" w:rsidP="000D3688">
            <w:pPr>
              <w:jc w:val="center"/>
              <w:rPr>
                <w:color w:val="002060"/>
                <w:sz w:val="18"/>
                <w:lang w:val="sr-Cyrl-CS"/>
              </w:rPr>
            </w:pPr>
            <w:r w:rsidRPr="0007074F">
              <w:rPr>
                <w:color w:val="002060"/>
                <w:sz w:val="18"/>
                <w:lang w:val="sr-Cyrl-CS"/>
              </w:rPr>
              <w:t>11,5</w:t>
            </w:r>
          </w:p>
        </w:tc>
        <w:tc>
          <w:tcPr>
            <w:tcW w:w="604" w:type="pct"/>
            <w:tcBorders>
              <w:top w:val="nil"/>
              <w:left w:val="nil"/>
              <w:bottom w:val="nil"/>
              <w:right w:val="nil"/>
            </w:tcBorders>
            <w:shd w:val="clear" w:color="auto" w:fill="auto"/>
            <w:noWrap/>
            <w:vAlign w:val="center"/>
          </w:tcPr>
          <w:p w14:paraId="6B2B5B14" w14:textId="77777777" w:rsidR="006D662B" w:rsidRPr="0007074F" w:rsidRDefault="006D662B" w:rsidP="000D3688">
            <w:pPr>
              <w:jc w:val="center"/>
              <w:rPr>
                <w:color w:val="002060"/>
                <w:sz w:val="18"/>
                <w:lang w:val="sr-Cyrl-CS"/>
              </w:rPr>
            </w:pPr>
            <w:r w:rsidRPr="0007074F">
              <w:rPr>
                <w:color w:val="002060"/>
                <w:sz w:val="18"/>
                <w:lang w:val="sr-Cyrl-CS"/>
              </w:rPr>
              <w:t>4,6</w:t>
            </w:r>
          </w:p>
        </w:tc>
        <w:tc>
          <w:tcPr>
            <w:tcW w:w="603" w:type="pct"/>
            <w:tcBorders>
              <w:top w:val="nil"/>
              <w:left w:val="nil"/>
              <w:bottom w:val="nil"/>
              <w:right w:val="nil"/>
            </w:tcBorders>
            <w:shd w:val="clear" w:color="auto" w:fill="auto"/>
            <w:noWrap/>
            <w:vAlign w:val="center"/>
          </w:tcPr>
          <w:p w14:paraId="7951FC2F" w14:textId="77777777" w:rsidR="006D662B" w:rsidRPr="0007074F" w:rsidRDefault="006D662B" w:rsidP="000D3688">
            <w:pPr>
              <w:jc w:val="center"/>
              <w:rPr>
                <w:color w:val="002060"/>
                <w:sz w:val="18"/>
                <w:lang w:val="sr-Cyrl-CS"/>
              </w:rPr>
            </w:pPr>
            <w:r w:rsidRPr="0007074F">
              <w:rPr>
                <w:color w:val="002060"/>
                <w:sz w:val="18"/>
                <w:lang w:val="sr-Cyrl-CS"/>
              </w:rPr>
              <w:t>3,6</w:t>
            </w:r>
          </w:p>
        </w:tc>
        <w:tc>
          <w:tcPr>
            <w:tcW w:w="600" w:type="pct"/>
            <w:tcBorders>
              <w:top w:val="nil"/>
              <w:left w:val="nil"/>
              <w:bottom w:val="nil"/>
              <w:right w:val="nil"/>
            </w:tcBorders>
            <w:shd w:val="clear" w:color="auto" w:fill="auto"/>
            <w:noWrap/>
            <w:vAlign w:val="center"/>
          </w:tcPr>
          <w:p w14:paraId="594482E5" w14:textId="77777777" w:rsidR="006D662B" w:rsidRPr="0007074F" w:rsidRDefault="006D662B" w:rsidP="000D3688">
            <w:pPr>
              <w:jc w:val="center"/>
              <w:rPr>
                <w:color w:val="002060"/>
                <w:sz w:val="18"/>
                <w:lang w:val="sr-Cyrl-CS"/>
              </w:rPr>
            </w:pPr>
            <w:r w:rsidRPr="0007074F">
              <w:rPr>
                <w:color w:val="002060"/>
                <w:sz w:val="18"/>
                <w:lang w:val="sr-Cyrl-CS"/>
              </w:rPr>
              <w:t>2,9</w:t>
            </w:r>
          </w:p>
        </w:tc>
      </w:tr>
      <w:tr w:rsidR="006D662B" w:rsidRPr="0007074F" w14:paraId="142C844E" w14:textId="77777777" w:rsidTr="000D3688">
        <w:trPr>
          <w:trHeight w:val="281"/>
          <w:jc w:val="center"/>
        </w:trPr>
        <w:tc>
          <w:tcPr>
            <w:tcW w:w="2590" w:type="pct"/>
            <w:noWrap/>
            <w:vAlign w:val="center"/>
            <w:hideMark/>
          </w:tcPr>
          <w:p w14:paraId="268A1C3B"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Потрошачке цене (годишњи просек)</w:t>
            </w:r>
          </w:p>
        </w:tc>
        <w:tc>
          <w:tcPr>
            <w:tcW w:w="603" w:type="pct"/>
            <w:tcBorders>
              <w:top w:val="nil"/>
              <w:left w:val="nil"/>
              <w:bottom w:val="nil"/>
              <w:right w:val="nil"/>
            </w:tcBorders>
            <w:shd w:val="clear" w:color="auto" w:fill="auto"/>
            <w:noWrap/>
            <w:vAlign w:val="center"/>
          </w:tcPr>
          <w:p w14:paraId="1B69DABA" w14:textId="77777777" w:rsidR="006D662B" w:rsidRPr="0007074F" w:rsidRDefault="006D662B" w:rsidP="000D3688">
            <w:pPr>
              <w:jc w:val="center"/>
              <w:rPr>
                <w:color w:val="002060"/>
                <w:sz w:val="18"/>
                <w:lang w:val="sr-Cyrl-CS"/>
              </w:rPr>
            </w:pPr>
            <w:r w:rsidRPr="0007074F">
              <w:rPr>
                <w:color w:val="002060"/>
                <w:sz w:val="18"/>
                <w:lang w:val="sr-Cyrl-CS"/>
              </w:rPr>
              <w:t>12,5</w:t>
            </w:r>
          </w:p>
        </w:tc>
        <w:tc>
          <w:tcPr>
            <w:tcW w:w="604" w:type="pct"/>
            <w:tcBorders>
              <w:top w:val="nil"/>
              <w:left w:val="nil"/>
              <w:bottom w:val="nil"/>
              <w:right w:val="nil"/>
            </w:tcBorders>
            <w:shd w:val="clear" w:color="auto" w:fill="auto"/>
            <w:noWrap/>
            <w:vAlign w:val="center"/>
          </w:tcPr>
          <w:p w14:paraId="46F8DC80" w14:textId="77777777" w:rsidR="006D662B" w:rsidRPr="0007074F" w:rsidRDefault="006D662B" w:rsidP="000D3688">
            <w:pPr>
              <w:jc w:val="center"/>
              <w:rPr>
                <w:color w:val="002060"/>
                <w:sz w:val="18"/>
                <w:lang w:val="sr-Cyrl-CS"/>
              </w:rPr>
            </w:pPr>
            <w:r w:rsidRPr="0007074F">
              <w:rPr>
                <w:color w:val="002060"/>
                <w:sz w:val="18"/>
                <w:lang w:val="sr-Cyrl-CS"/>
              </w:rPr>
              <w:t>4,9</w:t>
            </w:r>
          </w:p>
        </w:tc>
        <w:tc>
          <w:tcPr>
            <w:tcW w:w="603" w:type="pct"/>
            <w:tcBorders>
              <w:top w:val="nil"/>
              <w:left w:val="nil"/>
              <w:bottom w:val="nil"/>
              <w:right w:val="nil"/>
            </w:tcBorders>
            <w:shd w:val="clear" w:color="auto" w:fill="auto"/>
            <w:noWrap/>
            <w:vAlign w:val="center"/>
          </w:tcPr>
          <w:p w14:paraId="542FE68D" w14:textId="77777777" w:rsidR="006D662B" w:rsidRPr="0007074F" w:rsidRDefault="006D662B" w:rsidP="000D3688">
            <w:pPr>
              <w:jc w:val="center"/>
              <w:rPr>
                <w:color w:val="002060"/>
                <w:sz w:val="18"/>
                <w:lang w:val="sr-Cyrl-CS"/>
              </w:rPr>
            </w:pPr>
            <w:r w:rsidRPr="0007074F">
              <w:rPr>
                <w:color w:val="002060"/>
                <w:sz w:val="18"/>
                <w:lang w:val="sr-Cyrl-CS"/>
              </w:rPr>
              <w:t>3,5</w:t>
            </w:r>
          </w:p>
        </w:tc>
        <w:tc>
          <w:tcPr>
            <w:tcW w:w="600" w:type="pct"/>
            <w:tcBorders>
              <w:top w:val="nil"/>
              <w:left w:val="nil"/>
              <w:bottom w:val="nil"/>
              <w:right w:val="nil"/>
            </w:tcBorders>
            <w:shd w:val="clear" w:color="auto" w:fill="auto"/>
            <w:noWrap/>
            <w:vAlign w:val="center"/>
          </w:tcPr>
          <w:p w14:paraId="4CAC9713" w14:textId="77777777" w:rsidR="006D662B" w:rsidRPr="0007074F" w:rsidRDefault="006D662B" w:rsidP="000D3688">
            <w:pPr>
              <w:jc w:val="center"/>
              <w:rPr>
                <w:color w:val="002060"/>
                <w:sz w:val="18"/>
                <w:lang w:val="sr-Cyrl-CS"/>
              </w:rPr>
            </w:pPr>
            <w:r w:rsidRPr="0007074F">
              <w:rPr>
                <w:color w:val="002060"/>
                <w:sz w:val="18"/>
                <w:lang w:val="sr-Cyrl-CS"/>
              </w:rPr>
              <w:t>3,0</w:t>
            </w:r>
          </w:p>
        </w:tc>
      </w:tr>
      <w:tr w:rsidR="006D662B" w:rsidRPr="0007074F" w14:paraId="4ED6AC57" w14:textId="77777777" w:rsidTr="000D3688">
        <w:trPr>
          <w:trHeight w:val="281"/>
          <w:jc w:val="center"/>
        </w:trPr>
        <w:tc>
          <w:tcPr>
            <w:tcW w:w="2590" w:type="pct"/>
            <w:shd w:val="clear" w:color="auto" w:fill="E7E6E6" w:themeFill="background2"/>
            <w:noWrap/>
            <w:vAlign w:val="center"/>
            <w:hideMark/>
          </w:tcPr>
          <w:p w14:paraId="0ADC53FE" w14:textId="77777777" w:rsidR="006D662B" w:rsidRPr="0007074F" w:rsidRDefault="006D662B" w:rsidP="00953528">
            <w:pPr>
              <w:jc w:val="left"/>
              <w:rPr>
                <w:rFonts w:eastAsia="Calibri" w:cstheme="minorHAnsi"/>
                <w:bCs/>
                <w:iCs/>
                <w:color w:val="002060"/>
                <w:sz w:val="18"/>
                <w:szCs w:val="18"/>
                <w:lang w:val="sr-Cyrl-CS"/>
              </w:rPr>
            </w:pPr>
            <w:r w:rsidRPr="0007074F">
              <w:rPr>
                <w:rFonts w:eastAsia="Calibri" w:cstheme="minorHAnsi"/>
                <w:iCs/>
                <w:color w:val="002060"/>
                <w:sz w:val="18"/>
                <w:szCs w:val="18"/>
                <w:lang w:val="sr-Cyrl-CS"/>
              </w:rPr>
              <w:t>Кретања у спољном сектору, % БДП</w:t>
            </w:r>
          </w:p>
        </w:tc>
        <w:tc>
          <w:tcPr>
            <w:tcW w:w="603" w:type="pct"/>
            <w:shd w:val="clear" w:color="auto" w:fill="E7E6E6" w:themeFill="background2"/>
            <w:noWrap/>
            <w:vAlign w:val="center"/>
          </w:tcPr>
          <w:p w14:paraId="418EFED5" w14:textId="77777777" w:rsidR="006D662B" w:rsidRPr="0007074F" w:rsidRDefault="006D662B" w:rsidP="000D3688">
            <w:pPr>
              <w:jc w:val="center"/>
              <w:rPr>
                <w:rFonts w:eastAsia="Calibri" w:cstheme="minorHAnsi"/>
                <w:color w:val="002060"/>
                <w:sz w:val="18"/>
                <w:szCs w:val="18"/>
                <w:lang w:val="sr-Cyrl-CS"/>
              </w:rPr>
            </w:pPr>
          </w:p>
        </w:tc>
        <w:tc>
          <w:tcPr>
            <w:tcW w:w="604" w:type="pct"/>
            <w:shd w:val="clear" w:color="auto" w:fill="E7E6E6" w:themeFill="background2"/>
            <w:noWrap/>
            <w:vAlign w:val="center"/>
          </w:tcPr>
          <w:p w14:paraId="25D2F6C4" w14:textId="77777777" w:rsidR="006D662B" w:rsidRPr="0007074F" w:rsidRDefault="006D662B" w:rsidP="000D3688">
            <w:pPr>
              <w:jc w:val="center"/>
              <w:rPr>
                <w:rFonts w:eastAsia="Calibri" w:cstheme="minorHAnsi"/>
                <w:color w:val="002060"/>
                <w:sz w:val="18"/>
                <w:szCs w:val="18"/>
                <w:lang w:val="sr-Cyrl-CS"/>
              </w:rPr>
            </w:pPr>
          </w:p>
        </w:tc>
        <w:tc>
          <w:tcPr>
            <w:tcW w:w="603" w:type="pct"/>
            <w:shd w:val="clear" w:color="auto" w:fill="E7E6E6" w:themeFill="background2"/>
            <w:noWrap/>
            <w:vAlign w:val="center"/>
          </w:tcPr>
          <w:p w14:paraId="29517853" w14:textId="77777777" w:rsidR="006D662B" w:rsidRPr="0007074F" w:rsidRDefault="006D662B" w:rsidP="000D3688">
            <w:pPr>
              <w:jc w:val="center"/>
              <w:rPr>
                <w:rFonts w:eastAsia="Calibri" w:cstheme="minorHAnsi"/>
                <w:color w:val="002060"/>
                <w:sz w:val="18"/>
                <w:szCs w:val="18"/>
                <w:lang w:val="sr-Cyrl-CS"/>
              </w:rPr>
            </w:pPr>
          </w:p>
        </w:tc>
        <w:tc>
          <w:tcPr>
            <w:tcW w:w="600" w:type="pct"/>
            <w:shd w:val="clear" w:color="auto" w:fill="E7E6E6" w:themeFill="background2"/>
            <w:noWrap/>
            <w:vAlign w:val="center"/>
          </w:tcPr>
          <w:p w14:paraId="3581C7B1" w14:textId="77777777" w:rsidR="006D662B" w:rsidRPr="0007074F" w:rsidRDefault="006D662B" w:rsidP="000D3688">
            <w:pPr>
              <w:jc w:val="center"/>
              <w:rPr>
                <w:rFonts w:eastAsia="Calibri" w:cstheme="minorHAnsi"/>
                <w:color w:val="002060"/>
                <w:sz w:val="18"/>
                <w:szCs w:val="18"/>
                <w:lang w:val="sr-Cyrl-CS"/>
              </w:rPr>
            </w:pPr>
          </w:p>
        </w:tc>
      </w:tr>
      <w:tr w:rsidR="006D662B" w:rsidRPr="0007074F" w14:paraId="16903D62" w14:textId="77777777" w:rsidTr="000D3688">
        <w:trPr>
          <w:trHeight w:val="281"/>
          <w:jc w:val="center"/>
        </w:trPr>
        <w:tc>
          <w:tcPr>
            <w:tcW w:w="2590" w:type="pct"/>
            <w:noWrap/>
            <w:vAlign w:val="center"/>
            <w:hideMark/>
          </w:tcPr>
          <w:p w14:paraId="1C9E53AF"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Салдо роба и услуга</w:t>
            </w:r>
          </w:p>
        </w:tc>
        <w:tc>
          <w:tcPr>
            <w:tcW w:w="603" w:type="pct"/>
            <w:tcBorders>
              <w:top w:val="nil"/>
              <w:left w:val="nil"/>
              <w:bottom w:val="nil"/>
              <w:right w:val="nil"/>
            </w:tcBorders>
            <w:shd w:val="clear" w:color="auto" w:fill="auto"/>
            <w:noWrap/>
            <w:vAlign w:val="center"/>
          </w:tcPr>
          <w:p w14:paraId="00FD1E65" w14:textId="77777777" w:rsidR="006D662B" w:rsidRPr="0007074F" w:rsidRDefault="006D662B" w:rsidP="000D3688">
            <w:pPr>
              <w:jc w:val="center"/>
              <w:rPr>
                <w:color w:val="002060"/>
                <w:sz w:val="18"/>
                <w:lang w:val="sr-Cyrl-CS"/>
              </w:rPr>
            </w:pPr>
            <w:r w:rsidRPr="0007074F">
              <w:rPr>
                <w:color w:val="002060"/>
                <w:sz w:val="18"/>
                <w:lang w:val="sr-Cyrl-CS"/>
              </w:rPr>
              <w:t>-9,0</w:t>
            </w:r>
          </w:p>
        </w:tc>
        <w:tc>
          <w:tcPr>
            <w:tcW w:w="604" w:type="pct"/>
            <w:tcBorders>
              <w:top w:val="nil"/>
              <w:left w:val="nil"/>
              <w:bottom w:val="nil"/>
              <w:right w:val="nil"/>
            </w:tcBorders>
            <w:shd w:val="clear" w:color="auto" w:fill="auto"/>
            <w:noWrap/>
            <w:vAlign w:val="center"/>
          </w:tcPr>
          <w:p w14:paraId="0983B68D" w14:textId="77777777" w:rsidR="006D662B" w:rsidRPr="0007074F" w:rsidRDefault="006D662B" w:rsidP="000D3688">
            <w:pPr>
              <w:jc w:val="center"/>
              <w:rPr>
                <w:color w:val="002060"/>
                <w:sz w:val="18"/>
                <w:lang w:val="sr-Cyrl-CS"/>
              </w:rPr>
            </w:pPr>
            <w:r w:rsidRPr="0007074F">
              <w:rPr>
                <w:color w:val="002060"/>
                <w:sz w:val="18"/>
                <w:lang w:val="sr-Cyrl-CS"/>
              </w:rPr>
              <w:t>-8,5</w:t>
            </w:r>
          </w:p>
        </w:tc>
        <w:tc>
          <w:tcPr>
            <w:tcW w:w="603" w:type="pct"/>
            <w:tcBorders>
              <w:top w:val="nil"/>
              <w:left w:val="nil"/>
              <w:bottom w:val="nil"/>
              <w:right w:val="nil"/>
            </w:tcBorders>
            <w:shd w:val="clear" w:color="auto" w:fill="auto"/>
            <w:noWrap/>
            <w:vAlign w:val="center"/>
          </w:tcPr>
          <w:p w14:paraId="1CFEF8FF" w14:textId="77777777" w:rsidR="006D662B" w:rsidRPr="0007074F" w:rsidRDefault="006D662B" w:rsidP="000D3688">
            <w:pPr>
              <w:jc w:val="center"/>
              <w:rPr>
                <w:color w:val="002060"/>
                <w:sz w:val="18"/>
                <w:lang w:val="sr-Cyrl-CS"/>
              </w:rPr>
            </w:pPr>
            <w:r w:rsidRPr="0007074F">
              <w:rPr>
                <w:color w:val="002060"/>
                <w:sz w:val="18"/>
                <w:lang w:val="sr-Cyrl-CS"/>
              </w:rPr>
              <w:t>-7,9</w:t>
            </w:r>
          </w:p>
        </w:tc>
        <w:tc>
          <w:tcPr>
            <w:tcW w:w="600" w:type="pct"/>
            <w:tcBorders>
              <w:top w:val="nil"/>
              <w:left w:val="nil"/>
              <w:bottom w:val="nil"/>
              <w:right w:val="nil"/>
            </w:tcBorders>
            <w:shd w:val="clear" w:color="auto" w:fill="auto"/>
            <w:noWrap/>
            <w:vAlign w:val="center"/>
          </w:tcPr>
          <w:p w14:paraId="7CA30F55" w14:textId="77777777" w:rsidR="006D662B" w:rsidRPr="0007074F" w:rsidRDefault="006D662B" w:rsidP="000D3688">
            <w:pPr>
              <w:jc w:val="center"/>
              <w:rPr>
                <w:color w:val="002060"/>
                <w:sz w:val="18"/>
                <w:lang w:val="sr-Cyrl-CS"/>
              </w:rPr>
            </w:pPr>
            <w:r w:rsidRPr="0007074F">
              <w:rPr>
                <w:color w:val="002060"/>
                <w:sz w:val="18"/>
                <w:lang w:val="sr-Cyrl-CS"/>
              </w:rPr>
              <w:t>-7,2</w:t>
            </w:r>
          </w:p>
        </w:tc>
      </w:tr>
      <w:tr w:rsidR="006D662B" w:rsidRPr="0007074F" w14:paraId="015E6A27" w14:textId="77777777" w:rsidTr="000D3688">
        <w:trPr>
          <w:trHeight w:val="281"/>
          <w:jc w:val="center"/>
        </w:trPr>
        <w:tc>
          <w:tcPr>
            <w:tcW w:w="2590" w:type="pct"/>
            <w:noWrap/>
            <w:vAlign w:val="center"/>
            <w:hideMark/>
          </w:tcPr>
          <w:p w14:paraId="368FA075" w14:textId="77777777" w:rsidR="006D662B" w:rsidRPr="0007074F" w:rsidRDefault="006D662B" w:rsidP="000D368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Салдо текућег рачуна</w:t>
            </w:r>
          </w:p>
        </w:tc>
        <w:tc>
          <w:tcPr>
            <w:tcW w:w="603" w:type="pct"/>
            <w:tcBorders>
              <w:top w:val="nil"/>
              <w:left w:val="nil"/>
              <w:bottom w:val="nil"/>
              <w:right w:val="nil"/>
            </w:tcBorders>
            <w:shd w:val="clear" w:color="auto" w:fill="auto"/>
            <w:noWrap/>
            <w:vAlign w:val="center"/>
          </w:tcPr>
          <w:p w14:paraId="3F0B89C3" w14:textId="77777777" w:rsidR="006D662B" w:rsidRPr="0007074F" w:rsidRDefault="006D662B" w:rsidP="000D3688">
            <w:pPr>
              <w:jc w:val="center"/>
              <w:rPr>
                <w:color w:val="002060"/>
                <w:sz w:val="18"/>
                <w:lang w:val="sr-Cyrl-CS"/>
              </w:rPr>
            </w:pPr>
            <w:r w:rsidRPr="0007074F">
              <w:rPr>
                <w:color w:val="002060"/>
                <w:sz w:val="18"/>
                <w:lang w:val="sr-Cyrl-CS"/>
              </w:rPr>
              <w:t>-5,3</w:t>
            </w:r>
          </w:p>
        </w:tc>
        <w:tc>
          <w:tcPr>
            <w:tcW w:w="604" w:type="pct"/>
            <w:tcBorders>
              <w:top w:val="nil"/>
              <w:left w:val="nil"/>
              <w:bottom w:val="nil"/>
              <w:right w:val="nil"/>
            </w:tcBorders>
            <w:shd w:val="clear" w:color="auto" w:fill="auto"/>
            <w:noWrap/>
            <w:vAlign w:val="center"/>
          </w:tcPr>
          <w:p w14:paraId="38B0CED7" w14:textId="77777777" w:rsidR="006D662B" w:rsidRPr="0007074F" w:rsidRDefault="006D662B" w:rsidP="000D3688">
            <w:pPr>
              <w:jc w:val="center"/>
              <w:rPr>
                <w:color w:val="002060"/>
                <w:sz w:val="18"/>
                <w:lang w:val="sr-Cyrl-CS"/>
              </w:rPr>
            </w:pPr>
            <w:r w:rsidRPr="0007074F">
              <w:rPr>
                <w:color w:val="002060"/>
                <w:sz w:val="18"/>
                <w:lang w:val="sr-Cyrl-CS"/>
              </w:rPr>
              <w:t>-5,2</w:t>
            </w:r>
          </w:p>
        </w:tc>
        <w:tc>
          <w:tcPr>
            <w:tcW w:w="603" w:type="pct"/>
            <w:tcBorders>
              <w:top w:val="nil"/>
              <w:left w:val="nil"/>
              <w:bottom w:val="nil"/>
              <w:right w:val="nil"/>
            </w:tcBorders>
            <w:shd w:val="clear" w:color="auto" w:fill="auto"/>
            <w:noWrap/>
            <w:vAlign w:val="center"/>
          </w:tcPr>
          <w:p w14:paraId="71FBCF24" w14:textId="77777777" w:rsidR="006D662B" w:rsidRPr="0007074F" w:rsidRDefault="006D662B" w:rsidP="000D3688">
            <w:pPr>
              <w:jc w:val="center"/>
              <w:rPr>
                <w:color w:val="002060"/>
                <w:sz w:val="18"/>
                <w:lang w:val="sr-Cyrl-CS"/>
              </w:rPr>
            </w:pPr>
            <w:r w:rsidRPr="0007074F">
              <w:rPr>
                <w:color w:val="002060"/>
                <w:sz w:val="18"/>
                <w:lang w:val="sr-Cyrl-CS"/>
              </w:rPr>
              <w:t>-5,1</w:t>
            </w:r>
          </w:p>
        </w:tc>
        <w:tc>
          <w:tcPr>
            <w:tcW w:w="600" w:type="pct"/>
            <w:tcBorders>
              <w:top w:val="nil"/>
              <w:left w:val="nil"/>
              <w:bottom w:val="nil"/>
              <w:right w:val="nil"/>
            </w:tcBorders>
            <w:shd w:val="clear" w:color="auto" w:fill="auto"/>
            <w:noWrap/>
            <w:vAlign w:val="center"/>
          </w:tcPr>
          <w:p w14:paraId="64468B64" w14:textId="77777777" w:rsidR="006D662B" w:rsidRPr="0007074F" w:rsidRDefault="006D662B" w:rsidP="000D3688">
            <w:pPr>
              <w:jc w:val="center"/>
              <w:rPr>
                <w:color w:val="002060"/>
                <w:sz w:val="18"/>
                <w:lang w:val="sr-Cyrl-CS"/>
              </w:rPr>
            </w:pPr>
            <w:r w:rsidRPr="0007074F">
              <w:rPr>
                <w:color w:val="002060"/>
                <w:sz w:val="18"/>
                <w:lang w:val="sr-Cyrl-CS"/>
              </w:rPr>
              <w:t>-4,7</w:t>
            </w:r>
          </w:p>
        </w:tc>
      </w:tr>
      <w:tr w:rsidR="006D662B" w:rsidRPr="0007074F" w14:paraId="4F88FBC1" w14:textId="77777777" w:rsidTr="000D3688">
        <w:trPr>
          <w:trHeight w:val="283"/>
          <w:jc w:val="center"/>
        </w:trPr>
        <w:tc>
          <w:tcPr>
            <w:tcW w:w="2590" w:type="pct"/>
            <w:shd w:val="clear" w:color="auto" w:fill="E7E6E6" w:themeFill="background2"/>
            <w:noWrap/>
            <w:vAlign w:val="center"/>
            <w:hideMark/>
          </w:tcPr>
          <w:p w14:paraId="1E1B0016" w14:textId="77777777" w:rsidR="006D662B" w:rsidRPr="0007074F" w:rsidRDefault="006D662B" w:rsidP="00953528">
            <w:pPr>
              <w:jc w:val="left"/>
              <w:rPr>
                <w:rFonts w:eastAsia="Calibri" w:cstheme="minorHAnsi"/>
                <w:bCs/>
                <w:iCs/>
                <w:color w:val="002060"/>
                <w:sz w:val="18"/>
                <w:szCs w:val="18"/>
                <w:lang w:val="sr-Cyrl-CS"/>
              </w:rPr>
            </w:pPr>
            <w:r w:rsidRPr="0007074F">
              <w:rPr>
                <w:rFonts w:eastAsia="Calibri" w:cstheme="minorHAnsi"/>
                <w:iCs/>
                <w:color w:val="002060"/>
                <w:sz w:val="18"/>
                <w:szCs w:val="18"/>
                <w:lang w:val="sr-Cyrl-CS"/>
              </w:rPr>
              <w:t>Фискални индикатори, % БДП</w:t>
            </w:r>
          </w:p>
        </w:tc>
        <w:tc>
          <w:tcPr>
            <w:tcW w:w="603" w:type="pct"/>
            <w:shd w:val="clear" w:color="auto" w:fill="E7E6E6" w:themeFill="background2"/>
            <w:noWrap/>
            <w:vAlign w:val="center"/>
          </w:tcPr>
          <w:p w14:paraId="0CDEFC07" w14:textId="77777777" w:rsidR="006D662B" w:rsidRPr="0007074F" w:rsidRDefault="006D662B" w:rsidP="000D3688">
            <w:pPr>
              <w:jc w:val="center"/>
              <w:rPr>
                <w:rFonts w:eastAsia="Calibri" w:cstheme="minorHAnsi"/>
                <w:iCs/>
                <w:color w:val="002060"/>
                <w:sz w:val="18"/>
                <w:szCs w:val="18"/>
                <w:lang w:val="sr-Cyrl-CS"/>
              </w:rPr>
            </w:pPr>
          </w:p>
        </w:tc>
        <w:tc>
          <w:tcPr>
            <w:tcW w:w="604" w:type="pct"/>
            <w:shd w:val="clear" w:color="auto" w:fill="E7E6E6" w:themeFill="background2"/>
            <w:noWrap/>
            <w:vAlign w:val="center"/>
          </w:tcPr>
          <w:p w14:paraId="617741B7" w14:textId="77777777" w:rsidR="006D662B" w:rsidRPr="0007074F" w:rsidRDefault="006D662B" w:rsidP="000D3688">
            <w:pPr>
              <w:jc w:val="center"/>
              <w:rPr>
                <w:rFonts w:eastAsia="Calibri" w:cstheme="minorHAnsi"/>
                <w:color w:val="002060"/>
                <w:sz w:val="18"/>
                <w:szCs w:val="18"/>
                <w:lang w:val="sr-Cyrl-CS"/>
              </w:rPr>
            </w:pPr>
          </w:p>
        </w:tc>
        <w:tc>
          <w:tcPr>
            <w:tcW w:w="603" w:type="pct"/>
            <w:shd w:val="clear" w:color="auto" w:fill="E7E6E6" w:themeFill="background2"/>
            <w:noWrap/>
            <w:vAlign w:val="center"/>
          </w:tcPr>
          <w:p w14:paraId="3720EF45" w14:textId="77777777" w:rsidR="006D662B" w:rsidRPr="0007074F" w:rsidRDefault="006D662B" w:rsidP="000D3688">
            <w:pPr>
              <w:jc w:val="center"/>
              <w:rPr>
                <w:rFonts w:eastAsia="Calibri" w:cstheme="minorHAnsi"/>
                <w:color w:val="002060"/>
                <w:sz w:val="18"/>
                <w:szCs w:val="18"/>
                <w:lang w:val="sr-Cyrl-CS"/>
              </w:rPr>
            </w:pPr>
          </w:p>
        </w:tc>
        <w:tc>
          <w:tcPr>
            <w:tcW w:w="600" w:type="pct"/>
            <w:shd w:val="clear" w:color="auto" w:fill="E7E6E6" w:themeFill="background2"/>
            <w:noWrap/>
            <w:vAlign w:val="center"/>
          </w:tcPr>
          <w:p w14:paraId="05880DE0" w14:textId="77777777" w:rsidR="006D662B" w:rsidRPr="0007074F" w:rsidRDefault="006D662B" w:rsidP="000D3688">
            <w:pPr>
              <w:jc w:val="center"/>
              <w:rPr>
                <w:rFonts w:eastAsia="Calibri" w:cstheme="minorHAnsi"/>
                <w:color w:val="002060"/>
                <w:sz w:val="18"/>
                <w:szCs w:val="18"/>
                <w:lang w:val="sr-Cyrl-CS"/>
              </w:rPr>
            </w:pPr>
          </w:p>
        </w:tc>
      </w:tr>
      <w:tr w:rsidR="006D662B" w:rsidRPr="0007074F" w14:paraId="6271F9B6" w14:textId="77777777" w:rsidTr="000D3688">
        <w:trPr>
          <w:trHeight w:val="281"/>
          <w:jc w:val="center"/>
        </w:trPr>
        <w:tc>
          <w:tcPr>
            <w:tcW w:w="2590" w:type="pct"/>
            <w:noWrap/>
            <w:vAlign w:val="center"/>
            <w:hideMark/>
          </w:tcPr>
          <w:p w14:paraId="552EE97D" w14:textId="2F530159" w:rsidR="006D662B" w:rsidRPr="0007074F" w:rsidRDefault="006D662B">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 xml:space="preserve">Фискални резултат </w:t>
            </w:r>
            <w:r w:rsidR="00332897" w:rsidRPr="0007074F">
              <w:rPr>
                <w:rFonts w:eastAsia="Calibri" w:cstheme="minorHAnsi"/>
                <w:color w:val="002060"/>
                <w:sz w:val="18"/>
                <w:szCs w:val="18"/>
                <w:lang w:val="sr-Cyrl-CS"/>
              </w:rPr>
              <w:t xml:space="preserve">сектора </w:t>
            </w:r>
            <w:r w:rsidRPr="0007074F">
              <w:rPr>
                <w:rFonts w:eastAsia="Calibri" w:cstheme="minorHAnsi"/>
                <w:color w:val="002060"/>
                <w:sz w:val="18"/>
                <w:szCs w:val="18"/>
                <w:lang w:val="sr-Cyrl-CS"/>
              </w:rPr>
              <w:t>државе</w:t>
            </w:r>
          </w:p>
        </w:tc>
        <w:tc>
          <w:tcPr>
            <w:tcW w:w="603" w:type="pct"/>
            <w:shd w:val="clear" w:color="auto" w:fill="auto"/>
            <w:noWrap/>
            <w:vAlign w:val="center"/>
          </w:tcPr>
          <w:p w14:paraId="03C03A1A" w14:textId="77777777" w:rsidR="006D662B" w:rsidRPr="0007074F" w:rsidRDefault="006D662B" w:rsidP="000D3688">
            <w:pPr>
              <w:jc w:val="center"/>
              <w:rPr>
                <w:color w:val="002060"/>
                <w:sz w:val="18"/>
                <w:lang w:val="sr-Cyrl-CS"/>
              </w:rPr>
            </w:pPr>
            <w:r w:rsidRPr="0007074F">
              <w:rPr>
                <w:color w:val="002060"/>
                <w:sz w:val="18"/>
                <w:lang w:val="sr-Cyrl-CS"/>
              </w:rPr>
              <w:t>-3,0</w:t>
            </w:r>
          </w:p>
        </w:tc>
        <w:tc>
          <w:tcPr>
            <w:tcW w:w="604" w:type="pct"/>
            <w:shd w:val="clear" w:color="auto" w:fill="auto"/>
            <w:noWrap/>
            <w:vAlign w:val="center"/>
          </w:tcPr>
          <w:p w14:paraId="0081BB2F" w14:textId="77777777" w:rsidR="006D662B" w:rsidRPr="0007074F" w:rsidRDefault="006D662B" w:rsidP="000D3688">
            <w:pPr>
              <w:jc w:val="center"/>
              <w:rPr>
                <w:color w:val="002060"/>
                <w:sz w:val="18"/>
                <w:lang w:val="sr-Cyrl-CS"/>
              </w:rPr>
            </w:pPr>
            <w:r w:rsidRPr="0007074F">
              <w:rPr>
                <w:color w:val="002060"/>
                <w:sz w:val="18"/>
                <w:lang w:val="sr-Cyrl-CS"/>
              </w:rPr>
              <w:t>-2,2</w:t>
            </w:r>
          </w:p>
        </w:tc>
        <w:tc>
          <w:tcPr>
            <w:tcW w:w="603" w:type="pct"/>
            <w:shd w:val="clear" w:color="auto" w:fill="auto"/>
            <w:noWrap/>
            <w:vAlign w:val="center"/>
          </w:tcPr>
          <w:p w14:paraId="0BF6B559" w14:textId="77777777" w:rsidR="006D662B" w:rsidRPr="0007074F" w:rsidRDefault="006D662B" w:rsidP="000D3688">
            <w:pPr>
              <w:jc w:val="center"/>
              <w:rPr>
                <w:color w:val="002060"/>
                <w:sz w:val="18"/>
                <w:lang w:val="sr-Cyrl-CS"/>
              </w:rPr>
            </w:pPr>
            <w:r w:rsidRPr="0007074F">
              <w:rPr>
                <w:color w:val="002060"/>
                <w:sz w:val="18"/>
                <w:lang w:val="sr-Cyrl-CS"/>
              </w:rPr>
              <w:t>-1,5</w:t>
            </w:r>
          </w:p>
        </w:tc>
        <w:tc>
          <w:tcPr>
            <w:tcW w:w="600" w:type="pct"/>
            <w:shd w:val="clear" w:color="auto" w:fill="auto"/>
            <w:noWrap/>
            <w:vAlign w:val="center"/>
          </w:tcPr>
          <w:p w14:paraId="1297BE73" w14:textId="77777777" w:rsidR="006D662B" w:rsidRPr="0007074F" w:rsidRDefault="006D662B" w:rsidP="000D3688">
            <w:pPr>
              <w:jc w:val="center"/>
              <w:rPr>
                <w:color w:val="002060"/>
                <w:sz w:val="18"/>
                <w:lang w:val="sr-Cyrl-CS"/>
              </w:rPr>
            </w:pPr>
            <w:r w:rsidRPr="0007074F">
              <w:rPr>
                <w:color w:val="002060"/>
                <w:sz w:val="18"/>
                <w:lang w:val="sr-Cyrl-CS"/>
              </w:rPr>
              <w:t>-1,5</w:t>
            </w:r>
          </w:p>
        </w:tc>
      </w:tr>
      <w:tr w:rsidR="006D662B" w:rsidRPr="0007074F" w14:paraId="2F05C8D7" w14:textId="77777777" w:rsidTr="000D3688">
        <w:trPr>
          <w:trHeight w:val="281"/>
          <w:jc w:val="center"/>
        </w:trPr>
        <w:tc>
          <w:tcPr>
            <w:tcW w:w="2590" w:type="pct"/>
            <w:noWrap/>
            <w:vAlign w:val="center"/>
            <w:hideMark/>
          </w:tcPr>
          <w:p w14:paraId="49859897" w14:textId="77777777" w:rsidR="006D662B" w:rsidRPr="0007074F" w:rsidRDefault="006D662B" w:rsidP="0095352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Консолидовани приходи</w:t>
            </w:r>
          </w:p>
        </w:tc>
        <w:tc>
          <w:tcPr>
            <w:tcW w:w="603" w:type="pct"/>
            <w:shd w:val="clear" w:color="auto" w:fill="auto"/>
            <w:noWrap/>
            <w:vAlign w:val="center"/>
          </w:tcPr>
          <w:p w14:paraId="253BB65E" w14:textId="77777777" w:rsidR="006D662B" w:rsidRPr="0007074F" w:rsidRDefault="006D662B" w:rsidP="000D3688">
            <w:pPr>
              <w:jc w:val="center"/>
              <w:rPr>
                <w:color w:val="002060"/>
                <w:sz w:val="18"/>
                <w:lang w:val="sr-Cyrl-CS"/>
              </w:rPr>
            </w:pPr>
            <w:r w:rsidRPr="0007074F">
              <w:rPr>
                <w:color w:val="002060"/>
                <w:sz w:val="18"/>
                <w:lang w:val="sr-Cyrl-CS"/>
              </w:rPr>
              <w:t>41,8</w:t>
            </w:r>
          </w:p>
        </w:tc>
        <w:tc>
          <w:tcPr>
            <w:tcW w:w="604" w:type="pct"/>
            <w:shd w:val="clear" w:color="auto" w:fill="auto"/>
            <w:noWrap/>
            <w:vAlign w:val="center"/>
          </w:tcPr>
          <w:p w14:paraId="7ED001FF" w14:textId="77777777" w:rsidR="006D662B" w:rsidRPr="0007074F" w:rsidRDefault="006D662B" w:rsidP="000D3688">
            <w:pPr>
              <w:jc w:val="center"/>
              <w:rPr>
                <w:color w:val="002060"/>
                <w:sz w:val="18"/>
                <w:lang w:val="sr-Cyrl-CS"/>
              </w:rPr>
            </w:pPr>
            <w:r w:rsidRPr="0007074F">
              <w:rPr>
                <w:color w:val="002060"/>
                <w:sz w:val="18"/>
                <w:lang w:val="sr-Cyrl-CS"/>
              </w:rPr>
              <w:t>41,5</w:t>
            </w:r>
          </w:p>
        </w:tc>
        <w:tc>
          <w:tcPr>
            <w:tcW w:w="603" w:type="pct"/>
            <w:shd w:val="clear" w:color="auto" w:fill="auto"/>
            <w:noWrap/>
            <w:vAlign w:val="center"/>
          </w:tcPr>
          <w:p w14:paraId="0CE98947" w14:textId="77777777" w:rsidR="006D662B" w:rsidRPr="0007074F" w:rsidRDefault="006D662B" w:rsidP="000D3688">
            <w:pPr>
              <w:jc w:val="center"/>
              <w:rPr>
                <w:color w:val="002060"/>
                <w:sz w:val="18"/>
                <w:lang w:val="sr-Cyrl-CS"/>
              </w:rPr>
            </w:pPr>
            <w:r w:rsidRPr="0007074F">
              <w:rPr>
                <w:color w:val="002060"/>
                <w:sz w:val="18"/>
                <w:lang w:val="sr-Cyrl-CS"/>
              </w:rPr>
              <w:t>41,5</w:t>
            </w:r>
          </w:p>
        </w:tc>
        <w:tc>
          <w:tcPr>
            <w:tcW w:w="600" w:type="pct"/>
            <w:shd w:val="clear" w:color="auto" w:fill="auto"/>
            <w:noWrap/>
            <w:vAlign w:val="center"/>
          </w:tcPr>
          <w:p w14:paraId="76442329" w14:textId="77777777" w:rsidR="006D662B" w:rsidRPr="0007074F" w:rsidRDefault="006D662B" w:rsidP="000D3688">
            <w:pPr>
              <w:jc w:val="center"/>
              <w:rPr>
                <w:color w:val="002060"/>
                <w:sz w:val="18"/>
                <w:lang w:val="sr-Cyrl-CS"/>
              </w:rPr>
            </w:pPr>
            <w:r w:rsidRPr="0007074F">
              <w:rPr>
                <w:color w:val="002060"/>
                <w:sz w:val="18"/>
                <w:lang w:val="sr-Cyrl-CS"/>
              </w:rPr>
              <w:t>41,4</w:t>
            </w:r>
          </w:p>
        </w:tc>
      </w:tr>
      <w:tr w:rsidR="006D662B" w:rsidRPr="0007074F" w14:paraId="4C2E74CE" w14:textId="77777777" w:rsidTr="000D3688">
        <w:trPr>
          <w:trHeight w:val="281"/>
          <w:jc w:val="center"/>
        </w:trPr>
        <w:tc>
          <w:tcPr>
            <w:tcW w:w="2590" w:type="pct"/>
            <w:noWrap/>
            <w:vAlign w:val="center"/>
            <w:hideMark/>
          </w:tcPr>
          <w:p w14:paraId="0BF6BE25" w14:textId="77777777" w:rsidR="006D662B" w:rsidRPr="0007074F" w:rsidRDefault="006D662B" w:rsidP="00953528">
            <w:pPr>
              <w:ind w:left="113"/>
              <w:jc w:val="left"/>
              <w:rPr>
                <w:rFonts w:eastAsia="Calibri" w:cstheme="minorHAnsi"/>
                <w:color w:val="002060"/>
                <w:sz w:val="18"/>
                <w:szCs w:val="18"/>
                <w:lang w:val="sr-Cyrl-CS"/>
              </w:rPr>
            </w:pPr>
            <w:r w:rsidRPr="0007074F">
              <w:rPr>
                <w:rFonts w:eastAsia="Calibri" w:cstheme="minorHAnsi"/>
                <w:color w:val="002060"/>
                <w:sz w:val="18"/>
                <w:szCs w:val="18"/>
                <w:lang w:val="sr-Cyrl-CS"/>
              </w:rPr>
              <w:t>Консолидовани расходи</w:t>
            </w:r>
          </w:p>
        </w:tc>
        <w:tc>
          <w:tcPr>
            <w:tcW w:w="603" w:type="pct"/>
            <w:shd w:val="clear" w:color="auto" w:fill="auto"/>
            <w:noWrap/>
            <w:vAlign w:val="center"/>
          </w:tcPr>
          <w:p w14:paraId="13E94359" w14:textId="77777777" w:rsidR="006D662B" w:rsidRPr="0007074F" w:rsidRDefault="006D662B" w:rsidP="000D3688">
            <w:pPr>
              <w:jc w:val="center"/>
              <w:rPr>
                <w:color w:val="002060"/>
                <w:sz w:val="18"/>
                <w:lang w:val="sr-Cyrl-CS"/>
              </w:rPr>
            </w:pPr>
            <w:r w:rsidRPr="0007074F">
              <w:rPr>
                <w:color w:val="002060"/>
                <w:sz w:val="18"/>
                <w:lang w:val="sr-Cyrl-CS"/>
              </w:rPr>
              <w:t>44,9</w:t>
            </w:r>
          </w:p>
        </w:tc>
        <w:tc>
          <w:tcPr>
            <w:tcW w:w="604" w:type="pct"/>
            <w:shd w:val="clear" w:color="auto" w:fill="auto"/>
            <w:noWrap/>
            <w:vAlign w:val="center"/>
          </w:tcPr>
          <w:p w14:paraId="76C95FC1" w14:textId="77777777" w:rsidR="006D662B" w:rsidRPr="0007074F" w:rsidRDefault="006D662B" w:rsidP="000D3688">
            <w:pPr>
              <w:jc w:val="center"/>
              <w:rPr>
                <w:color w:val="002060"/>
                <w:sz w:val="18"/>
                <w:lang w:val="sr-Cyrl-CS"/>
              </w:rPr>
            </w:pPr>
            <w:r w:rsidRPr="0007074F">
              <w:rPr>
                <w:color w:val="002060"/>
                <w:sz w:val="18"/>
                <w:lang w:val="sr-Cyrl-CS"/>
              </w:rPr>
              <w:t>43,8</w:t>
            </w:r>
          </w:p>
        </w:tc>
        <w:tc>
          <w:tcPr>
            <w:tcW w:w="603" w:type="pct"/>
            <w:shd w:val="clear" w:color="auto" w:fill="auto"/>
            <w:noWrap/>
            <w:vAlign w:val="center"/>
          </w:tcPr>
          <w:p w14:paraId="266B78AF" w14:textId="77777777" w:rsidR="006D662B" w:rsidRPr="0007074F" w:rsidRDefault="006D662B" w:rsidP="000D3688">
            <w:pPr>
              <w:jc w:val="center"/>
              <w:rPr>
                <w:color w:val="002060"/>
                <w:sz w:val="18"/>
                <w:lang w:val="sr-Cyrl-CS"/>
              </w:rPr>
            </w:pPr>
            <w:r w:rsidRPr="0007074F">
              <w:rPr>
                <w:color w:val="002060"/>
                <w:sz w:val="18"/>
                <w:lang w:val="sr-Cyrl-CS"/>
              </w:rPr>
              <w:t>43,0</w:t>
            </w:r>
          </w:p>
        </w:tc>
        <w:tc>
          <w:tcPr>
            <w:tcW w:w="600" w:type="pct"/>
            <w:shd w:val="clear" w:color="auto" w:fill="auto"/>
            <w:noWrap/>
            <w:vAlign w:val="center"/>
          </w:tcPr>
          <w:p w14:paraId="040197F0" w14:textId="77777777" w:rsidR="006D662B" w:rsidRPr="0007074F" w:rsidRDefault="006D662B" w:rsidP="000D3688">
            <w:pPr>
              <w:jc w:val="center"/>
              <w:rPr>
                <w:color w:val="002060"/>
                <w:sz w:val="18"/>
                <w:lang w:val="sr-Cyrl-CS"/>
              </w:rPr>
            </w:pPr>
            <w:r w:rsidRPr="0007074F">
              <w:rPr>
                <w:color w:val="002060"/>
                <w:sz w:val="18"/>
                <w:lang w:val="sr-Cyrl-CS"/>
              </w:rPr>
              <w:t>42,9</w:t>
            </w:r>
          </w:p>
        </w:tc>
      </w:tr>
      <w:tr w:rsidR="006D662B" w:rsidRPr="0007074F" w14:paraId="250D5319" w14:textId="77777777" w:rsidTr="000D3688">
        <w:trPr>
          <w:trHeight w:val="281"/>
          <w:jc w:val="center"/>
        </w:trPr>
        <w:tc>
          <w:tcPr>
            <w:tcW w:w="2590" w:type="pct"/>
            <w:tcBorders>
              <w:bottom w:val="single" w:sz="4" w:space="0" w:color="002060"/>
            </w:tcBorders>
            <w:noWrap/>
            <w:vAlign w:val="center"/>
            <w:hideMark/>
          </w:tcPr>
          <w:p w14:paraId="2D43D988" w14:textId="3019C19C" w:rsidR="006D662B" w:rsidRPr="0007074F" w:rsidRDefault="006D662B">
            <w:pPr>
              <w:ind w:left="113"/>
              <w:jc w:val="left"/>
              <w:rPr>
                <w:rFonts w:eastAsia="Calibri" w:cstheme="minorHAnsi"/>
                <w:bCs/>
                <w:color w:val="002060"/>
                <w:sz w:val="18"/>
                <w:szCs w:val="18"/>
                <w:lang w:val="sr-Cyrl-CS"/>
              </w:rPr>
            </w:pPr>
            <w:r w:rsidRPr="0007074F">
              <w:rPr>
                <w:rFonts w:eastAsia="Calibri" w:cstheme="minorHAnsi"/>
                <w:color w:val="002060"/>
                <w:sz w:val="18"/>
                <w:szCs w:val="18"/>
                <w:lang w:val="sr-Cyrl-CS"/>
              </w:rPr>
              <w:t>Бруто дуг сектора државе</w:t>
            </w:r>
          </w:p>
        </w:tc>
        <w:tc>
          <w:tcPr>
            <w:tcW w:w="603" w:type="pct"/>
            <w:tcBorders>
              <w:bottom w:val="single" w:sz="4" w:space="0" w:color="auto"/>
            </w:tcBorders>
            <w:shd w:val="clear" w:color="auto" w:fill="auto"/>
            <w:noWrap/>
            <w:vAlign w:val="center"/>
          </w:tcPr>
          <w:p w14:paraId="1EFCEFF4" w14:textId="77777777" w:rsidR="006D662B" w:rsidRPr="0007074F" w:rsidRDefault="006D662B" w:rsidP="000D3688">
            <w:pPr>
              <w:jc w:val="center"/>
              <w:rPr>
                <w:color w:val="002060"/>
                <w:sz w:val="18"/>
                <w:lang w:val="sr-Cyrl-CS"/>
              </w:rPr>
            </w:pPr>
            <w:r w:rsidRPr="0007074F">
              <w:rPr>
                <w:color w:val="002060"/>
                <w:sz w:val="18"/>
                <w:lang w:val="sr-Cyrl-CS"/>
              </w:rPr>
              <w:t>54,3</w:t>
            </w:r>
          </w:p>
        </w:tc>
        <w:tc>
          <w:tcPr>
            <w:tcW w:w="604" w:type="pct"/>
            <w:tcBorders>
              <w:bottom w:val="single" w:sz="4" w:space="0" w:color="auto"/>
            </w:tcBorders>
            <w:shd w:val="clear" w:color="auto" w:fill="auto"/>
            <w:noWrap/>
            <w:vAlign w:val="center"/>
          </w:tcPr>
          <w:p w14:paraId="688E2A4C" w14:textId="77777777" w:rsidR="006D662B" w:rsidRPr="0007074F" w:rsidRDefault="006D662B" w:rsidP="000D3688">
            <w:pPr>
              <w:jc w:val="center"/>
              <w:rPr>
                <w:color w:val="002060"/>
                <w:sz w:val="18"/>
                <w:lang w:val="sr-Cyrl-CS"/>
              </w:rPr>
            </w:pPr>
            <w:r w:rsidRPr="0007074F">
              <w:rPr>
                <w:color w:val="002060"/>
                <w:sz w:val="18"/>
                <w:lang w:val="sr-Cyrl-CS"/>
              </w:rPr>
              <w:t>54,0</w:t>
            </w:r>
          </w:p>
        </w:tc>
        <w:tc>
          <w:tcPr>
            <w:tcW w:w="603" w:type="pct"/>
            <w:tcBorders>
              <w:bottom w:val="single" w:sz="4" w:space="0" w:color="auto"/>
            </w:tcBorders>
            <w:shd w:val="clear" w:color="auto" w:fill="auto"/>
            <w:noWrap/>
            <w:vAlign w:val="center"/>
          </w:tcPr>
          <w:p w14:paraId="30F98A77" w14:textId="77777777" w:rsidR="006D662B" w:rsidRPr="0007074F" w:rsidRDefault="006D662B" w:rsidP="000D3688">
            <w:pPr>
              <w:jc w:val="center"/>
              <w:rPr>
                <w:color w:val="002060"/>
                <w:sz w:val="18"/>
                <w:lang w:val="sr-Cyrl-CS"/>
              </w:rPr>
            </w:pPr>
            <w:r w:rsidRPr="0007074F">
              <w:rPr>
                <w:color w:val="002060"/>
                <w:sz w:val="18"/>
                <w:lang w:val="sr-Cyrl-CS"/>
              </w:rPr>
              <w:t>53,0</w:t>
            </w:r>
          </w:p>
        </w:tc>
        <w:tc>
          <w:tcPr>
            <w:tcW w:w="600" w:type="pct"/>
            <w:tcBorders>
              <w:bottom w:val="single" w:sz="4" w:space="0" w:color="auto"/>
            </w:tcBorders>
            <w:shd w:val="clear" w:color="auto" w:fill="auto"/>
            <w:noWrap/>
            <w:vAlign w:val="center"/>
          </w:tcPr>
          <w:p w14:paraId="7041BD70" w14:textId="77777777" w:rsidR="006D662B" w:rsidRPr="0007074F" w:rsidRDefault="006D662B" w:rsidP="000D3688">
            <w:pPr>
              <w:jc w:val="center"/>
              <w:rPr>
                <w:color w:val="002060"/>
                <w:sz w:val="18"/>
                <w:lang w:val="sr-Cyrl-CS"/>
              </w:rPr>
            </w:pPr>
            <w:r w:rsidRPr="0007074F">
              <w:rPr>
                <w:color w:val="002060"/>
                <w:sz w:val="18"/>
                <w:lang w:val="sr-Cyrl-CS"/>
              </w:rPr>
              <w:t>51,9</w:t>
            </w:r>
          </w:p>
        </w:tc>
      </w:tr>
      <w:bookmarkEnd w:id="63"/>
      <w:bookmarkEnd w:id="64"/>
      <w:bookmarkEnd w:id="65"/>
    </w:tbl>
    <w:p w14:paraId="0B399EA8" w14:textId="77777777" w:rsidR="006D662B" w:rsidRPr="0007074F" w:rsidRDefault="006D662B" w:rsidP="000D3688">
      <w:pPr>
        <w:spacing w:after="0"/>
        <w:rPr>
          <w:color w:val="002060"/>
          <w:lang w:val="sr-Cyrl-CS"/>
        </w:rPr>
      </w:pPr>
    </w:p>
    <w:p w14:paraId="400B403A" w14:textId="77777777" w:rsidR="00063299" w:rsidRPr="0007074F" w:rsidRDefault="00063299" w:rsidP="008A59AE">
      <w:pPr>
        <w:rPr>
          <w:rFonts w:ascii="Calibri" w:eastAsia="Calibri" w:hAnsi="Calibri" w:cs="Calibri"/>
          <w:color w:val="44546A"/>
          <w:lang w:val="sr-Cyrl-CS"/>
        </w:rPr>
        <w:sectPr w:rsidR="00063299" w:rsidRPr="0007074F" w:rsidSect="00C171B0">
          <w:headerReference w:type="even" r:id="rId218"/>
          <w:headerReference w:type="default" r:id="rId219"/>
          <w:footerReference w:type="even" r:id="rId220"/>
          <w:footerReference w:type="default" r:id="rId221"/>
          <w:headerReference w:type="first" r:id="rId222"/>
          <w:type w:val="continuous"/>
          <w:pgSz w:w="12240" w:h="15840" w:code="1"/>
          <w:pgMar w:top="1440" w:right="1440" w:bottom="1440" w:left="1440" w:header="720" w:footer="720" w:gutter="0"/>
          <w:cols w:space="720"/>
          <w:titlePg/>
          <w:docGrid w:linePitch="360"/>
        </w:sectPr>
      </w:pPr>
    </w:p>
    <w:p w14:paraId="6C31845B" w14:textId="77777777" w:rsidR="00063299" w:rsidRPr="0007074F" w:rsidRDefault="00063299" w:rsidP="003911D0">
      <w:pPr>
        <w:spacing w:after="0"/>
        <w:rPr>
          <w:color w:val="2F5496" w:themeColor="accent1" w:themeShade="BF"/>
          <w:sz w:val="14"/>
          <w:szCs w:val="26"/>
          <w:lang w:val="sr-Cyrl-CS"/>
        </w:rPr>
      </w:pPr>
      <w:bookmarkStart w:id="66" w:name="_Toc72394589"/>
      <w:bookmarkStart w:id="67" w:name="_Toc86923731"/>
    </w:p>
    <w:p w14:paraId="42AF7E4F" w14:textId="77777777" w:rsidR="00063299" w:rsidRPr="0007074F" w:rsidRDefault="00063299" w:rsidP="00C91F83">
      <w:pPr>
        <w:keepNext/>
        <w:keepLines/>
        <w:spacing w:before="40"/>
        <w:outlineLvl w:val="0"/>
        <w:rPr>
          <w:rFonts w:eastAsiaTheme="majorEastAsia" w:cstheme="minorHAnsi"/>
          <w:color w:val="002060"/>
          <w:sz w:val="24"/>
          <w:szCs w:val="26"/>
          <w:lang w:val="sr-Cyrl-CS"/>
        </w:rPr>
      </w:pPr>
      <w:bookmarkStart w:id="68" w:name="_Toc119654153"/>
      <w:bookmarkStart w:id="69" w:name="_Toc135994510"/>
      <w:r w:rsidRPr="0007074F">
        <w:rPr>
          <w:rFonts w:eastAsiaTheme="majorEastAsia" w:cstheme="minorHAnsi"/>
          <w:color w:val="002060"/>
          <w:sz w:val="24"/>
          <w:szCs w:val="26"/>
          <w:lang w:val="sr-Cyrl-CS"/>
        </w:rPr>
        <w:t>Прилог 2 – Фискални оквир сектора државе у 2024. години</w:t>
      </w:r>
      <w:bookmarkEnd w:id="68"/>
      <w:bookmarkEnd w:id="69"/>
    </w:p>
    <w:tbl>
      <w:tblPr>
        <w:tblStyle w:val="ListTable1Light-Accent3"/>
        <w:tblW w:w="5000" w:type="pct"/>
        <w:tblLook w:val="04A0" w:firstRow="1" w:lastRow="0" w:firstColumn="1" w:lastColumn="0" w:noHBand="0" w:noVBand="1"/>
      </w:tblPr>
      <w:tblGrid>
        <w:gridCol w:w="2925"/>
        <w:gridCol w:w="1048"/>
        <w:gridCol w:w="1048"/>
        <w:gridCol w:w="1059"/>
        <w:gridCol w:w="1024"/>
        <w:gridCol w:w="1094"/>
        <w:gridCol w:w="1038"/>
        <w:gridCol w:w="1094"/>
        <w:gridCol w:w="1094"/>
        <w:gridCol w:w="1094"/>
        <w:gridCol w:w="1094"/>
        <w:gridCol w:w="1094"/>
      </w:tblGrid>
      <w:tr w:rsidR="00063299" w:rsidRPr="0007074F" w14:paraId="09D1DDD5" w14:textId="77777777" w:rsidTr="00C91F83">
        <w:trPr>
          <w:cnfStyle w:val="100000000000" w:firstRow="1" w:lastRow="0" w:firstColumn="0" w:lastColumn="0" w:oddVBand="0" w:evenVBand="0" w:oddHBand="0" w:evenHBand="0" w:firstRowFirstColumn="0" w:firstRowLastColumn="0" w:lastRowFirstColumn="0" w:lastRowLastColumn="0"/>
          <w:trHeight w:val="687"/>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bottom w:val="single" w:sz="4" w:space="0" w:color="auto"/>
            </w:tcBorders>
            <w:noWrap/>
            <w:hideMark/>
          </w:tcPr>
          <w:p w14:paraId="618D823A" w14:textId="77777777" w:rsidR="00063299" w:rsidRPr="0007074F" w:rsidRDefault="00063299" w:rsidP="00C91F83">
            <w:pPr>
              <w:tabs>
                <w:tab w:val="center" w:pos="4680"/>
                <w:tab w:val="right" w:pos="9360"/>
              </w:tabs>
              <w:rPr>
                <w:rFonts w:ascii="Calibri" w:hAnsi="Calibri" w:cs="Calibri"/>
                <w:color w:val="002060"/>
                <w:sz w:val="14"/>
                <w:szCs w:val="14"/>
                <w:lang w:val="sr-Cyrl-CS"/>
              </w:rPr>
            </w:pPr>
            <w:r w:rsidRPr="0007074F">
              <w:rPr>
                <w:rFonts w:ascii="Calibri" w:hAnsi="Calibri" w:cs="Calibri"/>
                <w:color w:val="002060"/>
                <w:sz w:val="14"/>
                <w:szCs w:val="14"/>
                <w:lang w:val="sr-Cyrl-CS"/>
              </w:rPr>
              <w:t> </w:t>
            </w:r>
          </w:p>
        </w:tc>
        <w:tc>
          <w:tcPr>
            <w:tcW w:w="356" w:type="pct"/>
            <w:tcBorders>
              <w:top w:val="single" w:sz="4" w:space="0" w:color="auto"/>
              <w:bottom w:val="single" w:sz="4" w:space="0" w:color="auto"/>
            </w:tcBorders>
            <w:vAlign w:val="center"/>
            <w:hideMark/>
          </w:tcPr>
          <w:p w14:paraId="0CC9C9A2"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Сектор државе*</w:t>
            </w:r>
          </w:p>
        </w:tc>
        <w:tc>
          <w:tcPr>
            <w:tcW w:w="356" w:type="pct"/>
            <w:tcBorders>
              <w:top w:val="single" w:sz="4" w:space="0" w:color="auto"/>
              <w:bottom w:val="single" w:sz="4" w:space="0" w:color="auto"/>
            </w:tcBorders>
            <w:vAlign w:val="center"/>
            <w:hideMark/>
          </w:tcPr>
          <w:p w14:paraId="3449082B"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Буџет Републике</w:t>
            </w:r>
          </w:p>
        </w:tc>
        <w:tc>
          <w:tcPr>
            <w:tcW w:w="360" w:type="pct"/>
            <w:tcBorders>
              <w:top w:val="single" w:sz="4" w:space="0" w:color="auto"/>
              <w:bottom w:val="single" w:sz="4" w:space="0" w:color="auto"/>
            </w:tcBorders>
            <w:vAlign w:val="center"/>
            <w:hideMark/>
          </w:tcPr>
          <w:p w14:paraId="70CB3BED"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Јединице локалне самоуправе</w:t>
            </w:r>
          </w:p>
        </w:tc>
        <w:tc>
          <w:tcPr>
            <w:tcW w:w="348" w:type="pct"/>
            <w:tcBorders>
              <w:top w:val="single" w:sz="4" w:space="0" w:color="auto"/>
              <w:bottom w:val="single" w:sz="4" w:space="0" w:color="auto"/>
            </w:tcBorders>
            <w:vAlign w:val="center"/>
            <w:hideMark/>
          </w:tcPr>
          <w:p w14:paraId="3FC6D8ED"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Градови и општине</w:t>
            </w:r>
          </w:p>
        </w:tc>
        <w:tc>
          <w:tcPr>
            <w:tcW w:w="372" w:type="pct"/>
            <w:tcBorders>
              <w:top w:val="single" w:sz="4" w:space="0" w:color="auto"/>
              <w:bottom w:val="single" w:sz="4" w:space="0" w:color="auto"/>
            </w:tcBorders>
            <w:noWrap/>
            <w:vAlign w:val="center"/>
            <w:hideMark/>
          </w:tcPr>
          <w:p w14:paraId="4A7CD03E"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AП Војводина</w:t>
            </w:r>
          </w:p>
        </w:tc>
        <w:tc>
          <w:tcPr>
            <w:tcW w:w="353" w:type="pct"/>
            <w:tcBorders>
              <w:top w:val="single" w:sz="4" w:space="0" w:color="auto"/>
              <w:bottom w:val="single" w:sz="4" w:space="0" w:color="auto"/>
            </w:tcBorders>
            <w:vAlign w:val="center"/>
            <w:hideMark/>
          </w:tcPr>
          <w:p w14:paraId="314DB3B0"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ЈП „Путеви Србије” и Коридори Србије д.о.о.</w:t>
            </w:r>
          </w:p>
        </w:tc>
        <w:tc>
          <w:tcPr>
            <w:tcW w:w="372" w:type="pct"/>
            <w:tcBorders>
              <w:top w:val="single" w:sz="4" w:space="0" w:color="auto"/>
              <w:bottom w:val="single" w:sz="4" w:space="0" w:color="auto"/>
            </w:tcBorders>
            <w:noWrap/>
            <w:vAlign w:val="center"/>
            <w:hideMark/>
          </w:tcPr>
          <w:p w14:paraId="0CF346A0"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ООСО</w:t>
            </w:r>
          </w:p>
        </w:tc>
        <w:tc>
          <w:tcPr>
            <w:tcW w:w="372" w:type="pct"/>
            <w:tcBorders>
              <w:top w:val="single" w:sz="4" w:space="0" w:color="auto"/>
              <w:bottom w:val="single" w:sz="4" w:space="0" w:color="auto"/>
            </w:tcBorders>
            <w:noWrap/>
            <w:vAlign w:val="center"/>
            <w:hideMark/>
          </w:tcPr>
          <w:p w14:paraId="6BE919E0"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Фонд ПИО</w:t>
            </w:r>
          </w:p>
        </w:tc>
        <w:tc>
          <w:tcPr>
            <w:tcW w:w="372" w:type="pct"/>
            <w:tcBorders>
              <w:top w:val="single" w:sz="4" w:space="0" w:color="auto"/>
              <w:bottom w:val="single" w:sz="4" w:space="0" w:color="auto"/>
            </w:tcBorders>
            <w:noWrap/>
            <w:vAlign w:val="center"/>
            <w:hideMark/>
          </w:tcPr>
          <w:p w14:paraId="68929797"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РФЗО</w:t>
            </w:r>
          </w:p>
        </w:tc>
        <w:tc>
          <w:tcPr>
            <w:tcW w:w="372" w:type="pct"/>
            <w:tcBorders>
              <w:top w:val="single" w:sz="4" w:space="0" w:color="auto"/>
              <w:bottom w:val="single" w:sz="4" w:space="0" w:color="auto"/>
            </w:tcBorders>
            <w:noWrap/>
            <w:vAlign w:val="center"/>
            <w:hideMark/>
          </w:tcPr>
          <w:p w14:paraId="5ACE6760"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НСЗ</w:t>
            </w:r>
          </w:p>
        </w:tc>
        <w:tc>
          <w:tcPr>
            <w:tcW w:w="372" w:type="pct"/>
            <w:tcBorders>
              <w:top w:val="single" w:sz="4" w:space="0" w:color="auto"/>
              <w:bottom w:val="single" w:sz="4" w:space="0" w:color="auto"/>
            </w:tcBorders>
            <w:noWrap/>
            <w:vAlign w:val="center"/>
            <w:hideMark/>
          </w:tcPr>
          <w:p w14:paraId="3B60C0D1" w14:textId="77777777" w:rsidR="00063299" w:rsidRPr="0007074F" w:rsidRDefault="00063299" w:rsidP="003911D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CS"/>
              </w:rPr>
            </w:pPr>
            <w:r w:rsidRPr="0007074F">
              <w:rPr>
                <w:rFonts w:ascii="Calibri" w:hAnsi="Calibri" w:cs="Calibri"/>
                <w:b w:val="0"/>
                <w:color w:val="002060"/>
                <w:sz w:val="14"/>
                <w:szCs w:val="14"/>
                <w:lang w:val="sr-Cyrl-CS"/>
              </w:rPr>
              <w:t>Фонд СОВО</w:t>
            </w:r>
          </w:p>
        </w:tc>
      </w:tr>
      <w:tr w:rsidR="00063299" w:rsidRPr="0007074F" w14:paraId="3763414B" w14:textId="77777777" w:rsidTr="00C91F83">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bottom w:val="single" w:sz="4" w:space="0" w:color="auto"/>
            </w:tcBorders>
            <w:shd w:val="clear" w:color="auto" w:fill="auto"/>
            <w:noWrap/>
            <w:hideMark/>
          </w:tcPr>
          <w:p w14:paraId="5337E7EE" w14:textId="77777777" w:rsidR="00063299" w:rsidRPr="0007074F" w:rsidRDefault="00063299" w:rsidP="00C91F83">
            <w:pPr>
              <w:tabs>
                <w:tab w:val="center" w:pos="4680"/>
                <w:tab w:val="right" w:pos="9360"/>
              </w:tabs>
              <w:rPr>
                <w:rFonts w:ascii="Calibri" w:hAnsi="Calibri" w:cs="Calibri"/>
                <w:color w:val="002060"/>
                <w:sz w:val="14"/>
                <w:szCs w:val="14"/>
                <w:lang w:val="sr-Cyrl-CS"/>
              </w:rPr>
            </w:pPr>
            <w:r w:rsidRPr="0007074F">
              <w:rPr>
                <w:rFonts w:ascii="Calibri" w:hAnsi="Calibri" w:cs="Calibri"/>
                <w:color w:val="002060"/>
                <w:sz w:val="14"/>
                <w:szCs w:val="14"/>
                <w:lang w:val="sr-Cyrl-CS"/>
              </w:rPr>
              <w:t> </w:t>
            </w:r>
          </w:p>
        </w:tc>
        <w:tc>
          <w:tcPr>
            <w:tcW w:w="356" w:type="pct"/>
            <w:tcBorders>
              <w:top w:val="single" w:sz="4" w:space="0" w:color="auto"/>
              <w:bottom w:val="single" w:sz="4" w:space="0" w:color="auto"/>
            </w:tcBorders>
            <w:shd w:val="clear" w:color="auto" w:fill="auto"/>
            <w:hideMark/>
          </w:tcPr>
          <w:p w14:paraId="22C96E1A"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1=2+3+6+7</w:t>
            </w:r>
          </w:p>
        </w:tc>
        <w:tc>
          <w:tcPr>
            <w:tcW w:w="356" w:type="pct"/>
            <w:tcBorders>
              <w:top w:val="single" w:sz="4" w:space="0" w:color="auto"/>
              <w:bottom w:val="single" w:sz="4" w:space="0" w:color="auto"/>
            </w:tcBorders>
            <w:shd w:val="clear" w:color="auto" w:fill="auto"/>
            <w:hideMark/>
          </w:tcPr>
          <w:p w14:paraId="2491B0B7"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2</w:t>
            </w:r>
          </w:p>
        </w:tc>
        <w:tc>
          <w:tcPr>
            <w:tcW w:w="360" w:type="pct"/>
            <w:tcBorders>
              <w:top w:val="single" w:sz="4" w:space="0" w:color="auto"/>
              <w:bottom w:val="single" w:sz="4" w:space="0" w:color="auto"/>
            </w:tcBorders>
            <w:shd w:val="clear" w:color="auto" w:fill="auto"/>
            <w:hideMark/>
          </w:tcPr>
          <w:p w14:paraId="04352B16"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3=4+5</w:t>
            </w:r>
          </w:p>
        </w:tc>
        <w:tc>
          <w:tcPr>
            <w:tcW w:w="348" w:type="pct"/>
            <w:tcBorders>
              <w:top w:val="single" w:sz="4" w:space="0" w:color="auto"/>
              <w:bottom w:val="single" w:sz="4" w:space="0" w:color="auto"/>
            </w:tcBorders>
            <w:shd w:val="clear" w:color="auto" w:fill="auto"/>
            <w:hideMark/>
          </w:tcPr>
          <w:p w14:paraId="06C28CDD"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4</w:t>
            </w:r>
          </w:p>
        </w:tc>
        <w:tc>
          <w:tcPr>
            <w:tcW w:w="372" w:type="pct"/>
            <w:tcBorders>
              <w:top w:val="single" w:sz="4" w:space="0" w:color="auto"/>
              <w:bottom w:val="single" w:sz="4" w:space="0" w:color="auto"/>
            </w:tcBorders>
            <w:shd w:val="clear" w:color="auto" w:fill="auto"/>
            <w:noWrap/>
            <w:hideMark/>
          </w:tcPr>
          <w:p w14:paraId="70A2B1A8"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5</w:t>
            </w:r>
          </w:p>
        </w:tc>
        <w:tc>
          <w:tcPr>
            <w:tcW w:w="353" w:type="pct"/>
            <w:tcBorders>
              <w:top w:val="single" w:sz="4" w:space="0" w:color="auto"/>
              <w:bottom w:val="single" w:sz="4" w:space="0" w:color="auto"/>
            </w:tcBorders>
            <w:shd w:val="clear" w:color="auto" w:fill="auto"/>
            <w:noWrap/>
            <w:hideMark/>
          </w:tcPr>
          <w:p w14:paraId="2C865CCA"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6</w:t>
            </w:r>
          </w:p>
        </w:tc>
        <w:tc>
          <w:tcPr>
            <w:tcW w:w="372" w:type="pct"/>
            <w:tcBorders>
              <w:top w:val="single" w:sz="4" w:space="0" w:color="auto"/>
              <w:bottom w:val="single" w:sz="4" w:space="0" w:color="auto"/>
            </w:tcBorders>
            <w:shd w:val="clear" w:color="auto" w:fill="auto"/>
            <w:noWrap/>
            <w:hideMark/>
          </w:tcPr>
          <w:p w14:paraId="39A27472"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7=8+9+10+11</w:t>
            </w:r>
          </w:p>
        </w:tc>
        <w:tc>
          <w:tcPr>
            <w:tcW w:w="372" w:type="pct"/>
            <w:tcBorders>
              <w:top w:val="single" w:sz="4" w:space="0" w:color="auto"/>
              <w:bottom w:val="single" w:sz="4" w:space="0" w:color="auto"/>
            </w:tcBorders>
            <w:shd w:val="clear" w:color="auto" w:fill="auto"/>
            <w:noWrap/>
            <w:hideMark/>
          </w:tcPr>
          <w:p w14:paraId="285A02B2"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8</w:t>
            </w:r>
          </w:p>
        </w:tc>
        <w:tc>
          <w:tcPr>
            <w:tcW w:w="372" w:type="pct"/>
            <w:tcBorders>
              <w:top w:val="single" w:sz="4" w:space="0" w:color="auto"/>
              <w:bottom w:val="single" w:sz="4" w:space="0" w:color="auto"/>
            </w:tcBorders>
            <w:shd w:val="clear" w:color="auto" w:fill="auto"/>
            <w:noWrap/>
            <w:hideMark/>
          </w:tcPr>
          <w:p w14:paraId="202632DE" w14:textId="77777777" w:rsidR="00063299" w:rsidRPr="0007074F" w:rsidRDefault="00063299" w:rsidP="003911D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9</w:t>
            </w:r>
          </w:p>
        </w:tc>
        <w:tc>
          <w:tcPr>
            <w:tcW w:w="372" w:type="pct"/>
            <w:tcBorders>
              <w:top w:val="single" w:sz="4" w:space="0" w:color="auto"/>
              <w:bottom w:val="single" w:sz="4" w:space="0" w:color="auto"/>
            </w:tcBorders>
            <w:shd w:val="clear" w:color="auto" w:fill="auto"/>
            <w:noWrap/>
            <w:hideMark/>
          </w:tcPr>
          <w:p w14:paraId="747A3E12" w14:textId="77777777" w:rsidR="00063299" w:rsidRPr="0007074F" w:rsidRDefault="00063299" w:rsidP="003911D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10</w:t>
            </w:r>
          </w:p>
        </w:tc>
        <w:tc>
          <w:tcPr>
            <w:tcW w:w="372" w:type="pct"/>
            <w:tcBorders>
              <w:top w:val="single" w:sz="4" w:space="0" w:color="auto"/>
              <w:bottom w:val="single" w:sz="4" w:space="0" w:color="auto"/>
            </w:tcBorders>
            <w:shd w:val="clear" w:color="auto" w:fill="auto"/>
            <w:noWrap/>
            <w:hideMark/>
          </w:tcPr>
          <w:p w14:paraId="10AC2710" w14:textId="77777777" w:rsidR="00063299" w:rsidRPr="0007074F" w:rsidRDefault="00063299" w:rsidP="003911D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CS"/>
              </w:rPr>
            </w:pPr>
            <w:r w:rsidRPr="0007074F">
              <w:rPr>
                <w:rFonts w:ascii="Calibri" w:hAnsi="Calibri" w:cs="Calibri"/>
                <w:color w:val="002060"/>
                <w:sz w:val="14"/>
                <w:szCs w:val="14"/>
                <w:lang w:val="sr-Cyrl-CS"/>
              </w:rPr>
              <w:t>11</w:t>
            </w:r>
          </w:p>
        </w:tc>
      </w:tr>
      <w:tr w:rsidR="00063299" w:rsidRPr="0007074F" w14:paraId="6CB767C2"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tcBorders>
            <w:shd w:val="clear" w:color="auto" w:fill="BFBFBF" w:themeFill="background1" w:themeFillShade="BF"/>
            <w:noWrap/>
            <w:vAlign w:val="bottom"/>
            <w:hideMark/>
          </w:tcPr>
          <w:p w14:paraId="75CCA1BA" w14:textId="77777777" w:rsidR="00063299" w:rsidRPr="0007074F" w:rsidRDefault="00063299" w:rsidP="003911D0">
            <w:pPr>
              <w:tabs>
                <w:tab w:val="center" w:pos="4680"/>
                <w:tab w:val="right" w:pos="9360"/>
              </w:tabs>
              <w:rPr>
                <w:rFonts w:cstheme="minorHAnsi"/>
                <w:color w:val="002060"/>
                <w:sz w:val="14"/>
                <w:szCs w:val="14"/>
                <w:lang w:val="sr-Cyrl-CS"/>
              </w:rPr>
            </w:pPr>
            <w:r w:rsidRPr="0007074F">
              <w:rPr>
                <w:rFonts w:cstheme="minorHAnsi"/>
                <w:color w:val="002060"/>
                <w:sz w:val="14"/>
                <w:szCs w:val="14"/>
                <w:lang w:val="sr-Cyrl-CS"/>
              </w:rPr>
              <w:t>Јавни приходи</w:t>
            </w:r>
          </w:p>
        </w:tc>
        <w:tc>
          <w:tcPr>
            <w:tcW w:w="356" w:type="pct"/>
            <w:tcBorders>
              <w:top w:val="single" w:sz="4" w:space="0" w:color="auto"/>
            </w:tcBorders>
            <w:shd w:val="clear" w:color="auto" w:fill="BFBFBF" w:themeFill="background1" w:themeFillShade="BF"/>
            <w:noWrap/>
            <w:hideMark/>
          </w:tcPr>
          <w:p w14:paraId="4665415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3.644,4</w:t>
            </w:r>
          </w:p>
        </w:tc>
        <w:tc>
          <w:tcPr>
            <w:tcW w:w="356" w:type="pct"/>
            <w:tcBorders>
              <w:top w:val="single" w:sz="4" w:space="0" w:color="auto"/>
            </w:tcBorders>
            <w:shd w:val="clear" w:color="auto" w:fill="BFBFBF" w:themeFill="background1" w:themeFillShade="BF"/>
            <w:noWrap/>
            <w:hideMark/>
          </w:tcPr>
          <w:p w14:paraId="3588D90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1.923,9</w:t>
            </w:r>
          </w:p>
        </w:tc>
        <w:tc>
          <w:tcPr>
            <w:tcW w:w="360" w:type="pct"/>
            <w:tcBorders>
              <w:top w:val="single" w:sz="4" w:space="0" w:color="auto"/>
            </w:tcBorders>
            <w:shd w:val="clear" w:color="auto" w:fill="BFBFBF" w:themeFill="background1" w:themeFillShade="BF"/>
            <w:noWrap/>
            <w:hideMark/>
          </w:tcPr>
          <w:p w14:paraId="5DFA0E3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462,0</w:t>
            </w:r>
          </w:p>
        </w:tc>
        <w:tc>
          <w:tcPr>
            <w:tcW w:w="348" w:type="pct"/>
            <w:tcBorders>
              <w:top w:val="single" w:sz="4" w:space="0" w:color="auto"/>
            </w:tcBorders>
            <w:shd w:val="clear" w:color="auto" w:fill="BFBFBF" w:themeFill="background1" w:themeFillShade="BF"/>
            <w:noWrap/>
            <w:hideMark/>
          </w:tcPr>
          <w:p w14:paraId="5D007B2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418,5</w:t>
            </w:r>
          </w:p>
        </w:tc>
        <w:tc>
          <w:tcPr>
            <w:tcW w:w="372" w:type="pct"/>
            <w:tcBorders>
              <w:top w:val="single" w:sz="4" w:space="0" w:color="auto"/>
            </w:tcBorders>
            <w:shd w:val="clear" w:color="auto" w:fill="BFBFBF" w:themeFill="background1" w:themeFillShade="BF"/>
            <w:noWrap/>
            <w:hideMark/>
          </w:tcPr>
          <w:p w14:paraId="76811D7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43,5</w:t>
            </w:r>
          </w:p>
        </w:tc>
        <w:tc>
          <w:tcPr>
            <w:tcW w:w="353" w:type="pct"/>
            <w:tcBorders>
              <w:top w:val="single" w:sz="4" w:space="0" w:color="auto"/>
            </w:tcBorders>
            <w:shd w:val="clear" w:color="auto" w:fill="BFBFBF" w:themeFill="background1" w:themeFillShade="BF"/>
            <w:noWrap/>
            <w:hideMark/>
          </w:tcPr>
          <w:p w14:paraId="52556FE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56,3</w:t>
            </w:r>
          </w:p>
        </w:tc>
        <w:tc>
          <w:tcPr>
            <w:tcW w:w="372" w:type="pct"/>
            <w:tcBorders>
              <w:top w:val="single" w:sz="4" w:space="0" w:color="auto"/>
            </w:tcBorders>
            <w:shd w:val="clear" w:color="auto" w:fill="BFBFBF" w:themeFill="background1" w:themeFillShade="BF"/>
            <w:noWrap/>
            <w:hideMark/>
          </w:tcPr>
          <w:p w14:paraId="32B3820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1.202,2</w:t>
            </w:r>
          </w:p>
        </w:tc>
        <w:tc>
          <w:tcPr>
            <w:tcW w:w="372" w:type="pct"/>
            <w:tcBorders>
              <w:top w:val="single" w:sz="4" w:space="0" w:color="auto"/>
            </w:tcBorders>
            <w:shd w:val="clear" w:color="auto" w:fill="BFBFBF" w:themeFill="background1" w:themeFillShade="BF"/>
            <w:noWrap/>
            <w:hideMark/>
          </w:tcPr>
          <w:p w14:paraId="2B9049D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801,1</w:t>
            </w:r>
          </w:p>
        </w:tc>
        <w:tc>
          <w:tcPr>
            <w:tcW w:w="372" w:type="pct"/>
            <w:tcBorders>
              <w:top w:val="single" w:sz="4" w:space="0" w:color="auto"/>
            </w:tcBorders>
            <w:shd w:val="clear" w:color="auto" w:fill="BFBFBF" w:themeFill="background1" w:themeFillShade="BF"/>
            <w:noWrap/>
            <w:hideMark/>
          </w:tcPr>
          <w:p w14:paraId="596CB9C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370,3</w:t>
            </w:r>
          </w:p>
        </w:tc>
        <w:tc>
          <w:tcPr>
            <w:tcW w:w="372" w:type="pct"/>
            <w:tcBorders>
              <w:top w:val="single" w:sz="4" w:space="0" w:color="auto"/>
            </w:tcBorders>
            <w:shd w:val="clear" w:color="auto" w:fill="BFBFBF" w:themeFill="background1" w:themeFillShade="BF"/>
            <w:noWrap/>
            <w:hideMark/>
          </w:tcPr>
          <w:p w14:paraId="3B1F115B"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26,1</w:t>
            </w:r>
          </w:p>
        </w:tc>
        <w:tc>
          <w:tcPr>
            <w:tcW w:w="372" w:type="pct"/>
            <w:tcBorders>
              <w:top w:val="single" w:sz="4" w:space="0" w:color="auto"/>
            </w:tcBorders>
            <w:shd w:val="clear" w:color="auto" w:fill="BFBFBF" w:themeFill="background1" w:themeFillShade="BF"/>
            <w:noWrap/>
            <w:hideMark/>
          </w:tcPr>
          <w:p w14:paraId="31E9ADA5"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
                <w:bCs/>
                <w:color w:val="002060"/>
                <w:sz w:val="14"/>
                <w:szCs w:val="14"/>
                <w:lang w:val="sr-Cyrl-CS"/>
              </w:rPr>
            </w:pPr>
            <w:r w:rsidRPr="0007074F">
              <w:rPr>
                <w:rFonts w:cstheme="minorHAnsi"/>
                <w:b/>
                <w:bCs/>
                <w:color w:val="002060"/>
                <w:sz w:val="14"/>
                <w:szCs w:val="14"/>
                <w:lang w:val="sr-Cyrl-CS"/>
              </w:rPr>
              <w:t>4,6</w:t>
            </w:r>
          </w:p>
        </w:tc>
      </w:tr>
      <w:tr w:rsidR="00063299" w:rsidRPr="0007074F" w14:paraId="7DD2F2CC"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3146EFE"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Текући приходи</w:t>
            </w:r>
          </w:p>
        </w:tc>
        <w:tc>
          <w:tcPr>
            <w:tcW w:w="356" w:type="pct"/>
            <w:tcBorders>
              <w:top w:val="nil"/>
            </w:tcBorders>
            <w:shd w:val="clear" w:color="auto" w:fill="FFFFFF" w:themeFill="background1"/>
            <w:noWrap/>
            <w:hideMark/>
          </w:tcPr>
          <w:p w14:paraId="51F2E74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3.610,9</w:t>
            </w:r>
          </w:p>
        </w:tc>
        <w:tc>
          <w:tcPr>
            <w:tcW w:w="356" w:type="pct"/>
            <w:tcBorders>
              <w:top w:val="nil"/>
            </w:tcBorders>
            <w:shd w:val="clear" w:color="auto" w:fill="FFFFFF" w:themeFill="background1"/>
            <w:noWrap/>
            <w:hideMark/>
          </w:tcPr>
          <w:p w14:paraId="6EA07DC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1.893,9</w:t>
            </w:r>
          </w:p>
        </w:tc>
        <w:tc>
          <w:tcPr>
            <w:tcW w:w="360" w:type="pct"/>
            <w:tcBorders>
              <w:top w:val="nil"/>
            </w:tcBorders>
            <w:shd w:val="clear" w:color="auto" w:fill="FFFFFF" w:themeFill="background1"/>
            <w:noWrap/>
            <w:hideMark/>
          </w:tcPr>
          <w:p w14:paraId="1E06A22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459,5</w:t>
            </w:r>
          </w:p>
        </w:tc>
        <w:tc>
          <w:tcPr>
            <w:tcW w:w="348" w:type="pct"/>
            <w:tcBorders>
              <w:top w:val="nil"/>
            </w:tcBorders>
            <w:shd w:val="clear" w:color="auto" w:fill="FFFFFF" w:themeFill="background1"/>
            <w:noWrap/>
            <w:hideMark/>
          </w:tcPr>
          <w:p w14:paraId="7F8757B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416,0</w:t>
            </w:r>
          </w:p>
        </w:tc>
        <w:tc>
          <w:tcPr>
            <w:tcW w:w="372" w:type="pct"/>
            <w:tcBorders>
              <w:top w:val="nil"/>
            </w:tcBorders>
            <w:shd w:val="clear" w:color="auto" w:fill="FFFFFF" w:themeFill="background1"/>
            <w:noWrap/>
            <w:hideMark/>
          </w:tcPr>
          <w:p w14:paraId="063C94A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43,5</w:t>
            </w:r>
          </w:p>
        </w:tc>
        <w:tc>
          <w:tcPr>
            <w:tcW w:w="353" w:type="pct"/>
            <w:tcBorders>
              <w:top w:val="nil"/>
            </w:tcBorders>
            <w:shd w:val="clear" w:color="auto" w:fill="FFFFFF" w:themeFill="background1"/>
            <w:noWrap/>
            <w:hideMark/>
          </w:tcPr>
          <w:p w14:paraId="5D203CC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56,3</w:t>
            </w:r>
          </w:p>
        </w:tc>
        <w:tc>
          <w:tcPr>
            <w:tcW w:w="372" w:type="pct"/>
            <w:tcBorders>
              <w:top w:val="nil"/>
            </w:tcBorders>
            <w:shd w:val="clear" w:color="auto" w:fill="FFFFFF" w:themeFill="background1"/>
            <w:noWrap/>
            <w:hideMark/>
          </w:tcPr>
          <w:p w14:paraId="38C7DA1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1.201,2</w:t>
            </w:r>
          </w:p>
        </w:tc>
        <w:tc>
          <w:tcPr>
            <w:tcW w:w="372" w:type="pct"/>
            <w:tcBorders>
              <w:top w:val="nil"/>
            </w:tcBorders>
            <w:shd w:val="clear" w:color="auto" w:fill="FFFFFF" w:themeFill="background1"/>
            <w:noWrap/>
            <w:hideMark/>
          </w:tcPr>
          <w:p w14:paraId="660732C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801,1</w:t>
            </w:r>
          </w:p>
        </w:tc>
        <w:tc>
          <w:tcPr>
            <w:tcW w:w="372" w:type="pct"/>
            <w:tcBorders>
              <w:top w:val="nil"/>
            </w:tcBorders>
            <w:shd w:val="clear" w:color="auto" w:fill="FFFFFF" w:themeFill="background1"/>
            <w:noWrap/>
            <w:hideMark/>
          </w:tcPr>
          <w:p w14:paraId="3D339E2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369,9</w:t>
            </w:r>
          </w:p>
        </w:tc>
        <w:tc>
          <w:tcPr>
            <w:tcW w:w="372" w:type="pct"/>
            <w:tcBorders>
              <w:top w:val="nil"/>
            </w:tcBorders>
            <w:shd w:val="clear" w:color="auto" w:fill="FFFFFF" w:themeFill="background1"/>
            <w:noWrap/>
            <w:hideMark/>
          </w:tcPr>
          <w:p w14:paraId="004768A2"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25,6</w:t>
            </w:r>
          </w:p>
        </w:tc>
        <w:tc>
          <w:tcPr>
            <w:tcW w:w="372" w:type="pct"/>
            <w:tcBorders>
              <w:top w:val="nil"/>
            </w:tcBorders>
            <w:shd w:val="clear" w:color="auto" w:fill="FFFFFF" w:themeFill="background1"/>
            <w:noWrap/>
            <w:hideMark/>
          </w:tcPr>
          <w:p w14:paraId="4E85CB3E"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4,6</w:t>
            </w:r>
          </w:p>
        </w:tc>
      </w:tr>
      <w:tr w:rsidR="00063299" w:rsidRPr="0007074F" w14:paraId="6C2CB645"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20B96C34"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Порески приходи</w:t>
            </w:r>
          </w:p>
        </w:tc>
        <w:tc>
          <w:tcPr>
            <w:tcW w:w="356" w:type="pct"/>
            <w:tcBorders>
              <w:top w:val="nil"/>
            </w:tcBorders>
            <w:shd w:val="clear" w:color="auto" w:fill="FFFFFF" w:themeFill="background1"/>
            <w:noWrap/>
            <w:hideMark/>
          </w:tcPr>
          <w:p w14:paraId="0478D68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3.253,5</w:t>
            </w:r>
          </w:p>
        </w:tc>
        <w:tc>
          <w:tcPr>
            <w:tcW w:w="356" w:type="pct"/>
            <w:tcBorders>
              <w:top w:val="nil"/>
            </w:tcBorders>
            <w:shd w:val="clear" w:color="auto" w:fill="FFFFFF" w:themeFill="background1"/>
            <w:noWrap/>
            <w:hideMark/>
          </w:tcPr>
          <w:p w14:paraId="2ACB493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1.730,2</w:t>
            </w:r>
          </w:p>
        </w:tc>
        <w:tc>
          <w:tcPr>
            <w:tcW w:w="360" w:type="pct"/>
            <w:tcBorders>
              <w:top w:val="nil"/>
            </w:tcBorders>
            <w:shd w:val="clear" w:color="auto" w:fill="FFFFFF" w:themeFill="background1"/>
            <w:noWrap/>
            <w:hideMark/>
          </w:tcPr>
          <w:p w14:paraId="53C3CD9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367,1</w:t>
            </w:r>
          </w:p>
        </w:tc>
        <w:tc>
          <w:tcPr>
            <w:tcW w:w="348" w:type="pct"/>
            <w:tcBorders>
              <w:top w:val="nil"/>
            </w:tcBorders>
            <w:shd w:val="clear" w:color="auto" w:fill="FFFFFF" w:themeFill="background1"/>
            <w:noWrap/>
            <w:hideMark/>
          </w:tcPr>
          <w:p w14:paraId="19B21BA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330,7</w:t>
            </w:r>
          </w:p>
        </w:tc>
        <w:tc>
          <w:tcPr>
            <w:tcW w:w="372" w:type="pct"/>
            <w:tcBorders>
              <w:top w:val="nil"/>
            </w:tcBorders>
            <w:shd w:val="clear" w:color="auto" w:fill="FFFFFF" w:themeFill="background1"/>
            <w:noWrap/>
            <w:hideMark/>
          </w:tcPr>
          <w:p w14:paraId="60DC9A2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36,3</w:t>
            </w:r>
          </w:p>
        </w:tc>
        <w:tc>
          <w:tcPr>
            <w:tcW w:w="353" w:type="pct"/>
            <w:tcBorders>
              <w:top w:val="nil"/>
            </w:tcBorders>
            <w:shd w:val="clear" w:color="auto" w:fill="FFFFFF" w:themeFill="background1"/>
            <w:noWrap/>
          </w:tcPr>
          <w:p w14:paraId="0A13CAD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3459D58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1.156,2</w:t>
            </w:r>
          </w:p>
        </w:tc>
        <w:tc>
          <w:tcPr>
            <w:tcW w:w="372" w:type="pct"/>
            <w:tcBorders>
              <w:top w:val="nil"/>
            </w:tcBorders>
            <w:shd w:val="clear" w:color="auto" w:fill="FFFFFF" w:themeFill="background1"/>
            <w:noWrap/>
            <w:hideMark/>
          </w:tcPr>
          <w:p w14:paraId="7560743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800,0</w:t>
            </w:r>
          </w:p>
        </w:tc>
        <w:tc>
          <w:tcPr>
            <w:tcW w:w="372" w:type="pct"/>
            <w:tcBorders>
              <w:top w:val="nil"/>
            </w:tcBorders>
            <w:shd w:val="clear" w:color="auto" w:fill="FFFFFF" w:themeFill="background1"/>
            <w:noWrap/>
            <w:hideMark/>
          </w:tcPr>
          <w:p w14:paraId="1056CD87"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328,1</w:t>
            </w:r>
          </w:p>
        </w:tc>
        <w:tc>
          <w:tcPr>
            <w:tcW w:w="372" w:type="pct"/>
            <w:tcBorders>
              <w:top w:val="nil"/>
            </w:tcBorders>
            <w:shd w:val="clear" w:color="auto" w:fill="FFFFFF" w:themeFill="background1"/>
            <w:noWrap/>
            <w:hideMark/>
          </w:tcPr>
          <w:p w14:paraId="6D177767"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24,3</w:t>
            </w:r>
          </w:p>
        </w:tc>
        <w:tc>
          <w:tcPr>
            <w:tcW w:w="372" w:type="pct"/>
            <w:tcBorders>
              <w:top w:val="nil"/>
            </w:tcBorders>
            <w:shd w:val="clear" w:color="auto" w:fill="FFFFFF" w:themeFill="background1"/>
            <w:noWrap/>
            <w:hideMark/>
          </w:tcPr>
          <w:p w14:paraId="384C8F92"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3,8</w:t>
            </w:r>
          </w:p>
        </w:tc>
      </w:tr>
      <w:tr w:rsidR="00063299" w:rsidRPr="0007074F" w14:paraId="4C167FB1"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A5953EE"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Порез на доходак</w:t>
            </w:r>
          </w:p>
        </w:tc>
        <w:tc>
          <w:tcPr>
            <w:tcW w:w="356" w:type="pct"/>
            <w:tcBorders>
              <w:top w:val="nil"/>
            </w:tcBorders>
            <w:shd w:val="clear" w:color="auto" w:fill="FFFFFF" w:themeFill="background1"/>
            <w:noWrap/>
            <w:hideMark/>
          </w:tcPr>
          <w:p w14:paraId="1FF5837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362,1</w:t>
            </w:r>
          </w:p>
        </w:tc>
        <w:tc>
          <w:tcPr>
            <w:tcW w:w="356" w:type="pct"/>
            <w:tcBorders>
              <w:top w:val="nil"/>
            </w:tcBorders>
            <w:shd w:val="clear" w:color="auto" w:fill="FFFFFF" w:themeFill="background1"/>
            <w:noWrap/>
            <w:hideMark/>
          </w:tcPr>
          <w:p w14:paraId="28C03F7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118,2</w:t>
            </w:r>
          </w:p>
        </w:tc>
        <w:tc>
          <w:tcPr>
            <w:tcW w:w="360" w:type="pct"/>
            <w:tcBorders>
              <w:top w:val="nil"/>
            </w:tcBorders>
            <w:shd w:val="clear" w:color="auto" w:fill="FFFFFF" w:themeFill="background1"/>
            <w:noWrap/>
            <w:hideMark/>
          </w:tcPr>
          <w:p w14:paraId="724ED77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243,9</w:t>
            </w:r>
          </w:p>
        </w:tc>
        <w:tc>
          <w:tcPr>
            <w:tcW w:w="348" w:type="pct"/>
            <w:tcBorders>
              <w:top w:val="nil"/>
            </w:tcBorders>
            <w:shd w:val="clear" w:color="auto" w:fill="FFFFFF" w:themeFill="background1"/>
            <w:noWrap/>
            <w:hideMark/>
          </w:tcPr>
          <w:p w14:paraId="55AE103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232,0</w:t>
            </w:r>
          </w:p>
        </w:tc>
        <w:tc>
          <w:tcPr>
            <w:tcW w:w="372" w:type="pct"/>
            <w:tcBorders>
              <w:top w:val="nil"/>
            </w:tcBorders>
            <w:shd w:val="clear" w:color="auto" w:fill="FFFFFF" w:themeFill="background1"/>
            <w:noWrap/>
            <w:hideMark/>
          </w:tcPr>
          <w:p w14:paraId="11B1934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11,9</w:t>
            </w:r>
          </w:p>
        </w:tc>
        <w:tc>
          <w:tcPr>
            <w:tcW w:w="353" w:type="pct"/>
            <w:tcBorders>
              <w:top w:val="nil"/>
            </w:tcBorders>
            <w:shd w:val="clear" w:color="auto" w:fill="FFFFFF" w:themeFill="background1"/>
            <w:noWrap/>
          </w:tcPr>
          <w:p w14:paraId="646B0D1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79E10097"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47E0A2A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0FCBEB6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1D12C45C"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7403AD26"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r>
      <w:tr w:rsidR="00063299" w:rsidRPr="0007074F" w14:paraId="23265077"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62D90EE"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Доприноси</w:t>
            </w:r>
          </w:p>
        </w:tc>
        <w:tc>
          <w:tcPr>
            <w:tcW w:w="356" w:type="pct"/>
            <w:tcBorders>
              <w:top w:val="nil"/>
            </w:tcBorders>
            <w:shd w:val="clear" w:color="auto" w:fill="FFFFFF" w:themeFill="background1"/>
            <w:noWrap/>
            <w:hideMark/>
          </w:tcPr>
          <w:p w14:paraId="6D1DB5F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1.156,2</w:t>
            </w:r>
          </w:p>
        </w:tc>
        <w:tc>
          <w:tcPr>
            <w:tcW w:w="356" w:type="pct"/>
            <w:tcBorders>
              <w:top w:val="nil"/>
            </w:tcBorders>
            <w:shd w:val="clear" w:color="auto" w:fill="FFFFFF" w:themeFill="background1"/>
            <w:noWrap/>
            <w:hideMark/>
          </w:tcPr>
          <w:p w14:paraId="27DA340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60" w:type="pct"/>
            <w:tcBorders>
              <w:top w:val="nil"/>
            </w:tcBorders>
            <w:shd w:val="clear" w:color="auto" w:fill="FFFFFF" w:themeFill="background1"/>
            <w:noWrap/>
            <w:hideMark/>
          </w:tcPr>
          <w:p w14:paraId="790A90A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48" w:type="pct"/>
            <w:tcBorders>
              <w:top w:val="nil"/>
            </w:tcBorders>
            <w:shd w:val="clear" w:color="auto" w:fill="FFFFFF" w:themeFill="background1"/>
            <w:noWrap/>
            <w:hideMark/>
          </w:tcPr>
          <w:p w14:paraId="255D86D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100B4E0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53" w:type="pct"/>
            <w:tcBorders>
              <w:top w:val="nil"/>
            </w:tcBorders>
            <w:shd w:val="clear" w:color="auto" w:fill="FFFFFF" w:themeFill="background1"/>
            <w:noWrap/>
          </w:tcPr>
          <w:p w14:paraId="1CBC836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07092C9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1.156,2</w:t>
            </w:r>
          </w:p>
        </w:tc>
        <w:tc>
          <w:tcPr>
            <w:tcW w:w="372" w:type="pct"/>
            <w:tcBorders>
              <w:top w:val="nil"/>
            </w:tcBorders>
            <w:shd w:val="clear" w:color="auto" w:fill="FFFFFF" w:themeFill="background1"/>
            <w:noWrap/>
            <w:hideMark/>
          </w:tcPr>
          <w:p w14:paraId="06000BC7"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800,0</w:t>
            </w:r>
          </w:p>
        </w:tc>
        <w:tc>
          <w:tcPr>
            <w:tcW w:w="372" w:type="pct"/>
            <w:tcBorders>
              <w:top w:val="nil"/>
            </w:tcBorders>
            <w:shd w:val="clear" w:color="auto" w:fill="FFFFFF" w:themeFill="background1"/>
            <w:noWrap/>
            <w:hideMark/>
          </w:tcPr>
          <w:p w14:paraId="4AD074E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328,1</w:t>
            </w:r>
          </w:p>
        </w:tc>
        <w:tc>
          <w:tcPr>
            <w:tcW w:w="372" w:type="pct"/>
            <w:tcBorders>
              <w:top w:val="nil"/>
            </w:tcBorders>
            <w:shd w:val="clear" w:color="auto" w:fill="FFFFFF" w:themeFill="background1"/>
            <w:noWrap/>
            <w:hideMark/>
          </w:tcPr>
          <w:p w14:paraId="3A20E6A8"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24,3</w:t>
            </w:r>
          </w:p>
        </w:tc>
        <w:tc>
          <w:tcPr>
            <w:tcW w:w="372" w:type="pct"/>
            <w:tcBorders>
              <w:top w:val="nil"/>
            </w:tcBorders>
            <w:shd w:val="clear" w:color="auto" w:fill="FFFFFF" w:themeFill="background1"/>
            <w:noWrap/>
            <w:hideMark/>
          </w:tcPr>
          <w:p w14:paraId="1B3D8BBB"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3,8</w:t>
            </w:r>
          </w:p>
        </w:tc>
      </w:tr>
      <w:tr w:rsidR="00063299" w:rsidRPr="0007074F" w14:paraId="4932D47E"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FE99C4E"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Порез на добит </w:t>
            </w:r>
          </w:p>
        </w:tc>
        <w:tc>
          <w:tcPr>
            <w:tcW w:w="356" w:type="pct"/>
            <w:tcBorders>
              <w:top w:val="nil"/>
            </w:tcBorders>
            <w:shd w:val="clear" w:color="auto" w:fill="FFFFFF" w:themeFill="background1"/>
            <w:noWrap/>
            <w:hideMark/>
          </w:tcPr>
          <w:p w14:paraId="101E233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224,6</w:t>
            </w:r>
          </w:p>
        </w:tc>
        <w:tc>
          <w:tcPr>
            <w:tcW w:w="356" w:type="pct"/>
            <w:tcBorders>
              <w:top w:val="nil"/>
            </w:tcBorders>
            <w:shd w:val="clear" w:color="auto" w:fill="FFFFFF" w:themeFill="background1"/>
            <w:noWrap/>
            <w:hideMark/>
          </w:tcPr>
          <w:p w14:paraId="6F39EEB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200,2</w:t>
            </w:r>
          </w:p>
        </w:tc>
        <w:tc>
          <w:tcPr>
            <w:tcW w:w="360" w:type="pct"/>
            <w:tcBorders>
              <w:top w:val="nil"/>
            </w:tcBorders>
            <w:shd w:val="clear" w:color="auto" w:fill="FFFFFF" w:themeFill="background1"/>
            <w:noWrap/>
            <w:hideMark/>
          </w:tcPr>
          <w:p w14:paraId="1C88A8D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24,4</w:t>
            </w:r>
          </w:p>
        </w:tc>
        <w:tc>
          <w:tcPr>
            <w:tcW w:w="348" w:type="pct"/>
            <w:tcBorders>
              <w:top w:val="nil"/>
            </w:tcBorders>
            <w:shd w:val="clear" w:color="auto" w:fill="FFFFFF" w:themeFill="background1"/>
            <w:noWrap/>
          </w:tcPr>
          <w:p w14:paraId="41C32F2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77F5CC1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24,4</w:t>
            </w:r>
          </w:p>
        </w:tc>
        <w:tc>
          <w:tcPr>
            <w:tcW w:w="353" w:type="pct"/>
            <w:tcBorders>
              <w:top w:val="nil"/>
            </w:tcBorders>
            <w:shd w:val="clear" w:color="auto" w:fill="FFFFFF" w:themeFill="background1"/>
            <w:noWrap/>
          </w:tcPr>
          <w:p w14:paraId="2BA3095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28A9FBA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1C277C6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31DD1DC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0ACBBC93"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450E1B1C"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r>
      <w:tr w:rsidR="00063299" w:rsidRPr="0007074F" w14:paraId="3FB9DF38"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E0EBF03"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ПДВ</w:t>
            </w:r>
          </w:p>
        </w:tc>
        <w:tc>
          <w:tcPr>
            <w:tcW w:w="356" w:type="pct"/>
            <w:tcBorders>
              <w:top w:val="nil"/>
            </w:tcBorders>
            <w:shd w:val="clear" w:color="auto" w:fill="FFFFFF" w:themeFill="background1"/>
            <w:noWrap/>
            <w:hideMark/>
          </w:tcPr>
          <w:p w14:paraId="56C2BCB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936,6</w:t>
            </w:r>
          </w:p>
        </w:tc>
        <w:tc>
          <w:tcPr>
            <w:tcW w:w="356" w:type="pct"/>
            <w:tcBorders>
              <w:top w:val="nil"/>
            </w:tcBorders>
            <w:shd w:val="clear" w:color="auto" w:fill="FFFFFF" w:themeFill="background1"/>
            <w:noWrap/>
            <w:hideMark/>
          </w:tcPr>
          <w:p w14:paraId="07CF990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936,6</w:t>
            </w:r>
          </w:p>
        </w:tc>
        <w:tc>
          <w:tcPr>
            <w:tcW w:w="360" w:type="pct"/>
            <w:tcBorders>
              <w:top w:val="nil"/>
            </w:tcBorders>
            <w:shd w:val="clear" w:color="auto" w:fill="FFFFFF" w:themeFill="background1"/>
            <w:noWrap/>
          </w:tcPr>
          <w:p w14:paraId="422E200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48" w:type="pct"/>
            <w:tcBorders>
              <w:top w:val="nil"/>
            </w:tcBorders>
            <w:shd w:val="clear" w:color="auto" w:fill="FFFFFF" w:themeFill="background1"/>
            <w:noWrap/>
          </w:tcPr>
          <w:p w14:paraId="7E902DE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7C3E8E1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53" w:type="pct"/>
            <w:tcBorders>
              <w:top w:val="nil"/>
            </w:tcBorders>
            <w:shd w:val="clear" w:color="auto" w:fill="FFFFFF" w:themeFill="background1"/>
            <w:noWrap/>
            <w:hideMark/>
          </w:tcPr>
          <w:p w14:paraId="06DE4D7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194FB0B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213B436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7996C2D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27BD2020"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1D862EB0"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r>
      <w:tr w:rsidR="00063299" w:rsidRPr="0007074F" w14:paraId="640011B7"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8B5338B"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Акцизе</w:t>
            </w:r>
          </w:p>
        </w:tc>
        <w:tc>
          <w:tcPr>
            <w:tcW w:w="356" w:type="pct"/>
            <w:tcBorders>
              <w:top w:val="nil"/>
            </w:tcBorders>
            <w:shd w:val="clear" w:color="auto" w:fill="FFFFFF" w:themeFill="background1"/>
            <w:noWrap/>
            <w:hideMark/>
          </w:tcPr>
          <w:p w14:paraId="3A87514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365,4</w:t>
            </w:r>
          </w:p>
        </w:tc>
        <w:tc>
          <w:tcPr>
            <w:tcW w:w="356" w:type="pct"/>
            <w:tcBorders>
              <w:top w:val="nil"/>
            </w:tcBorders>
            <w:shd w:val="clear" w:color="auto" w:fill="FFFFFF" w:themeFill="background1"/>
            <w:noWrap/>
            <w:hideMark/>
          </w:tcPr>
          <w:p w14:paraId="744625A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365,4</w:t>
            </w:r>
          </w:p>
        </w:tc>
        <w:tc>
          <w:tcPr>
            <w:tcW w:w="360" w:type="pct"/>
            <w:tcBorders>
              <w:top w:val="nil"/>
            </w:tcBorders>
            <w:shd w:val="clear" w:color="auto" w:fill="FFFFFF" w:themeFill="background1"/>
            <w:noWrap/>
          </w:tcPr>
          <w:p w14:paraId="4220349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48" w:type="pct"/>
            <w:tcBorders>
              <w:top w:val="nil"/>
            </w:tcBorders>
            <w:shd w:val="clear" w:color="auto" w:fill="FFFFFF" w:themeFill="background1"/>
            <w:noWrap/>
            <w:hideMark/>
          </w:tcPr>
          <w:p w14:paraId="688F520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5D4C004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53" w:type="pct"/>
            <w:tcBorders>
              <w:top w:val="nil"/>
            </w:tcBorders>
            <w:shd w:val="clear" w:color="auto" w:fill="FFFFFF" w:themeFill="background1"/>
            <w:noWrap/>
            <w:hideMark/>
          </w:tcPr>
          <w:p w14:paraId="47B3CD8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57DFB7A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3C95BA8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572137E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306ADD4E"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0EB8D640"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r>
      <w:tr w:rsidR="00063299" w:rsidRPr="0007074F" w14:paraId="1D76068B"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1B489B8"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Царине</w:t>
            </w:r>
          </w:p>
        </w:tc>
        <w:tc>
          <w:tcPr>
            <w:tcW w:w="356" w:type="pct"/>
            <w:tcBorders>
              <w:top w:val="nil"/>
            </w:tcBorders>
            <w:shd w:val="clear" w:color="auto" w:fill="FFFFFF" w:themeFill="background1"/>
            <w:noWrap/>
            <w:hideMark/>
          </w:tcPr>
          <w:p w14:paraId="36145BC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94,8</w:t>
            </w:r>
          </w:p>
        </w:tc>
        <w:tc>
          <w:tcPr>
            <w:tcW w:w="356" w:type="pct"/>
            <w:tcBorders>
              <w:top w:val="nil"/>
            </w:tcBorders>
            <w:shd w:val="clear" w:color="auto" w:fill="FFFFFF" w:themeFill="background1"/>
            <w:noWrap/>
            <w:hideMark/>
          </w:tcPr>
          <w:p w14:paraId="46124FA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94,8</w:t>
            </w:r>
          </w:p>
        </w:tc>
        <w:tc>
          <w:tcPr>
            <w:tcW w:w="360" w:type="pct"/>
            <w:tcBorders>
              <w:top w:val="nil"/>
            </w:tcBorders>
            <w:shd w:val="clear" w:color="auto" w:fill="FFFFFF" w:themeFill="background1"/>
            <w:noWrap/>
          </w:tcPr>
          <w:p w14:paraId="478618B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48" w:type="pct"/>
            <w:tcBorders>
              <w:top w:val="nil"/>
            </w:tcBorders>
            <w:shd w:val="clear" w:color="auto" w:fill="FFFFFF" w:themeFill="background1"/>
            <w:noWrap/>
            <w:hideMark/>
          </w:tcPr>
          <w:p w14:paraId="7E6E67D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6C93652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53" w:type="pct"/>
            <w:tcBorders>
              <w:top w:val="nil"/>
            </w:tcBorders>
            <w:shd w:val="clear" w:color="auto" w:fill="FFFFFF" w:themeFill="background1"/>
            <w:noWrap/>
            <w:hideMark/>
          </w:tcPr>
          <w:p w14:paraId="6D9C30F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1C0EEBD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037B546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2D62BCF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3FF7B0EF"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1C4BA7EE"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p>
        </w:tc>
      </w:tr>
      <w:tr w:rsidR="00063299" w:rsidRPr="0007074F" w14:paraId="1FC7B5E2"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3E5B4FF"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Остали порески приходи</w:t>
            </w:r>
          </w:p>
        </w:tc>
        <w:tc>
          <w:tcPr>
            <w:tcW w:w="356" w:type="pct"/>
            <w:tcBorders>
              <w:top w:val="nil"/>
            </w:tcBorders>
            <w:shd w:val="clear" w:color="auto" w:fill="FFFFFF" w:themeFill="background1"/>
            <w:noWrap/>
            <w:hideMark/>
          </w:tcPr>
          <w:p w14:paraId="2E5D84D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113,7</w:t>
            </w:r>
          </w:p>
        </w:tc>
        <w:tc>
          <w:tcPr>
            <w:tcW w:w="356" w:type="pct"/>
            <w:tcBorders>
              <w:top w:val="nil"/>
            </w:tcBorders>
            <w:shd w:val="clear" w:color="auto" w:fill="FFFFFF" w:themeFill="background1"/>
            <w:noWrap/>
            <w:hideMark/>
          </w:tcPr>
          <w:p w14:paraId="54BCE1C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14,9</w:t>
            </w:r>
          </w:p>
        </w:tc>
        <w:tc>
          <w:tcPr>
            <w:tcW w:w="360" w:type="pct"/>
            <w:tcBorders>
              <w:top w:val="nil"/>
            </w:tcBorders>
            <w:shd w:val="clear" w:color="auto" w:fill="FFFFFF" w:themeFill="background1"/>
            <w:noWrap/>
            <w:hideMark/>
          </w:tcPr>
          <w:p w14:paraId="6D2F3ED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98,8</w:t>
            </w:r>
          </w:p>
        </w:tc>
        <w:tc>
          <w:tcPr>
            <w:tcW w:w="348" w:type="pct"/>
            <w:tcBorders>
              <w:top w:val="nil"/>
            </w:tcBorders>
            <w:shd w:val="clear" w:color="auto" w:fill="FFFFFF" w:themeFill="background1"/>
            <w:noWrap/>
            <w:hideMark/>
          </w:tcPr>
          <w:p w14:paraId="488A1E3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98,8</w:t>
            </w:r>
          </w:p>
        </w:tc>
        <w:tc>
          <w:tcPr>
            <w:tcW w:w="372" w:type="pct"/>
            <w:tcBorders>
              <w:top w:val="nil"/>
            </w:tcBorders>
            <w:shd w:val="clear" w:color="auto" w:fill="FFFFFF" w:themeFill="background1"/>
            <w:noWrap/>
            <w:hideMark/>
          </w:tcPr>
          <w:p w14:paraId="75B4E2E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53" w:type="pct"/>
            <w:tcBorders>
              <w:top w:val="nil"/>
            </w:tcBorders>
            <w:shd w:val="clear" w:color="auto" w:fill="FFFFFF" w:themeFill="background1"/>
            <w:noWrap/>
            <w:hideMark/>
          </w:tcPr>
          <w:p w14:paraId="37711B4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0930FDC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378402C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5E6C279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7637EA1A"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5A1CD943"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r>
      <w:tr w:rsidR="00063299" w:rsidRPr="0007074F" w14:paraId="17D3E37E"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B997113"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Непорески приходи</w:t>
            </w:r>
          </w:p>
        </w:tc>
        <w:tc>
          <w:tcPr>
            <w:tcW w:w="356" w:type="pct"/>
            <w:tcBorders>
              <w:top w:val="nil"/>
            </w:tcBorders>
            <w:shd w:val="clear" w:color="auto" w:fill="FFFFFF" w:themeFill="background1"/>
            <w:noWrap/>
            <w:hideMark/>
          </w:tcPr>
          <w:p w14:paraId="5893B4CD"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357,4</w:t>
            </w:r>
          </w:p>
        </w:tc>
        <w:tc>
          <w:tcPr>
            <w:tcW w:w="356" w:type="pct"/>
            <w:tcBorders>
              <w:top w:val="nil"/>
            </w:tcBorders>
            <w:shd w:val="clear" w:color="auto" w:fill="FFFFFF" w:themeFill="background1"/>
            <w:noWrap/>
            <w:hideMark/>
          </w:tcPr>
          <w:p w14:paraId="358C009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163,7</w:t>
            </w:r>
          </w:p>
        </w:tc>
        <w:tc>
          <w:tcPr>
            <w:tcW w:w="360" w:type="pct"/>
            <w:tcBorders>
              <w:top w:val="nil"/>
            </w:tcBorders>
            <w:shd w:val="clear" w:color="auto" w:fill="FFFFFF" w:themeFill="background1"/>
            <w:noWrap/>
            <w:hideMark/>
          </w:tcPr>
          <w:p w14:paraId="56FEFB0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92,4</w:t>
            </w:r>
          </w:p>
        </w:tc>
        <w:tc>
          <w:tcPr>
            <w:tcW w:w="348" w:type="pct"/>
            <w:tcBorders>
              <w:top w:val="nil"/>
            </w:tcBorders>
            <w:shd w:val="clear" w:color="auto" w:fill="FFFFFF" w:themeFill="background1"/>
            <w:noWrap/>
            <w:hideMark/>
          </w:tcPr>
          <w:p w14:paraId="0EF0ACB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85,3</w:t>
            </w:r>
          </w:p>
        </w:tc>
        <w:tc>
          <w:tcPr>
            <w:tcW w:w="372" w:type="pct"/>
            <w:tcBorders>
              <w:top w:val="nil"/>
            </w:tcBorders>
            <w:shd w:val="clear" w:color="auto" w:fill="FFFFFF" w:themeFill="background1"/>
            <w:noWrap/>
            <w:hideMark/>
          </w:tcPr>
          <w:p w14:paraId="421E76F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7,2</w:t>
            </w:r>
          </w:p>
        </w:tc>
        <w:tc>
          <w:tcPr>
            <w:tcW w:w="353" w:type="pct"/>
            <w:tcBorders>
              <w:top w:val="nil"/>
            </w:tcBorders>
            <w:shd w:val="clear" w:color="auto" w:fill="FFFFFF" w:themeFill="background1"/>
            <w:noWrap/>
            <w:hideMark/>
          </w:tcPr>
          <w:p w14:paraId="25C5D79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56,3</w:t>
            </w:r>
          </w:p>
        </w:tc>
        <w:tc>
          <w:tcPr>
            <w:tcW w:w="372" w:type="pct"/>
            <w:tcBorders>
              <w:top w:val="nil"/>
            </w:tcBorders>
            <w:shd w:val="clear" w:color="auto" w:fill="FFFFFF" w:themeFill="background1"/>
            <w:noWrap/>
            <w:hideMark/>
          </w:tcPr>
          <w:p w14:paraId="31EB8B4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45,0</w:t>
            </w:r>
          </w:p>
        </w:tc>
        <w:tc>
          <w:tcPr>
            <w:tcW w:w="372" w:type="pct"/>
            <w:tcBorders>
              <w:top w:val="nil"/>
            </w:tcBorders>
            <w:shd w:val="clear" w:color="auto" w:fill="FFFFFF" w:themeFill="background1"/>
            <w:noWrap/>
            <w:hideMark/>
          </w:tcPr>
          <w:p w14:paraId="3449EB3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1,2</w:t>
            </w:r>
          </w:p>
        </w:tc>
        <w:tc>
          <w:tcPr>
            <w:tcW w:w="372" w:type="pct"/>
            <w:tcBorders>
              <w:top w:val="nil"/>
            </w:tcBorders>
            <w:shd w:val="clear" w:color="auto" w:fill="FFFFFF" w:themeFill="background1"/>
            <w:noWrap/>
            <w:hideMark/>
          </w:tcPr>
          <w:p w14:paraId="12D19C7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41,7</w:t>
            </w:r>
          </w:p>
        </w:tc>
        <w:tc>
          <w:tcPr>
            <w:tcW w:w="372" w:type="pct"/>
            <w:tcBorders>
              <w:top w:val="nil"/>
            </w:tcBorders>
            <w:shd w:val="clear" w:color="auto" w:fill="FFFFFF" w:themeFill="background1"/>
            <w:noWrap/>
            <w:hideMark/>
          </w:tcPr>
          <w:p w14:paraId="0E6B270B"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1,3</w:t>
            </w:r>
          </w:p>
        </w:tc>
        <w:tc>
          <w:tcPr>
            <w:tcW w:w="372" w:type="pct"/>
            <w:tcBorders>
              <w:top w:val="nil"/>
            </w:tcBorders>
            <w:shd w:val="clear" w:color="auto" w:fill="FFFFFF" w:themeFill="background1"/>
            <w:noWrap/>
            <w:hideMark/>
          </w:tcPr>
          <w:p w14:paraId="3FC586DF"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0,7</w:t>
            </w:r>
          </w:p>
        </w:tc>
      </w:tr>
      <w:tr w:rsidR="00063299" w:rsidRPr="0007074F" w14:paraId="131AC35A"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6CB2161"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Донације</w:t>
            </w:r>
          </w:p>
        </w:tc>
        <w:tc>
          <w:tcPr>
            <w:tcW w:w="356" w:type="pct"/>
            <w:tcBorders>
              <w:top w:val="nil"/>
            </w:tcBorders>
            <w:shd w:val="clear" w:color="auto" w:fill="FFFFFF" w:themeFill="background1"/>
            <w:noWrap/>
            <w:hideMark/>
          </w:tcPr>
          <w:p w14:paraId="29CC607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33,5</w:t>
            </w:r>
          </w:p>
        </w:tc>
        <w:tc>
          <w:tcPr>
            <w:tcW w:w="356" w:type="pct"/>
            <w:tcBorders>
              <w:top w:val="nil"/>
            </w:tcBorders>
            <w:shd w:val="clear" w:color="auto" w:fill="FFFFFF" w:themeFill="background1"/>
            <w:noWrap/>
            <w:hideMark/>
          </w:tcPr>
          <w:p w14:paraId="209D104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30,0</w:t>
            </w:r>
          </w:p>
        </w:tc>
        <w:tc>
          <w:tcPr>
            <w:tcW w:w="360" w:type="pct"/>
            <w:tcBorders>
              <w:top w:val="nil"/>
            </w:tcBorders>
            <w:shd w:val="clear" w:color="auto" w:fill="FFFFFF" w:themeFill="background1"/>
            <w:noWrap/>
            <w:hideMark/>
          </w:tcPr>
          <w:p w14:paraId="4486D20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2,5</w:t>
            </w:r>
          </w:p>
        </w:tc>
        <w:tc>
          <w:tcPr>
            <w:tcW w:w="348" w:type="pct"/>
            <w:tcBorders>
              <w:top w:val="nil"/>
            </w:tcBorders>
            <w:shd w:val="clear" w:color="auto" w:fill="FFFFFF" w:themeFill="background1"/>
            <w:noWrap/>
            <w:hideMark/>
          </w:tcPr>
          <w:p w14:paraId="03344D0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2,5</w:t>
            </w:r>
          </w:p>
        </w:tc>
        <w:tc>
          <w:tcPr>
            <w:tcW w:w="372" w:type="pct"/>
            <w:tcBorders>
              <w:top w:val="nil"/>
            </w:tcBorders>
            <w:shd w:val="clear" w:color="auto" w:fill="FFFFFF" w:themeFill="background1"/>
            <w:noWrap/>
          </w:tcPr>
          <w:p w14:paraId="087AFFE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53" w:type="pct"/>
            <w:tcBorders>
              <w:top w:val="nil"/>
            </w:tcBorders>
            <w:shd w:val="clear" w:color="auto" w:fill="FFFFFF" w:themeFill="background1"/>
            <w:noWrap/>
          </w:tcPr>
          <w:p w14:paraId="71B6E60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hideMark/>
          </w:tcPr>
          <w:p w14:paraId="10A481F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1,0</w:t>
            </w:r>
          </w:p>
        </w:tc>
        <w:tc>
          <w:tcPr>
            <w:tcW w:w="372" w:type="pct"/>
            <w:tcBorders>
              <w:top w:val="nil"/>
            </w:tcBorders>
            <w:shd w:val="clear" w:color="auto" w:fill="FFFFFF" w:themeFill="background1"/>
            <w:noWrap/>
          </w:tcPr>
          <w:p w14:paraId="121AB80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p>
        </w:tc>
        <w:tc>
          <w:tcPr>
            <w:tcW w:w="372" w:type="pct"/>
            <w:tcBorders>
              <w:top w:val="nil"/>
            </w:tcBorders>
            <w:shd w:val="clear" w:color="auto" w:fill="FFFFFF" w:themeFill="background1"/>
            <w:noWrap/>
          </w:tcPr>
          <w:p w14:paraId="2612891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0,5</w:t>
            </w:r>
          </w:p>
        </w:tc>
        <w:tc>
          <w:tcPr>
            <w:tcW w:w="372" w:type="pct"/>
            <w:tcBorders>
              <w:top w:val="nil"/>
            </w:tcBorders>
            <w:shd w:val="clear" w:color="auto" w:fill="FFFFFF" w:themeFill="background1"/>
            <w:noWrap/>
            <w:hideMark/>
          </w:tcPr>
          <w:p w14:paraId="3022C33A"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0,5</w:t>
            </w:r>
          </w:p>
        </w:tc>
        <w:tc>
          <w:tcPr>
            <w:tcW w:w="372" w:type="pct"/>
            <w:tcBorders>
              <w:top w:val="nil"/>
            </w:tcBorders>
            <w:shd w:val="clear" w:color="auto" w:fill="FFFFFF" w:themeFill="background1"/>
            <w:noWrap/>
            <w:hideMark/>
          </w:tcPr>
          <w:p w14:paraId="40A8498F"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bCs/>
                <w:color w:val="002060"/>
                <w:sz w:val="14"/>
                <w:szCs w:val="14"/>
                <w:lang w:val="sr-Cyrl-CS"/>
              </w:rPr>
            </w:pPr>
            <w:r w:rsidRPr="0007074F">
              <w:rPr>
                <w:rFonts w:cstheme="minorHAnsi"/>
                <w:bCs/>
                <w:color w:val="002060"/>
                <w:sz w:val="14"/>
                <w:szCs w:val="14"/>
                <w:lang w:val="sr-Cyrl-CS"/>
              </w:rPr>
              <w:t>0,0</w:t>
            </w:r>
          </w:p>
        </w:tc>
      </w:tr>
      <w:tr w:rsidR="00063299" w:rsidRPr="0007074F" w14:paraId="2ADD991C"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BFBFBF" w:themeFill="background1" w:themeFillShade="BF"/>
            <w:noWrap/>
            <w:vAlign w:val="bottom"/>
            <w:hideMark/>
          </w:tcPr>
          <w:p w14:paraId="04C5035B" w14:textId="77777777" w:rsidR="00063299" w:rsidRPr="0007074F" w:rsidRDefault="00063299" w:rsidP="003911D0">
            <w:pPr>
              <w:tabs>
                <w:tab w:val="center" w:pos="4680"/>
                <w:tab w:val="right" w:pos="9360"/>
              </w:tabs>
              <w:rPr>
                <w:rFonts w:cstheme="minorHAnsi"/>
                <w:color w:val="002060"/>
                <w:sz w:val="14"/>
                <w:szCs w:val="14"/>
                <w:lang w:val="sr-Cyrl-CS"/>
              </w:rPr>
            </w:pPr>
            <w:r w:rsidRPr="0007074F">
              <w:rPr>
                <w:rFonts w:cstheme="minorHAnsi"/>
                <w:color w:val="002060"/>
                <w:sz w:val="14"/>
                <w:szCs w:val="14"/>
                <w:lang w:val="sr-Cyrl-CS"/>
              </w:rPr>
              <w:t>Јавни расходи</w:t>
            </w:r>
          </w:p>
        </w:tc>
        <w:tc>
          <w:tcPr>
            <w:tcW w:w="356" w:type="pct"/>
            <w:tcBorders>
              <w:top w:val="nil"/>
            </w:tcBorders>
            <w:shd w:val="clear" w:color="auto" w:fill="BFBFBF" w:themeFill="background1" w:themeFillShade="BF"/>
            <w:noWrap/>
            <w:hideMark/>
          </w:tcPr>
          <w:p w14:paraId="151E5B4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3.840,4</w:t>
            </w:r>
          </w:p>
        </w:tc>
        <w:tc>
          <w:tcPr>
            <w:tcW w:w="356" w:type="pct"/>
            <w:tcBorders>
              <w:top w:val="nil"/>
            </w:tcBorders>
            <w:shd w:val="clear" w:color="auto" w:fill="BFBFBF" w:themeFill="background1" w:themeFillShade="BF"/>
            <w:noWrap/>
            <w:hideMark/>
          </w:tcPr>
          <w:p w14:paraId="489F91F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1.692,1</w:t>
            </w:r>
          </w:p>
        </w:tc>
        <w:tc>
          <w:tcPr>
            <w:tcW w:w="360" w:type="pct"/>
            <w:tcBorders>
              <w:top w:val="nil"/>
            </w:tcBorders>
            <w:shd w:val="clear" w:color="auto" w:fill="BFBFBF" w:themeFill="background1" w:themeFillShade="BF"/>
            <w:noWrap/>
            <w:hideMark/>
          </w:tcPr>
          <w:p w14:paraId="2CB0C51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580,3</w:t>
            </w:r>
          </w:p>
        </w:tc>
        <w:tc>
          <w:tcPr>
            <w:tcW w:w="348" w:type="pct"/>
            <w:tcBorders>
              <w:top w:val="nil"/>
            </w:tcBorders>
            <w:shd w:val="clear" w:color="auto" w:fill="BFBFBF" w:themeFill="background1" w:themeFillShade="BF"/>
            <w:noWrap/>
            <w:hideMark/>
          </w:tcPr>
          <w:p w14:paraId="1486F5C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488,9</w:t>
            </w:r>
          </w:p>
        </w:tc>
        <w:tc>
          <w:tcPr>
            <w:tcW w:w="372" w:type="pct"/>
            <w:tcBorders>
              <w:top w:val="nil"/>
            </w:tcBorders>
            <w:shd w:val="clear" w:color="auto" w:fill="BFBFBF" w:themeFill="background1" w:themeFillShade="BF"/>
            <w:noWrap/>
            <w:hideMark/>
          </w:tcPr>
          <w:p w14:paraId="1890948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91,4</w:t>
            </w:r>
          </w:p>
        </w:tc>
        <w:tc>
          <w:tcPr>
            <w:tcW w:w="353" w:type="pct"/>
            <w:tcBorders>
              <w:top w:val="nil"/>
            </w:tcBorders>
            <w:shd w:val="clear" w:color="auto" w:fill="BFBFBF" w:themeFill="background1" w:themeFillShade="BF"/>
            <w:noWrap/>
            <w:hideMark/>
          </w:tcPr>
          <w:p w14:paraId="7D9E33A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82,9</w:t>
            </w:r>
          </w:p>
        </w:tc>
        <w:tc>
          <w:tcPr>
            <w:tcW w:w="372" w:type="pct"/>
            <w:tcBorders>
              <w:top w:val="nil"/>
            </w:tcBorders>
            <w:shd w:val="clear" w:color="auto" w:fill="BFBFBF" w:themeFill="background1" w:themeFillShade="BF"/>
            <w:noWrap/>
            <w:hideMark/>
          </w:tcPr>
          <w:p w14:paraId="3930E4F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1.485,1</w:t>
            </w:r>
          </w:p>
        </w:tc>
        <w:tc>
          <w:tcPr>
            <w:tcW w:w="372" w:type="pct"/>
            <w:tcBorders>
              <w:top w:val="nil"/>
            </w:tcBorders>
            <w:shd w:val="clear" w:color="auto" w:fill="BFBFBF" w:themeFill="background1" w:themeFillShade="BF"/>
            <w:noWrap/>
            <w:hideMark/>
          </w:tcPr>
          <w:p w14:paraId="23CB9F7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921,4</w:t>
            </w:r>
          </w:p>
        </w:tc>
        <w:tc>
          <w:tcPr>
            <w:tcW w:w="372" w:type="pct"/>
            <w:tcBorders>
              <w:top w:val="nil"/>
            </w:tcBorders>
            <w:shd w:val="clear" w:color="auto" w:fill="BFBFBF" w:themeFill="background1" w:themeFillShade="BF"/>
            <w:noWrap/>
            <w:hideMark/>
          </w:tcPr>
          <w:p w14:paraId="55B218C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530,8</w:t>
            </w:r>
          </w:p>
        </w:tc>
        <w:tc>
          <w:tcPr>
            <w:tcW w:w="372" w:type="pct"/>
            <w:tcBorders>
              <w:top w:val="nil"/>
            </w:tcBorders>
            <w:shd w:val="clear" w:color="auto" w:fill="BFBFBF" w:themeFill="background1" w:themeFillShade="BF"/>
            <w:noWrap/>
            <w:hideMark/>
          </w:tcPr>
          <w:p w14:paraId="2C6DAE76"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24,3</w:t>
            </w:r>
          </w:p>
        </w:tc>
        <w:tc>
          <w:tcPr>
            <w:tcW w:w="372" w:type="pct"/>
            <w:tcBorders>
              <w:top w:val="nil"/>
            </w:tcBorders>
            <w:shd w:val="clear" w:color="auto" w:fill="BFBFBF" w:themeFill="background1" w:themeFillShade="BF"/>
            <w:noWrap/>
            <w:hideMark/>
          </w:tcPr>
          <w:p w14:paraId="06CABDBC"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8,6</w:t>
            </w:r>
          </w:p>
        </w:tc>
      </w:tr>
      <w:tr w:rsidR="00063299" w:rsidRPr="0007074F" w14:paraId="2193C36F"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2478969"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Текући расходи</w:t>
            </w:r>
          </w:p>
        </w:tc>
        <w:tc>
          <w:tcPr>
            <w:tcW w:w="356" w:type="pct"/>
            <w:tcBorders>
              <w:top w:val="nil"/>
            </w:tcBorders>
            <w:shd w:val="clear" w:color="auto" w:fill="FFFFFF" w:themeFill="background1"/>
            <w:noWrap/>
            <w:hideMark/>
          </w:tcPr>
          <w:p w14:paraId="5D6F4A7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3.148,3</w:t>
            </w:r>
          </w:p>
        </w:tc>
        <w:tc>
          <w:tcPr>
            <w:tcW w:w="356" w:type="pct"/>
            <w:tcBorders>
              <w:top w:val="nil"/>
            </w:tcBorders>
            <w:shd w:val="clear" w:color="auto" w:fill="FFFFFF" w:themeFill="background1"/>
            <w:noWrap/>
            <w:hideMark/>
          </w:tcPr>
          <w:p w14:paraId="1189E3A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1.150,1</w:t>
            </w:r>
          </w:p>
        </w:tc>
        <w:tc>
          <w:tcPr>
            <w:tcW w:w="360" w:type="pct"/>
            <w:tcBorders>
              <w:top w:val="nil"/>
            </w:tcBorders>
            <w:shd w:val="clear" w:color="auto" w:fill="FFFFFF" w:themeFill="background1"/>
            <w:noWrap/>
            <w:hideMark/>
          </w:tcPr>
          <w:p w14:paraId="71F008C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463,7</w:t>
            </w:r>
          </w:p>
        </w:tc>
        <w:tc>
          <w:tcPr>
            <w:tcW w:w="348" w:type="pct"/>
            <w:tcBorders>
              <w:top w:val="nil"/>
            </w:tcBorders>
            <w:shd w:val="clear" w:color="auto" w:fill="FFFFFF" w:themeFill="background1"/>
            <w:noWrap/>
            <w:hideMark/>
          </w:tcPr>
          <w:p w14:paraId="208DF5E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379,2</w:t>
            </w:r>
          </w:p>
        </w:tc>
        <w:tc>
          <w:tcPr>
            <w:tcW w:w="372" w:type="pct"/>
            <w:tcBorders>
              <w:top w:val="nil"/>
            </w:tcBorders>
            <w:shd w:val="clear" w:color="auto" w:fill="FFFFFF" w:themeFill="background1"/>
            <w:noWrap/>
            <w:hideMark/>
          </w:tcPr>
          <w:p w14:paraId="011FE54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84,6</w:t>
            </w:r>
          </w:p>
        </w:tc>
        <w:tc>
          <w:tcPr>
            <w:tcW w:w="353" w:type="pct"/>
            <w:tcBorders>
              <w:top w:val="nil"/>
            </w:tcBorders>
            <w:shd w:val="clear" w:color="auto" w:fill="FFFFFF" w:themeFill="background1"/>
            <w:noWrap/>
            <w:hideMark/>
          </w:tcPr>
          <w:p w14:paraId="3FAAC0E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68,7</w:t>
            </w:r>
          </w:p>
        </w:tc>
        <w:tc>
          <w:tcPr>
            <w:tcW w:w="372" w:type="pct"/>
            <w:tcBorders>
              <w:top w:val="nil"/>
            </w:tcBorders>
            <w:shd w:val="clear" w:color="auto" w:fill="FFFFFF" w:themeFill="background1"/>
            <w:noWrap/>
            <w:hideMark/>
          </w:tcPr>
          <w:p w14:paraId="14B688E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1.465,8</w:t>
            </w:r>
          </w:p>
        </w:tc>
        <w:tc>
          <w:tcPr>
            <w:tcW w:w="372" w:type="pct"/>
            <w:tcBorders>
              <w:top w:val="nil"/>
            </w:tcBorders>
            <w:shd w:val="clear" w:color="auto" w:fill="FFFFFF" w:themeFill="background1"/>
            <w:noWrap/>
            <w:hideMark/>
          </w:tcPr>
          <w:p w14:paraId="39ADD87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920,7</w:t>
            </w:r>
          </w:p>
        </w:tc>
        <w:tc>
          <w:tcPr>
            <w:tcW w:w="372" w:type="pct"/>
            <w:tcBorders>
              <w:top w:val="nil"/>
            </w:tcBorders>
            <w:shd w:val="clear" w:color="auto" w:fill="FFFFFF" w:themeFill="background1"/>
            <w:noWrap/>
            <w:hideMark/>
          </w:tcPr>
          <w:p w14:paraId="5D55ED9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512,8</w:t>
            </w:r>
          </w:p>
        </w:tc>
        <w:tc>
          <w:tcPr>
            <w:tcW w:w="372" w:type="pct"/>
            <w:tcBorders>
              <w:top w:val="nil"/>
            </w:tcBorders>
            <w:shd w:val="clear" w:color="auto" w:fill="FFFFFF" w:themeFill="background1"/>
            <w:noWrap/>
            <w:hideMark/>
          </w:tcPr>
          <w:p w14:paraId="4488F267"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23,9</w:t>
            </w:r>
          </w:p>
        </w:tc>
        <w:tc>
          <w:tcPr>
            <w:tcW w:w="372" w:type="pct"/>
            <w:tcBorders>
              <w:top w:val="nil"/>
            </w:tcBorders>
            <w:shd w:val="clear" w:color="auto" w:fill="FFFFFF" w:themeFill="background1"/>
            <w:noWrap/>
            <w:hideMark/>
          </w:tcPr>
          <w:p w14:paraId="54C841DE"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8,4</w:t>
            </w:r>
          </w:p>
        </w:tc>
      </w:tr>
      <w:tr w:rsidR="00063299" w:rsidRPr="0007074F" w14:paraId="1038C5E5"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CBD2E60"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Расходи за запослене</w:t>
            </w:r>
          </w:p>
        </w:tc>
        <w:tc>
          <w:tcPr>
            <w:tcW w:w="356" w:type="pct"/>
            <w:tcBorders>
              <w:top w:val="nil"/>
            </w:tcBorders>
            <w:shd w:val="clear" w:color="auto" w:fill="FFFFFF" w:themeFill="background1"/>
            <w:noWrap/>
            <w:hideMark/>
          </w:tcPr>
          <w:p w14:paraId="40A8E36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740,5</w:t>
            </w:r>
          </w:p>
        </w:tc>
        <w:tc>
          <w:tcPr>
            <w:tcW w:w="356" w:type="pct"/>
            <w:tcBorders>
              <w:top w:val="nil"/>
            </w:tcBorders>
            <w:shd w:val="clear" w:color="auto" w:fill="FFFFFF" w:themeFill="background1"/>
            <w:noWrap/>
            <w:hideMark/>
          </w:tcPr>
          <w:p w14:paraId="2A29C28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373,0</w:t>
            </w:r>
          </w:p>
        </w:tc>
        <w:tc>
          <w:tcPr>
            <w:tcW w:w="360" w:type="pct"/>
            <w:tcBorders>
              <w:top w:val="nil"/>
            </w:tcBorders>
            <w:shd w:val="clear" w:color="auto" w:fill="FFFFFF" w:themeFill="background1"/>
            <w:noWrap/>
            <w:hideMark/>
          </w:tcPr>
          <w:p w14:paraId="1F18D7DD"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128,5</w:t>
            </w:r>
          </w:p>
        </w:tc>
        <w:tc>
          <w:tcPr>
            <w:tcW w:w="348" w:type="pct"/>
            <w:tcBorders>
              <w:top w:val="nil"/>
            </w:tcBorders>
            <w:shd w:val="clear" w:color="auto" w:fill="FFFFFF" w:themeFill="background1"/>
            <w:noWrap/>
            <w:hideMark/>
          </w:tcPr>
          <w:p w14:paraId="171E07D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82,0</w:t>
            </w:r>
          </w:p>
        </w:tc>
        <w:tc>
          <w:tcPr>
            <w:tcW w:w="372" w:type="pct"/>
            <w:tcBorders>
              <w:top w:val="nil"/>
            </w:tcBorders>
            <w:shd w:val="clear" w:color="auto" w:fill="FFFFFF" w:themeFill="background1"/>
            <w:noWrap/>
            <w:hideMark/>
          </w:tcPr>
          <w:p w14:paraId="761E77D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46,5</w:t>
            </w:r>
          </w:p>
        </w:tc>
        <w:tc>
          <w:tcPr>
            <w:tcW w:w="353" w:type="pct"/>
            <w:tcBorders>
              <w:top w:val="nil"/>
            </w:tcBorders>
            <w:shd w:val="clear" w:color="auto" w:fill="FFFFFF" w:themeFill="background1"/>
            <w:noWrap/>
            <w:hideMark/>
          </w:tcPr>
          <w:p w14:paraId="09E7BB8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3,8</w:t>
            </w:r>
          </w:p>
        </w:tc>
        <w:tc>
          <w:tcPr>
            <w:tcW w:w="372" w:type="pct"/>
            <w:tcBorders>
              <w:top w:val="nil"/>
            </w:tcBorders>
            <w:shd w:val="clear" w:color="auto" w:fill="FFFFFF" w:themeFill="background1"/>
            <w:noWrap/>
            <w:hideMark/>
          </w:tcPr>
          <w:p w14:paraId="1A114CC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235,3</w:t>
            </w:r>
          </w:p>
        </w:tc>
        <w:tc>
          <w:tcPr>
            <w:tcW w:w="372" w:type="pct"/>
            <w:tcBorders>
              <w:top w:val="nil"/>
            </w:tcBorders>
            <w:shd w:val="clear" w:color="auto" w:fill="FFFFFF" w:themeFill="background1"/>
            <w:noWrap/>
            <w:hideMark/>
          </w:tcPr>
          <w:p w14:paraId="24BA82D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4,1</w:t>
            </w:r>
          </w:p>
        </w:tc>
        <w:tc>
          <w:tcPr>
            <w:tcW w:w="372" w:type="pct"/>
            <w:tcBorders>
              <w:top w:val="nil"/>
            </w:tcBorders>
            <w:shd w:val="clear" w:color="auto" w:fill="FFFFFF" w:themeFill="background1"/>
            <w:noWrap/>
            <w:hideMark/>
          </w:tcPr>
          <w:p w14:paraId="223A868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229,0</w:t>
            </w:r>
          </w:p>
        </w:tc>
        <w:tc>
          <w:tcPr>
            <w:tcW w:w="372" w:type="pct"/>
            <w:tcBorders>
              <w:top w:val="nil"/>
            </w:tcBorders>
            <w:shd w:val="clear" w:color="auto" w:fill="FFFFFF" w:themeFill="background1"/>
            <w:noWrap/>
            <w:hideMark/>
          </w:tcPr>
          <w:p w14:paraId="3A482F74"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2,2</w:t>
            </w:r>
          </w:p>
        </w:tc>
        <w:tc>
          <w:tcPr>
            <w:tcW w:w="372" w:type="pct"/>
            <w:tcBorders>
              <w:top w:val="nil"/>
            </w:tcBorders>
            <w:shd w:val="clear" w:color="auto" w:fill="FFFFFF" w:themeFill="background1"/>
            <w:noWrap/>
          </w:tcPr>
          <w:p w14:paraId="7E514E60"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52B7897E"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D0C8FF8"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Доприноси на терет послодавца</w:t>
            </w:r>
          </w:p>
        </w:tc>
        <w:tc>
          <w:tcPr>
            <w:tcW w:w="356" w:type="pct"/>
            <w:tcBorders>
              <w:top w:val="nil"/>
            </w:tcBorders>
            <w:shd w:val="clear" w:color="auto" w:fill="FFFFFF" w:themeFill="background1"/>
            <w:noWrap/>
            <w:hideMark/>
          </w:tcPr>
          <w:p w14:paraId="15FC1CA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114,3</w:t>
            </w:r>
          </w:p>
        </w:tc>
        <w:tc>
          <w:tcPr>
            <w:tcW w:w="356" w:type="pct"/>
            <w:tcBorders>
              <w:top w:val="nil"/>
            </w:tcBorders>
            <w:shd w:val="clear" w:color="auto" w:fill="FFFFFF" w:themeFill="background1"/>
            <w:noWrap/>
            <w:hideMark/>
          </w:tcPr>
          <w:p w14:paraId="03E2DF9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61,0</w:t>
            </w:r>
          </w:p>
        </w:tc>
        <w:tc>
          <w:tcPr>
            <w:tcW w:w="360" w:type="pct"/>
            <w:tcBorders>
              <w:top w:val="nil"/>
            </w:tcBorders>
            <w:shd w:val="clear" w:color="auto" w:fill="FFFFFF" w:themeFill="background1"/>
            <w:noWrap/>
            <w:hideMark/>
          </w:tcPr>
          <w:p w14:paraId="31A8B04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19,7</w:t>
            </w:r>
          </w:p>
        </w:tc>
        <w:tc>
          <w:tcPr>
            <w:tcW w:w="348" w:type="pct"/>
            <w:tcBorders>
              <w:top w:val="nil"/>
            </w:tcBorders>
            <w:shd w:val="clear" w:color="auto" w:fill="FFFFFF" w:themeFill="background1"/>
            <w:noWrap/>
            <w:hideMark/>
          </w:tcPr>
          <w:p w14:paraId="2F7F300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11,3</w:t>
            </w:r>
          </w:p>
        </w:tc>
        <w:tc>
          <w:tcPr>
            <w:tcW w:w="372" w:type="pct"/>
            <w:tcBorders>
              <w:top w:val="nil"/>
            </w:tcBorders>
            <w:shd w:val="clear" w:color="auto" w:fill="FFFFFF" w:themeFill="background1"/>
            <w:noWrap/>
            <w:hideMark/>
          </w:tcPr>
          <w:p w14:paraId="3D62DBD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8,4</w:t>
            </w:r>
          </w:p>
        </w:tc>
        <w:tc>
          <w:tcPr>
            <w:tcW w:w="353" w:type="pct"/>
            <w:tcBorders>
              <w:top w:val="nil"/>
            </w:tcBorders>
            <w:shd w:val="clear" w:color="auto" w:fill="FFFFFF" w:themeFill="background1"/>
            <w:noWrap/>
            <w:hideMark/>
          </w:tcPr>
          <w:p w14:paraId="149838F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0,5</w:t>
            </w:r>
          </w:p>
        </w:tc>
        <w:tc>
          <w:tcPr>
            <w:tcW w:w="372" w:type="pct"/>
            <w:tcBorders>
              <w:top w:val="nil"/>
            </w:tcBorders>
            <w:shd w:val="clear" w:color="auto" w:fill="FFFFFF" w:themeFill="background1"/>
            <w:noWrap/>
            <w:hideMark/>
          </w:tcPr>
          <w:p w14:paraId="2ECD6917"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33,1</w:t>
            </w:r>
          </w:p>
        </w:tc>
        <w:tc>
          <w:tcPr>
            <w:tcW w:w="372" w:type="pct"/>
            <w:tcBorders>
              <w:top w:val="nil"/>
            </w:tcBorders>
            <w:shd w:val="clear" w:color="auto" w:fill="FFFFFF" w:themeFill="background1"/>
            <w:noWrap/>
            <w:hideMark/>
          </w:tcPr>
          <w:p w14:paraId="194574A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0,7</w:t>
            </w:r>
          </w:p>
        </w:tc>
        <w:tc>
          <w:tcPr>
            <w:tcW w:w="372" w:type="pct"/>
            <w:tcBorders>
              <w:top w:val="nil"/>
            </w:tcBorders>
            <w:shd w:val="clear" w:color="auto" w:fill="FFFFFF" w:themeFill="background1"/>
            <w:noWrap/>
            <w:hideMark/>
          </w:tcPr>
          <w:p w14:paraId="189896E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31,9</w:t>
            </w:r>
          </w:p>
        </w:tc>
        <w:tc>
          <w:tcPr>
            <w:tcW w:w="372" w:type="pct"/>
            <w:tcBorders>
              <w:top w:val="nil"/>
            </w:tcBorders>
            <w:shd w:val="clear" w:color="auto" w:fill="FFFFFF" w:themeFill="background1"/>
            <w:noWrap/>
            <w:hideMark/>
          </w:tcPr>
          <w:p w14:paraId="30E15E1A"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0,5</w:t>
            </w:r>
          </w:p>
        </w:tc>
        <w:tc>
          <w:tcPr>
            <w:tcW w:w="372" w:type="pct"/>
            <w:tcBorders>
              <w:top w:val="nil"/>
            </w:tcBorders>
            <w:shd w:val="clear" w:color="auto" w:fill="FFFFFF" w:themeFill="background1"/>
            <w:noWrap/>
          </w:tcPr>
          <w:p w14:paraId="50E3EAE7"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0AB552B3"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6227DFD"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Куповина роба и услуга</w:t>
            </w:r>
          </w:p>
        </w:tc>
        <w:tc>
          <w:tcPr>
            <w:tcW w:w="356" w:type="pct"/>
            <w:tcBorders>
              <w:top w:val="nil"/>
            </w:tcBorders>
            <w:shd w:val="clear" w:color="auto" w:fill="FFFFFF" w:themeFill="background1"/>
            <w:noWrap/>
            <w:hideMark/>
          </w:tcPr>
          <w:p w14:paraId="54483D3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628,6</w:t>
            </w:r>
          </w:p>
        </w:tc>
        <w:tc>
          <w:tcPr>
            <w:tcW w:w="356" w:type="pct"/>
            <w:tcBorders>
              <w:top w:val="nil"/>
            </w:tcBorders>
            <w:shd w:val="clear" w:color="auto" w:fill="FFFFFF" w:themeFill="background1"/>
            <w:noWrap/>
            <w:hideMark/>
          </w:tcPr>
          <w:p w14:paraId="7261F6F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153,4</w:t>
            </w:r>
          </w:p>
        </w:tc>
        <w:tc>
          <w:tcPr>
            <w:tcW w:w="360" w:type="pct"/>
            <w:tcBorders>
              <w:top w:val="nil"/>
            </w:tcBorders>
            <w:shd w:val="clear" w:color="auto" w:fill="FFFFFF" w:themeFill="background1"/>
            <w:noWrap/>
            <w:hideMark/>
          </w:tcPr>
          <w:p w14:paraId="334C6F9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175,0</w:t>
            </w:r>
          </w:p>
        </w:tc>
        <w:tc>
          <w:tcPr>
            <w:tcW w:w="348" w:type="pct"/>
            <w:tcBorders>
              <w:top w:val="nil"/>
            </w:tcBorders>
            <w:shd w:val="clear" w:color="auto" w:fill="FFFFFF" w:themeFill="background1"/>
            <w:noWrap/>
            <w:hideMark/>
          </w:tcPr>
          <w:p w14:paraId="1661080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168,7</w:t>
            </w:r>
          </w:p>
        </w:tc>
        <w:tc>
          <w:tcPr>
            <w:tcW w:w="372" w:type="pct"/>
            <w:tcBorders>
              <w:top w:val="nil"/>
            </w:tcBorders>
            <w:shd w:val="clear" w:color="auto" w:fill="FFFFFF" w:themeFill="background1"/>
            <w:noWrap/>
            <w:hideMark/>
          </w:tcPr>
          <w:p w14:paraId="237E0C8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6,3</w:t>
            </w:r>
          </w:p>
        </w:tc>
        <w:tc>
          <w:tcPr>
            <w:tcW w:w="353" w:type="pct"/>
            <w:tcBorders>
              <w:top w:val="nil"/>
            </w:tcBorders>
            <w:shd w:val="clear" w:color="auto" w:fill="FFFFFF" w:themeFill="background1"/>
            <w:noWrap/>
            <w:hideMark/>
          </w:tcPr>
          <w:p w14:paraId="35B24C1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60,9</w:t>
            </w:r>
          </w:p>
        </w:tc>
        <w:tc>
          <w:tcPr>
            <w:tcW w:w="372" w:type="pct"/>
            <w:tcBorders>
              <w:top w:val="nil"/>
            </w:tcBorders>
            <w:shd w:val="clear" w:color="auto" w:fill="FFFFFF" w:themeFill="background1"/>
            <w:noWrap/>
            <w:hideMark/>
          </w:tcPr>
          <w:p w14:paraId="141CD92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239,4</w:t>
            </w:r>
          </w:p>
        </w:tc>
        <w:tc>
          <w:tcPr>
            <w:tcW w:w="372" w:type="pct"/>
            <w:tcBorders>
              <w:top w:val="nil"/>
            </w:tcBorders>
            <w:shd w:val="clear" w:color="auto" w:fill="FFFFFF" w:themeFill="background1"/>
            <w:noWrap/>
            <w:hideMark/>
          </w:tcPr>
          <w:p w14:paraId="31C48B9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2,7</w:t>
            </w:r>
          </w:p>
        </w:tc>
        <w:tc>
          <w:tcPr>
            <w:tcW w:w="372" w:type="pct"/>
            <w:tcBorders>
              <w:top w:val="nil"/>
            </w:tcBorders>
            <w:shd w:val="clear" w:color="auto" w:fill="FFFFFF" w:themeFill="background1"/>
            <w:noWrap/>
            <w:hideMark/>
          </w:tcPr>
          <w:p w14:paraId="5C2CA79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229,7</w:t>
            </w:r>
          </w:p>
        </w:tc>
        <w:tc>
          <w:tcPr>
            <w:tcW w:w="372" w:type="pct"/>
            <w:tcBorders>
              <w:top w:val="nil"/>
            </w:tcBorders>
            <w:shd w:val="clear" w:color="auto" w:fill="FFFFFF" w:themeFill="background1"/>
            <w:noWrap/>
            <w:hideMark/>
          </w:tcPr>
          <w:p w14:paraId="3826A72C"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1,2</w:t>
            </w:r>
          </w:p>
        </w:tc>
        <w:tc>
          <w:tcPr>
            <w:tcW w:w="372" w:type="pct"/>
            <w:tcBorders>
              <w:top w:val="nil"/>
            </w:tcBorders>
            <w:shd w:val="clear" w:color="auto" w:fill="FFFFFF" w:themeFill="background1"/>
            <w:noWrap/>
            <w:hideMark/>
          </w:tcPr>
          <w:p w14:paraId="3DE80FDC"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5,8</w:t>
            </w:r>
          </w:p>
        </w:tc>
      </w:tr>
      <w:tr w:rsidR="00063299" w:rsidRPr="0007074F" w14:paraId="0A775D58"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9326674"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Отплата камата</w:t>
            </w:r>
          </w:p>
        </w:tc>
        <w:tc>
          <w:tcPr>
            <w:tcW w:w="356" w:type="pct"/>
            <w:tcBorders>
              <w:top w:val="nil"/>
            </w:tcBorders>
            <w:shd w:val="clear" w:color="auto" w:fill="FFFFFF" w:themeFill="background1"/>
            <w:noWrap/>
            <w:hideMark/>
          </w:tcPr>
          <w:p w14:paraId="4D9170A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185,4</w:t>
            </w:r>
          </w:p>
        </w:tc>
        <w:tc>
          <w:tcPr>
            <w:tcW w:w="356" w:type="pct"/>
            <w:tcBorders>
              <w:top w:val="nil"/>
            </w:tcBorders>
            <w:shd w:val="clear" w:color="auto" w:fill="FFFFFF" w:themeFill="background1"/>
            <w:noWrap/>
            <w:hideMark/>
          </w:tcPr>
          <w:p w14:paraId="5F9B311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182,8</w:t>
            </w:r>
          </w:p>
        </w:tc>
        <w:tc>
          <w:tcPr>
            <w:tcW w:w="360" w:type="pct"/>
            <w:tcBorders>
              <w:top w:val="nil"/>
            </w:tcBorders>
            <w:shd w:val="clear" w:color="auto" w:fill="FFFFFF" w:themeFill="background1"/>
            <w:noWrap/>
            <w:hideMark/>
          </w:tcPr>
          <w:p w14:paraId="5FB86187"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2,3</w:t>
            </w:r>
          </w:p>
        </w:tc>
        <w:tc>
          <w:tcPr>
            <w:tcW w:w="348" w:type="pct"/>
            <w:tcBorders>
              <w:top w:val="nil"/>
            </w:tcBorders>
            <w:shd w:val="clear" w:color="auto" w:fill="FFFFFF" w:themeFill="background1"/>
            <w:noWrap/>
            <w:hideMark/>
          </w:tcPr>
          <w:p w14:paraId="3F826E2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2,0</w:t>
            </w:r>
          </w:p>
        </w:tc>
        <w:tc>
          <w:tcPr>
            <w:tcW w:w="372" w:type="pct"/>
            <w:tcBorders>
              <w:top w:val="nil"/>
            </w:tcBorders>
            <w:shd w:val="clear" w:color="auto" w:fill="FFFFFF" w:themeFill="background1"/>
            <w:noWrap/>
            <w:hideMark/>
          </w:tcPr>
          <w:p w14:paraId="09C7CC0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0,3</w:t>
            </w:r>
          </w:p>
        </w:tc>
        <w:tc>
          <w:tcPr>
            <w:tcW w:w="353" w:type="pct"/>
            <w:tcBorders>
              <w:top w:val="nil"/>
            </w:tcBorders>
            <w:shd w:val="clear" w:color="auto" w:fill="FFFFFF" w:themeFill="background1"/>
            <w:noWrap/>
            <w:hideMark/>
          </w:tcPr>
          <w:p w14:paraId="50EAA21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0,1</w:t>
            </w:r>
          </w:p>
        </w:tc>
        <w:tc>
          <w:tcPr>
            <w:tcW w:w="372" w:type="pct"/>
            <w:tcBorders>
              <w:top w:val="nil"/>
            </w:tcBorders>
            <w:shd w:val="clear" w:color="auto" w:fill="FFFFFF" w:themeFill="background1"/>
            <w:noWrap/>
          </w:tcPr>
          <w:p w14:paraId="5459817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0,2</w:t>
            </w:r>
          </w:p>
        </w:tc>
        <w:tc>
          <w:tcPr>
            <w:tcW w:w="372" w:type="pct"/>
            <w:tcBorders>
              <w:top w:val="nil"/>
            </w:tcBorders>
            <w:shd w:val="clear" w:color="auto" w:fill="FFFFFF" w:themeFill="background1"/>
            <w:noWrap/>
          </w:tcPr>
          <w:p w14:paraId="08C8405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055842F7"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0,2</w:t>
            </w:r>
          </w:p>
        </w:tc>
        <w:tc>
          <w:tcPr>
            <w:tcW w:w="372" w:type="pct"/>
            <w:tcBorders>
              <w:top w:val="nil"/>
            </w:tcBorders>
            <w:shd w:val="clear" w:color="auto" w:fill="FFFFFF" w:themeFill="background1"/>
            <w:noWrap/>
          </w:tcPr>
          <w:p w14:paraId="260DA18C"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73FB4AF4"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09741493"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20449F42"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Субвенције</w:t>
            </w:r>
          </w:p>
        </w:tc>
        <w:tc>
          <w:tcPr>
            <w:tcW w:w="356" w:type="pct"/>
            <w:tcBorders>
              <w:top w:val="nil"/>
            </w:tcBorders>
            <w:shd w:val="clear" w:color="auto" w:fill="FFFFFF" w:themeFill="background1"/>
            <w:noWrap/>
            <w:hideMark/>
          </w:tcPr>
          <w:p w14:paraId="039E79D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217,1</w:t>
            </w:r>
          </w:p>
        </w:tc>
        <w:tc>
          <w:tcPr>
            <w:tcW w:w="356" w:type="pct"/>
            <w:tcBorders>
              <w:top w:val="nil"/>
            </w:tcBorders>
            <w:shd w:val="clear" w:color="auto" w:fill="FFFFFF" w:themeFill="background1"/>
            <w:noWrap/>
            <w:hideMark/>
          </w:tcPr>
          <w:p w14:paraId="71B54F9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167,0</w:t>
            </w:r>
          </w:p>
        </w:tc>
        <w:tc>
          <w:tcPr>
            <w:tcW w:w="360" w:type="pct"/>
            <w:tcBorders>
              <w:top w:val="nil"/>
            </w:tcBorders>
            <w:shd w:val="clear" w:color="auto" w:fill="FFFFFF" w:themeFill="background1"/>
            <w:noWrap/>
            <w:hideMark/>
          </w:tcPr>
          <w:p w14:paraId="53BC862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50,1</w:t>
            </w:r>
          </w:p>
        </w:tc>
        <w:tc>
          <w:tcPr>
            <w:tcW w:w="348" w:type="pct"/>
            <w:tcBorders>
              <w:top w:val="nil"/>
            </w:tcBorders>
            <w:shd w:val="clear" w:color="auto" w:fill="FFFFFF" w:themeFill="background1"/>
            <w:noWrap/>
            <w:hideMark/>
          </w:tcPr>
          <w:p w14:paraId="0272E4D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35,3</w:t>
            </w:r>
          </w:p>
        </w:tc>
        <w:tc>
          <w:tcPr>
            <w:tcW w:w="372" w:type="pct"/>
            <w:tcBorders>
              <w:top w:val="nil"/>
            </w:tcBorders>
            <w:shd w:val="clear" w:color="auto" w:fill="FFFFFF" w:themeFill="background1"/>
            <w:noWrap/>
            <w:hideMark/>
          </w:tcPr>
          <w:p w14:paraId="0CC1530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14,8</w:t>
            </w:r>
          </w:p>
        </w:tc>
        <w:tc>
          <w:tcPr>
            <w:tcW w:w="353" w:type="pct"/>
            <w:tcBorders>
              <w:top w:val="nil"/>
            </w:tcBorders>
            <w:shd w:val="clear" w:color="auto" w:fill="FFFFFF" w:themeFill="background1"/>
            <w:noWrap/>
          </w:tcPr>
          <w:p w14:paraId="6F9A643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1102B54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2FF1881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5FFD9FC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1FE7B0EC"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167B0B7A"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22B79C3E"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546094B"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Социјална помоћ и трансфери</w:t>
            </w:r>
          </w:p>
        </w:tc>
        <w:tc>
          <w:tcPr>
            <w:tcW w:w="356" w:type="pct"/>
            <w:tcBorders>
              <w:top w:val="nil"/>
            </w:tcBorders>
            <w:shd w:val="clear" w:color="auto" w:fill="FFFFFF" w:themeFill="background1"/>
            <w:noWrap/>
            <w:hideMark/>
          </w:tcPr>
          <w:p w14:paraId="2ADF5D6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1.163,7</w:t>
            </w:r>
          </w:p>
        </w:tc>
        <w:tc>
          <w:tcPr>
            <w:tcW w:w="356" w:type="pct"/>
            <w:tcBorders>
              <w:top w:val="nil"/>
            </w:tcBorders>
            <w:shd w:val="clear" w:color="auto" w:fill="FFFFFF" w:themeFill="background1"/>
            <w:noWrap/>
            <w:hideMark/>
          </w:tcPr>
          <w:p w14:paraId="5610475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157,8</w:t>
            </w:r>
          </w:p>
        </w:tc>
        <w:tc>
          <w:tcPr>
            <w:tcW w:w="360" w:type="pct"/>
            <w:tcBorders>
              <w:top w:val="nil"/>
            </w:tcBorders>
            <w:shd w:val="clear" w:color="auto" w:fill="FFFFFF" w:themeFill="background1"/>
            <w:noWrap/>
            <w:hideMark/>
          </w:tcPr>
          <w:p w14:paraId="498D8A2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52,1</w:t>
            </w:r>
          </w:p>
        </w:tc>
        <w:tc>
          <w:tcPr>
            <w:tcW w:w="348" w:type="pct"/>
            <w:tcBorders>
              <w:top w:val="nil"/>
            </w:tcBorders>
            <w:shd w:val="clear" w:color="auto" w:fill="FFFFFF" w:themeFill="background1"/>
            <w:noWrap/>
            <w:hideMark/>
          </w:tcPr>
          <w:p w14:paraId="55FADBA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51,8</w:t>
            </w:r>
          </w:p>
        </w:tc>
        <w:tc>
          <w:tcPr>
            <w:tcW w:w="372" w:type="pct"/>
            <w:tcBorders>
              <w:top w:val="nil"/>
            </w:tcBorders>
            <w:shd w:val="clear" w:color="auto" w:fill="FFFFFF" w:themeFill="background1"/>
            <w:noWrap/>
            <w:hideMark/>
          </w:tcPr>
          <w:p w14:paraId="13CA7B4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0,3</w:t>
            </w:r>
          </w:p>
        </w:tc>
        <w:tc>
          <w:tcPr>
            <w:tcW w:w="353" w:type="pct"/>
            <w:tcBorders>
              <w:top w:val="nil"/>
            </w:tcBorders>
            <w:shd w:val="clear" w:color="auto" w:fill="FFFFFF" w:themeFill="background1"/>
            <w:noWrap/>
          </w:tcPr>
          <w:p w14:paraId="59E911B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D58692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953,8</w:t>
            </w:r>
          </w:p>
        </w:tc>
        <w:tc>
          <w:tcPr>
            <w:tcW w:w="372" w:type="pct"/>
            <w:tcBorders>
              <w:top w:val="nil"/>
            </w:tcBorders>
            <w:shd w:val="clear" w:color="auto" w:fill="FFFFFF" w:themeFill="background1"/>
            <w:noWrap/>
            <w:hideMark/>
          </w:tcPr>
          <w:p w14:paraId="23C7ADD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912,1</w:t>
            </w:r>
          </w:p>
        </w:tc>
        <w:tc>
          <w:tcPr>
            <w:tcW w:w="372" w:type="pct"/>
            <w:tcBorders>
              <w:top w:val="nil"/>
            </w:tcBorders>
            <w:shd w:val="clear" w:color="auto" w:fill="FFFFFF" w:themeFill="background1"/>
            <w:noWrap/>
            <w:hideMark/>
          </w:tcPr>
          <w:p w14:paraId="3E64669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19,6</w:t>
            </w:r>
          </w:p>
        </w:tc>
        <w:tc>
          <w:tcPr>
            <w:tcW w:w="372" w:type="pct"/>
            <w:tcBorders>
              <w:top w:val="nil"/>
            </w:tcBorders>
            <w:shd w:val="clear" w:color="auto" w:fill="FFFFFF" w:themeFill="background1"/>
            <w:noWrap/>
            <w:hideMark/>
          </w:tcPr>
          <w:p w14:paraId="2CC1BBFA"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19,6</w:t>
            </w:r>
          </w:p>
        </w:tc>
        <w:tc>
          <w:tcPr>
            <w:tcW w:w="372" w:type="pct"/>
            <w:tcBorders>
              <w:top w:val="nil"/>
            </w:tcBorders>
            <w:shd w:val="clear" w:color="auto" w:fill="FFFFFF" w:themeFill="background1"/>
            <w:noWrap/>
            <w:hideMark/>
          </w:tcPr>
          <w:p w14:paraId="1F5533F9"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2,5</w:t>
            </w:r>
          </w:p>
        </w:tc>
      </w:tr>
      <w:tr w:rsidR="00063299" w:rsidRPr="0007074F" w14:paraId="05CC7053"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8F1C69E"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i/>
                <w:iCs/>
                <w:color w:val="002060"/>
                <w:sz w:val="14"/>
                <w:szCs w:val="14"/>
                <w:lang w:val="sr-Cyrl-CS"/>
              </w:rPr>
              <w:t xml:space="preserve">             </w:t>
            </w:r>
            <w:r w:rsidRPr="0007074F">
              <w:rPr>
                <w:rFonts w:cstheme="minorHAnsi"/>
                <w:b w:val="0"/>
                <w:iCs/>
                <w:color w:val="002060"/>
                <w:sz w:val="14"/>
                <w:szCs w:val="14"/>
                <w:lang w:val="sr-Cyrl-CS"/>
              </w:rPr>
              <w:t>oд чега пензије</w:t>
            </w:r>
          </w:p>
        </w:tc>
        <w:tc>
          <w:tcPr>
            <w:tcW w:w="356" w:type="pct"/>
            <w:tcBorders>
              <w:top w:val="nil"/>
            </w:tcBorders>
            <w:shd w:val="clear" w:color="auto" w:fill="FFFFFF" w:themeFill="background1"/>
            <w:noWrap/>
            <w:hideMark/>
          </w:tcPr>
          <w:p w14:paraId="6E5DA24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880,0</w:t>
            </w:r>
          </w:p>
        </w:tc>
        <w:tc>
          <w:tcPr>
            <w:tcW w:w="356" w:type="pct"/>
            <w:tcBorders>
              <w:top w:val="nil"/>
            </w:tcBorders>
            <w:shd w:val="clear" w:color="auto" w:fill="FFFFFF" w:themeFill="background1"/>
            <w:noWrap/>
          </w:tcPr>
          <w:p w14:paraId="1927091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tcPr>
          <w:p w14:paraId="09953B2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hideMark/>
          </w:tcPr>
          <w:p w14:paraId="3D0A578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0CC972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53CFAD7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613DFF6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880,0</w:t>
            </w:r>
          </w:p>
        </w:tc>
        <w:tc>
          <w:tcPr>
            <w:tcW w:w="372" w:type="pct"/>
            <w:tcBorders>
              <w:top w:val="nil"/>
            </w:tcBorders>
            <w:shd w:val="clear" w:color="auto" w:fill="FFFFFF" w:themeFill="background1"/>
            <w:noWrap/>
            <w:hideMark/>
          </w:tcPr>
          <w:p w14:paraId="227BD81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880,0</w:t>
            </w:r>
          </w:p>
        </w:tc>
        <w:tc>
          <w:tcPr>
            <w:tcW w:w="372" w:type="pct"/>
            <w:tcBorders>
              <w:top w:val="nil"/>
            </w:tcBorders>
            <w:shd w:val="clear" w:color="auto" w:fill="FFFFFF" w:themeFill="background1"/>
            <w:noWrap/>
          </w:tcPr>
          <w:p w14:paraId="041E347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15CE821C"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2E622259"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48084AC6"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EFDD847"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Остали текући расходи</w:t>
            </w:r>
          </w:p>
        </w:tc>
        <w:tc>
          <w:tcPr>
            <w:tcW w:w="356" w:type="pct"/>
            <w:tcBorders>
              <w:top w:val="nil"/>
            </w:tcBorders>
            <w:shd w:val="clear" w:color="auto" w:fill="FFFFFF" w:themeFill="background1"/>
            <w:noWrap/>
            <w:hideMark/>
          </w:tcPr>
          <w:p w14:paraId="3B5ED12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98,7</w:t>
            </w:r>
          </w:p>
        </w:tc>
        <w:tc>
          <w:tcPr>
            <w:tcW w:w="356" w:type="pct"/>
            <w:tcBorders>
              <w:top w:val="nil"/>
            </w:tcBorders>
            <w:shd w:val="clear" w:color="auto" w:fill="FFFFFF" w:themeFill="background1"/>
            <w:noWrap/>
            <w:hideMark/>
          </w:tcPr>
          <w:p w14:paraId="3F8A388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55,0</w:t>
            </w:r>
          </w:p>
        </w:tc>
        <w:tc>
          <w:tcPr>
            <w:tcW w:w="360" w:type="pct"/>
            <w:tcBorders>
              <w:top w:val="nil"/>
            </w:tcBorders>
            <w:shd w:val="clear" w:color="auto" w:fill="FFFFFF" w:themeFill="background1"/>
            <w:noWrap/>
            <w:hideMark/>
          </w:tcPr>
          <w:p w14:paraId="34A6925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36,1</w:t>
            </w:r>
          </w:p>
        </w:tc>
        <w:tc>
          <w:tcPr>
            <w:tcW w:w="348" w:type="pct"/>
            <w:tcBorders>
              <w:top w:val="nil"/>
            </w:tcBorders>
            <w:shd w:val="clear" w:color="auto" w:fill="FFFFFF" w:themeFill="background1"/>
            <w:noWrap/>
            <w:hideMark/>
          </w:tcPr>
          <w:p w14:paraId="7548050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28,1</w:t>
            </w:r>
          </w:p>
        </w:tc>
        <w:tc>
          <w:tcPr>
            <w:tcW w:w="372" w:type="pct"/>
            <w:tcBorders>
              <w:top w:val="nil"/>
            </w:tcBorders>
            <w:shd w:val="clear" w:color="auto" w:fill="FFFFFF" w:themeFill="background1"/>
            <w:noWrap/>
            <w:hideMark/>
          </w:tcPr>
          <w:p w14:paraId="66F5514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8,1</w:t>
            </w:r>
          </w:p>
        </w:tc>
        <w:tc>
          <w:tcPr>
            <w:tcW w:w="353" w:type="pct"/>
            <w:tcBorders>
              <w:top w:val="nil"/>
            </w:tcBorders>
            <w:shd w:val="clear" w:color="auto" w:fill="FFFFFF" w:themeFill="background1"/>
            <w:noWrap/>
            <w:hideMark/>
          </w:tcPr>
          <w:p w14:paraId="6C3B0C8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3,4</w:t>
            </w:r>
          </w:p>
        </w:tc>
        <w:tc>
          <w:tcPr>
            <w:tcW w:w="372" w:type="pct"/>
            <w:tcBorders>
              <w:top w:val="nil"/>
            </w:tcBorders>
            <w:shd w:val="clear" w:color="auto" w:fill="FFFFFF" w:themeFill="background1"/>
            <w:noWrap/>
            <w:hideMark/>
          </w:tcPr>
          <w:p w14:paraId="305D19D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4,2</w:t>
            </w:r>
          </w:p>
        </w:tc>
        <w:tc>
          <w:tcPr>
            <w:tcW w:w="372" w:type="pct"/>
            <w:tcBorders>
              <w:top w:val="nil"/>
            </w:tcBorders>
            <w:shd w:val="clear" w:color="auto" w:fill="FFFFFF" w:themeFill="background1"/>
            <w:noWrap/>
            <w:hideMark/>
          </w:tcPr>
          <w:p w14:paraId="7EB55C4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1,1</w:t>
            </w:r>
          </w:p>
        </w:tc>
        <w:tc>
          <w:tcPr>
            <w:tcW w:w="372" w:type="pct"/>
            <w:tcBorders>
              <w:top w:val="nil"/>
            </w:tcBorders>
            <w:shd w:val="clear" w:color="auto" w:fill="FFFFFF" w:themeFill="background1"/>
            <w:noWrap/>
            <w:hideMark/>
          </w:tcPr>
          <w:p w14:paraId="0EA2878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2,5</w:t>
            </w:r>
          </w:p>
        </w:tc>
        <w:tc>
          <w:tcPr>
            <w:tcW w:w="372" w:type="pct"/>
            <w:tcBorders>
              <w:top w:val="nil"/>
            </w:tcBorders>
            <w:shd w:val="clear" w:color="auto" w:fill="FFFFFF" w:themeFill="background1"/>
            <w:noWrap/>
            <w:hideMark/>
          </w:tcPr>
          <w:p w14:paraId="0C354D30"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0,5</w:t>
            </w:r>
          </w:p>
        </w:tc>
        <w:tc>
          <w:tcPr>
            <w:tcW w:w="372" w:type="pct"/>
            <w:tcBorders>
              <w:top w:val="nil"/>
            </w:tcBorders>
            <w:shd w:val="clear" w:color="auto" w:fill="FFFFFF" w:themeFill="background1"/>
            <w:noWrap/>
            <w:hideMark/>
          </w:tcPr>
          <w:p w14:paraId="73DEDE6F"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0,1</w:t>
            </w:r>
          </w:p>
        </w:tc>
      </w:tr>
      <w:tr w:rsidR="00063299" w:rsidRPr="0007074F" w14:paraId="5674849B"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12970EA"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Капитални расходи</w:t>
            </w:r>
          </w:p>
        </w:tc>
        <w:tc>
          <w:tcPr>
            <w:tcW w:w="356" w:type="pct"/>
            <w:tcBorders>
              <w:top w:val="nil"/>
            </w:tcBorders>
            <w:shd w:val="clear" w:color="auto" w:fill="FFFFFF" w:themeFill="background1"/>
            <w:noWrap/>
            <w:hideMark/>
          </w:tcPr>
          <w:p w14:paraId="2DDD727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603,1</w:t>
            </w:r>
          </w:p>
        </w:tc>
        <w:tc>
          <w:tcPr>
            <w:tcW w:w="356" w:type="pct"/>
            <w:tcBorders>
              <w:top w:val="nil"/>
            </w:tcBorders>
            <w:shd w:val="clear" w:color="auto" w:fill="FFFFFF" w:themeFill="background1"/>
            <w:noWrap/>
            <w:hideMark/>
          </w:tcPr>
          <w:p w14:paraId="237CEE37"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453,1</w:t>
            </w:r>
          </w:p>
        </w:tc>
        <w:tc>
          <w:tcPr>
            <w:tcW w:w="360" w:type="pct"/>
            <w:tcBorders>
              <w:top w:val="nil"/>
            </w:tcBorders>
            <w:shd w:val="clear" w:color="auto" w:fill="FFFFFF" w:themeFill="background1"/>
            <w:noWrap/>
            <w:hideMark/>
          </w:tcPr>
          <w:p w14:paraId="0ACB6EB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116,6</w:t>
            </w:r>
          </w:p>
        </w:tc>
        <w:tc>
          <w:tcPr>
            <w:tcW w:w="348" w:type="pct"/>
            <w:tcBorders>
              <w:top w:val="nil"/>
            </w:tcBorders>
            <w:shd w:val="clear" w:color="auto" w:fill="FFFFFF" w:themeFill="background1"/>
            <w:noWrap/>
            <w:hideMark/>
          </w:tcPr>
          <w:p w14:paraId="396228B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109,8</w:t>
            </w:r>
          </w:p>
        </w:tc>
        <w:tc>
          <w:tcPr>
            <w:tcW w:w="372" w:type="pct"/>
            <w:tcBorders>
              <w:top w:val="nil"/>
            </w:tcBorders>
            <w:shd w:val="clear" w:color="auto" w:fill="FFFFFF" w:themeFill="background1"/>
            <w:noWrap/>
            <w:hideMark/>
          </w:tcPr>
          <w:p w14:paraId="05C0133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6,8</w:t>
            </w:r>
          </w:p>
        </w:tc>
        <w:tc>
          <w:tcPr>
            <w:tcW w:w="353" w:type="pct"/>
            <w:tcBorders>
              <w:top w:val="nil"/>
            </w:tcBorders>
            <w:shd w:val="clear" w:color="auto" w:fill="FFFFFF" w:themeFill="background1"/>
            <w:noWrap/>
            <w:hideMark/>
          </w:tcPr>
          <w:p w14:paraId="34ACE46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14,2</w:t>
            </w:r>
          </w:p>
        </w:tc>
        <w:tc>
          <w:tcPr>
            <w:tcW w:w="372" w:type="pct"/>
            <w:tcBorders>
              <w:top w:val="nil"/>
            </w:tcBorders>
            <w:shd w:val="clear" w:color="auto" w:fill="FFFFFF" w:themeFill="background1"/>
            <w:noWrap/>
            <w:hideMark/>
          </w:tcPr>
          <w:p w14:paraId="67C3976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19,2</w:t>
            </w:r>
          </w:p>
        </w:tc>
        <w:tc>
          <w:tcPr>
            <w:tcW w:w="372" w:type="pct"/>
            <w:tcBorders>
              <w:top w:val="nil"/>
            </w:tcBorders>
            <w:shd w:val="clear" w:color="auto" w:fill="FFFFFF" w:themeFill="background1"/>
            <w:noWrap/>
            <w:hideMark/>
          </w:tcPr>
          <w:p w14:paraId="5593ABD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0,7</w:t>
            </w:r>
          </w:p>
        </w:tc>
        <w:tc>
          <w:tcPr>
            <w:tcW w:w="372" w:type="pct"/>
            <w:tcBorders>
              <w:top w:val="nil"/>
            </w:tcBorders>
            <w:shd w:val="clear" w:color="auto" w:fill="FFFFFF" w:themeFill="background1"/>
            <w:noWrap/>
            <w:hideMark/>
          </w:tcPr>
          <w:p w14:paraId="1D34797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18,0</w:t>
            </w:r>
          </w:p>
        </w:tc>
        <w:tc>
          <w:tcPr>
            <w:tcW w:w="372" w:type="pct"/>
            <w:tcBorders>
              <w:top w:val="nil"/>
            </w:tcBorders>
            <w:shd w:val="clear" w:color="auto" w:fill="FFFFFF" w:themeFill="background1"/>
            <w:noWrap/>
            <w:hideMark/>
          </w:tcPr>
          <w:p w14:paraId="01250867"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0,4</w:t>
            </w:r>
          </w:p>
        </w:tc>
        <w:tc>
          <w:tcPr>
            <w:tcW w:w="372" w:type="pct"/>
            <w:tcBorders>
              <w:top w:val="nil"/>
            </w:tcBorders>
            <w:shd w:val="clear" w:color="auto" w:fill="FFFFFF" w:themeFill="background1"/>
            <w:noWrap/>
            <w:hideMark/>
          </w:tcPr>
          <w:p w14:paraId="04C00B0C" w14:textId="77777777" w:rsidR="00063299" w:rsidRPr="0007074F" w:rsidRDefault="00063299" w:rsidP="003911D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0,1</w:t>
            </w:r>
          </w:p>
        </w:tc>
      </w:tr>
      <w:tr w:rsidR="00063299" w:rsidRPr="0007074F" w14:paraId="7AEACDAF"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F100AF4"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Нето буџетске позајмице</w:t>
            </w:r>
          </w:p>
        </w:tc>
        <w:tc>
          <w:tcPr>
            <w:tcW w:w="356" w:type="pct"/>
            <w:tcBorders>
              <w:top w:val="nil"/>
            </w:tcBorders>
            <w:shd w:val="clear" w:color="auto" w:fill="FFFFFF" w:themeFill="background1"/>
            <w:noWrap/>
            <w:hideMark/>
          </w:tcPr>
          <w:p w14:paraId="358108A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60,7</w:t>
            </w:r>
          </w:p>
        </w:tc>
        <w:tc>
          <w:tcPr>
            <w:tcW w:w="356" w:type="pct"/>
            <w:tcBorders>
              <w:top w:val="nil"/>
            </w:tcBorders>
            <w:shd w:val="clear" w:color="auto" w:fill="FFFFFF" w:themeFill="background1"/>
            <w:noWrap/>
            <w:hideMark/>
          </w:tcPr>
          <w:p w14:paraId="323602F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60,6</w:t>
            </w:r>
          </w:p>
        </w:tc>
        <w:tc>
          <w:tcPr>
            <w:tcW w:w="360" w:type="pct"/>
            <w:tcBorders>
              <w:top w:val="nil"/>
            </w:tcBorders>
            <w:shd w:val="clear" w:color="auto" w:fill="FFFFFF" w:themeFill="background1"/>
            <w:noWrap/>
          </w:tcPr>
          <w:p w14:paraId="5D1C100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tcPr>
          <w:p w14:paraId="189F97A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D8A144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753982A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A55E86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0CC0B59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8025DD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6DD68C44"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AD00F60" w14:textId="77777777" w:rsidR="00063299" w:rsidRPr="0007074F" w:rsidRDefault="00063299" w:rsidP="003911D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5C5178FA"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CE19D6D"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 xml:space="preserve">    Активиране гаранције</w:t>
            </w:r>
          </w:p>
        </w:tc>
        <w:tc>
          <w:tcPr>
            <w:tcW w:w="356" w:type="pct"/>
            <w:tcBorders>
              <w:top w:val="nil"/>
            </w:tcBorders>
            <w:shd w:val="clear" w:color="auto" w:fill="FFFFFF" w:themeFill="background1"/>
            <w:noWrap/>
            <w:hideMark/>
          </w:tcPr>
          <w:p w14:paraId="166112F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28,3</w:t>
            </w:r>
          </w:p>
        </w:tc>
        <w:tc>
          <w:tcPr>
            <w:tcW w:w="356" w:type="pct"/>
            <w:tcBorders>
              <w:top w:val="nil"/>
            </w:tcBorders>
            <w:shd w:val="clear" w:color="auto" w:fill="FFFFFF" w:themeFill="background1"/>
            <w:noWrap/>
            <w:hideMark/>
          </w:tcPr>
          <w:p w14:paraId="2521B30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28,3</w:t>
            </w:r>
          </w:p>
        </w:tc>
        <w:tc>
          <w:tcPr>
            <w:tcW w:w="360" w:type="pct"/>
            <w:tcBorders>
              <w:top w:val="nil"/>
            </w:tcBorders>
            <w:shd w:val="clear" w:color="auto" w:fill="FFFFFF" w:themeFill="background1"/>
            <w:noWrap/>
          </w:tcPr>
          <w:p w14:paraId="18DDBB7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tcPr>
          <w:p w14:paraId="0D6E306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743CDA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5F34C77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06D53DF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DB6A10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224CEFF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7C9E05A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54BE9B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7BF2A16C"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BFBFBF" w:themeFill="background1" w:themeFillShade="BF"/>
            <w:noWrap/>
            <w:vAlign w:val="bottom"/>
            <w:hideMark/>
          </w:tcPr>
          <w:p w14:paraId="3C9AFFD0" w14:textId="77777777" w:rsidR="00063299" w:rsidRPr="0007074F" w:rsidRDefault="00063299" w:rsidP="003911D0">
            <w:pPr>
              <w:tabs>
                <w:tab w:val="center" w:pos="4680"/>
                <w:tab w:val="right" w:pos="9360"/>
              </w:tabs>
              <w:rPr>
                <w:rFonts w:cstheme="minorHAnsi"/>
                <w:color w:val="002060"/>
                <w:sz w:val="14"/>
                <w:szCs w:val="14"/>
                <w:lang w:val="sr-Cyrl-CS"/>
              </w:rPr>
            </w:pPr>
            <w:r w:rsidRPr="0007074F">
              <w:rPr>
                <w:rFonts w:cstheme="minorHAnsi"/>
                <w:color w:val="002060"/>
                <w:sz w:val="14"/>
                <w:szCs w:val="14"/>
                <w:lang w:val="sr-Cyrl-CS"/>
              </w:rPr>
              <w:t>Фискални резултат искљ. трансфере</w:t>
            </w:r>
          </w:p>
        </w:tc>
        <w:tc>
          <w:tcPr>
            <w:tcW w:w="356" w:type="pct"/>
            <w:tcBorders>
              <w:top w:val="nil"/>
            </w:tcBorders>
            <w:shd w:val="clear" w:color="auto" w:fill="BFBFBF" w:themeFill="background1" w:themeFillShade="BF"/>
            <w:noWrap/>
            <w:hideMark/>
          </w:tcPr>
          <w:p w14:paraId="2154A51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-196,0</w:t>
            </w:r>
          </w:p>
        </w:tc>
        <w:tc>
          <w:tcPr>
            <w:tcW w:w="356" w:type="pct"/>
            <w:tcBorders>
              <w:top w:val="nil"/>
            </w:tcBorders>
            <w:shd w:val="clear" w:color="auto" w:fill="BFBFBF" w:themeFill="background1" w:themeFillShade="BF"/>
            <w:noWrap/>
            <w:hideMark/>
          </w:tcPr>
          <w:p w14:paraId="474ECEC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231,8</w:t>
            </w:r>
          </w:p>
        </w:tc>
        <w:tc>
          <w:tcPr>
            <w:tcW w:w="360" w:type="pct"/>
            <w:tcBorders>
              <w:top w:val="nil"/>
            </w:tcBorders>
            <w:shd w:val="clear" w:color="auto" w:fill="BFBFBF" w:themeFill="background1" w:themeFillShade="BF"/>
            <w:noWrap/>
            <w:hideMark/>
          </w:tcPr>
          <w:p w14:paraId="355F9D8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-118,3</w:t>
            </w:r>
          </w:p>
        </w:tc>
        <w:tc>
          <w:tcPr>
            <w:tcW w:w="348" w:type="pct"/>
            <w:tcBorders>
              <w:top w:val="nil"/>
            </w:tcBorders>
            <w:shd w:val="clear" w:color="auto" w:fill="BFBFBF" w:themeFill="background1" w:themeFillShade="BF"/>
            <w:noWrap/>
            <w:hideMark/>
          </w:tcPr>
          <w:p w14:paraId="302C34B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-70,4</w:t>
            </w:r>
          </w:p>
        </w:tc>
        <w:tc>
          <w:tcPr>
            <w:tcW w:w="372" w:type="pct"/>
            <w:tcBorders>
              <w:top w:val="nil"/>
            </w:tcBorders>
            <w:shd w:val="clear" w:color="auto" w:fill="BFBFBF" w:themeFill="background1" w:themeFillShade="BF"/>
            <w:noWrap/>
            <w:hideMark/>
          </w:tcPr>
          <w:p w14:paraId="2AEE378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-47,9</w:t>
            </w:r>
          </w:p>
        </w:tc>
        <w:tc>
          <w:tcPr>
            <w:tcW w:w="353" w:type="pct"/>
            <w:tcBorders>
              <w:top w:val="nil"/>
            </w:tcBorders>
            <w:shd w:val="clear" w:color="auto" w:fill="BFBFBF" w:themeFill="background1" w:themeFillShade="BF"/>
            <w:noWrap/>
            <w:hideMark/>
          </w:tcPr>
          <w:p w14:paraId="0FD6007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-26,6</w:t>
            </w:r>
          </w:p>
        </w:tc>
        <w:tc>
          <w:tcPr>
            <w:tcW w:w="372" w:type="pct"/>
            <w:tcBorders>
              <w:top w:val="nil"/>
            </w:tcBorders>
            <w:shd w:val="clear" w:color="auto" w:fill="BFBFBF" w:themeFill="background1" w:themeFillShade="BF"/>
            <w:noWrap/>
            <w:hideMark/>
          </w:tcPr>
          <w:p w14:paraId="1FDD238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-282,9</w:t>
            </w:r>
          </w:p>
        </w:tc>
        <w:tc>
          <w:tcPr>
            <w:tcW w:w="372" w:type="pct"/>
            <w:tcBorders>
              <w:top w:val="nil"/>
            </w:tcBorders>
            <w:shd w:val="clear" w:color="auto" w:fill="BFBFBF" w:themeFill="background1" w:themeFillShade="BF"/>
            <w:noWrap/>
            <w:hideMark/>
          </w:tcPr>
          <w:p w14:paraId="01A80E3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-120,3</w:t>
            </w:r>
          </w:p>
        </w:tc>
        <w:tc>
          <w:tcPr>
            <w:tcW w:w="372" w:type="pct"/>
            <w:tcBorders>
              <w:top w:val="nil"/>
            </w:tcBorders>
            <w:shd w:val="clear" w:color="auto" w:fill="BFBFBF" w:themeFill="background1" w:themeFillShade="BF"/>
            <w:noWrap/>
            <w:hideMark/>
          </w:tcPr>
          <w:p w14:paraId="2737161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-160,5</w:t>
            </w:r>
          </w:p>
        </w:tc>
        <w:tc>
          <w:tcPr>
            <w:tcW w:w="372" w:type="pct"/>
            <w:tcBorders>
              <w:top w:val="nil"/>
            </w:tcBorders>
            <w:shd w:val="clear" w:color="auto" w:fill="BFBFBF" w:themeFill="background1" w:themeFillShade="BF"/>
            <w:noWrap/>
            <w:hideMark/>
          </w:tcPr>
          <w:p w14:paraId="0757920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1,8</w:t>
            </w:r>
          </w:p>
        </w:tc>
        <w:tc>
          <w:tcPr>
            <w:tcW w:w="372" w:type="pct"/>
            <w:tcBorders>
              <w:top w:val="nil"/>
            </w:tcBorders>
            <w:shd w:val="clear" w:color="auto" w:fill="BFBFBF" w:themeFill="background1" w:themeFillShade="BF"/>
            <w:noWrap/>
            <w:hideMark/>
          </w:tcPr>
          <w:p w14:paraId="458AE15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-4,0</w:t>
            </w:r>
          </w:p>
        </w:tc>
      </w:tr>
      <w:tr w:rsidR="00063299" w:rsidRPr="0007074F" w14:paraId="35524E5F"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2627AF36"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Трансфери од других нивоа власти</w:t>
            </w:r>
          </w:p>
        </w:tc>
        <w:tc>
          <w:tcPr>
            <w:tcW w:w="356" w:type="pct"/>
            <w:tcBorders>
              <w:top w:val="nil"/>
            </w:tcBorders>
            <w:shd w:val="clear" w:color="auto" w:fill="FFFFFF" w:themeFill="background1"/>
            <w:noWrap/>
            <w:hideMark/>
          </w:tcPr>
          <w:p w14:paraId="5B79719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560,2</w:t>
            </w:r>
          </w:p>
        </w:tc>
        <w:tc>
          <w:tcPr>
            <w:tcW w:w="356" w:type="pct"/>
            <w:tcBorders>
              <w:top w:val="nil"/>
            </w:tcBorders>
            <w:shd w:val="clear" w:color="auto" w:fill="FFFFFF" w:themeFill="background1"/>
            <w:noWrap/>
            <w:hideMark/>
          </w:tcPr>
          <w:p w14:paraId="5D06EEC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7,4</w:t>
            </w:r>
          </w:p>
        </w:tc>
        <w:tc>
          <w:tcPr>
            <w:tcW w:w="360" w:type="pct"/>
            <w:tcBorders>
              <w:top w:val="nil"/>
            </w:tcBorders>
            <w:shd w:val="clear" w:color="auto" w:fill="FFFFFF" w:themeFill="background1"/>
            <w:noWrap/>
            <w:hideMark/>
          </w:tcPr>
          <w:p w14:paraId="6E02B14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142,6</w:t>
            </w:r>
          </w:p>
        </w:tc>
        <w:tc>
          <w:tcPr>
            <w:tcW w:w="348" w:type="pct"/>
            <w:tcBorders>
              <w:top w:val="nil"/>
            </w:tcBorders>
            <w:shd w:val="clear" w:color="auto" w:fill="FFFFFF" w:themeFill="background1"/>
            <w:noWrap/>
            <w:hideMark/>
          </w:tcPr>
          <w:p w14:paraId="785846C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81,2</w:t>
            </w:r>
          </w:p>
        </w:tc>
        <w:tc>
          <w:tcPr>
            <w:tcW w:w="372" w:type="pct"/>
            <w:tcBorders>
              <w:top w:val="nil"/>
            </w:tcBorders>
            <w:shd w:val="clear" w:color="auto" w:fill="FFFFFF" w:themeFill="background1"/>
            <w:noWrap/>
            <w:hideMark/>
          </w:tcPr>
          <w:p w14:paraId="6DA0843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61,4</w:t>
            </w:r>
          </w:p>
        </w:tc>
        <w:tc>
          <w:tcPr>
            <w:tcW w:w="353" w:type="pct"/>
            <w:tcBorders>
              <w:top w:val="nil"/>
            </w:tcBorders>
            <w:shd w:val="clear" w:color="auto" w:fill="FFFFFF" w:themeFill="background1"/>
            <w:noWrap/>
            <w:hideMark/>
          </w:tcPr>
          <w:p w14:paraId="41FDA4F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26,6</w:t>
            </w:r>
          </w:p>
        </w:tc>
        <w:tc>
          <w:tcPr>
            <w:tcW w:w="372" w:type="pct"/>
            <w:tcBorders>
              <w:top w:val="nil"/>
            </w:tcBorders>
            <w:shd w:val="clear" w:color="auto" w:fill="FFFFFF" w:themeFill="background1"/>
            <w:noWrap/>
            <w:hideMark/>
          </w:tcPr>
          <w:p w14:paraId="3AAEC0B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383,7</w:t>
            </w:r>
          </w:p>
        </w:tc>
        <w:tc>
          <w:tcPr>
            <w:tcW w:w="372" w:type="pct"/>
            <w:tcBorders>
              <w:top w:val="nil"/>
            </w:tcBorders>
            <w:shd w:val="clear" w:color="auto" w:fill="FFFFFF" w:themeFill="background1"/>
            <w:noWrap/>
            <w:hideMark/>
          </w:tcPr>
          <w:p w14:paraId="5D23372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211,8</w:t>
            </w:r>
          </w:p>
        </w:tc>
        <w:tc>
          <w:tcPr>
            <w:tcW w:w="372" w:type="pct"/>
            <w:tcBorders>
              <w:top w:val="nil"/>
            </w:tcBorders>
            <w:shd w:val="clear" w:color="auto" w:fill="FFFFFF" w:themeFill="background1"/>
            <w:noWrap/>
            <w:hideMark/>
          </w:tcPr>
          <w:p w14:paraId="2B074F0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164,5</w:t>
            </w:r>
          </w:p>
        </w:tc>
        <w:tc>
          <w:tcPr>
            <w:tcW w:w="372" w:type="pct"/>
            <w:tcBorders>
              <w:top w:val="nil"/>
            </w:tcBorders>
            <w:shd w:val="clear" w:color="auto" w:fill="FFFFFF" w:themeFill="background1"/>
            <w:noWrap/>
            <w:hideMark/>
          </w:tcPr>
          <w:p w14:paraId="5270599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3,3</w:t>
            </w:r>
          </w:p>
        </w:tc>
        <w:tc>
          <w:tcPr>
            <w:tcW w:w="372" w:type="pct"/>
            <w:tcBorders>
              <w:top w:val="nil"/>
            </w:tcBorders>
            <w:shd w:val="clear" w:color="auto" w:fill="FFFFFF" w:themeFill="background1"/>
            <w:noWrap/>
            <w:hideMark/>
          </w:tcPr>
          <w:p w14:paraId="3B292A8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4,0</w:t>
            </w:r>
          </w:p>
        </w:tc>
      </w:tr>
      <w:tr w:rsidR="00063299" w:rsidRPr="0007074F" w14:paraId="66CF9087"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195629C"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Буџет Републике</w:t>
            </w:r>
          </w:p>
        </w:tc>
        <w:tc>
          <w:tcPr>
            <w:tcW w:w="356" w:type="pct"/>
            <w:tcBorders>
              <w:top w:val="nil"/>
            </w:tcBorders>
            <w:shd w:val="clear" w:color="auto" w:fill="FFFFFF" w:themeFill="background1"/>
            <w:noWrap/>
            <w:hideMark/>
          </w:tcPr>
          <w:p w14:paraId="4AF4DB2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442,5</w:t>
            </w:r>
          </w:p>
        </w:tc>
        <w:tc>
          <w:tcPr>
            <w:tcW w:w="356" w:type="pct"/>
            <w:tcBorders>
              <w:top w:val="nil"/>
            </w:tcBorders>
            <w:shd w:val="clear" w:color="auto" w:fill="FFFFFF" w:themeFill="background1"/>
            <w:noWrap/>
            <w:hideMark/>
          </w:tcPr>
          <w:p w14:paraId="2E894BC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7,4</w:t>
            </w:r>
          </w:p>
        </w:tc>
        <w:tc>
          <w:tcPr>
            <w:tcW w:w="360" w:type="pct"/>
            <w:tcBorders>
              <w:top w:val="nil"/>
            </w:tcBorders>
            <w:shd w:val="clear" w:color="auto" w:fill="FFFFFF" w:themeFill="background1"/>
            <w:noWrap/>
            <w:hideMark/>
          </w:tcPr>
          <w:p w14:paraId="642BEEF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134,6</w:t>
            </w:r>
          </w:p>
        </w:tc>
        <w:tc>
          <w:tcPr>
            <w:tcW w:w="348" w:type="pct"/>
            <w:tcBorders>
              <w:top w:val="nil"/>
            </w:tcBorders>
            <w:shd w:val="clear" w:color="auto" w:fill="FFFFFF" w:themeFill="background1"/>
            <w:noWrap/>
            <w:hideMark/>
          </w:tcPr>
          <w:p w14:paraId="047C9C3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73,2</w:t>
            </w:r>
          </w:p>
        </w:tc>
        <w:tc>
          <w:tcPr>
            <w:tcW w:w="372" w:type="pct"/>
            <w:tcBorders>
              <w:top w:val="nil"/>
            </w:tcBorders>
            <w:shd w:val="clear" w:color="auto" w:fill="FFFFFF" w:themeFill="background1"/>
            <w:noWrap/>
            <w:hideMark/>
          </w:tcPr>
          <w:p w14:paraId="3B81627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61,4</w:t>
            </w:r>
          </w:p>
        </w:tc>
        <w:tc>
          <w:tcPr>
            <w:tcW w:w="353" w:type="pct"/>
            <w:tcBorders>
              <w:top w:val="nil"/>
            </w:tcBorders>
            <w:shd w:val="clear" w:color="auto" w:fill="FFFFFF" w:themeFill="background1"/>
            <w:noWrap/>
            <w:hideMark/>
          </w:tcPr>
          <w:p w14:paraId="6DAC28F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26,6</w:t>
            </w:r>
          </w:p>
        </w:tc>
        <w:tc>
          <w:tcPr>
            <w:tcW w:w="372" w:type="pct"/>
            <w:tcBorders>
              <w:top w:val="nil"/>
            </w:tcBorders>
            <w:shd w:val="clear" w:color="auto" w:fill="FFFFFF" w:themeFill="background1"/>
            <w:noWrap/>
            <w:hideMark/>
          </w:tcPr>
          <w:p w14:paraId="00AC06C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274,0</w:t>
            </w:r>
          </w:p>
        </w:tc>
        <w:tc>
          <w:tcPr>
            <w:tcW w:w="372" w:type="pct"/>
            <w:tcBorders>
              <w:top w:val="nil"/>
            </w:tcBorders>
            <w:shd w:val="clear" w:color="auto" w:fill="FFFFFF" w:themeFill="background1"/>
            <w:noWrap/>
            <w:hideMark/>
          </w:tcPr>
          <w:p w14:paraId="628D277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204,1</w:t>
            </w:r>
          </w:p>
        </w:tc>
        <w:tc>
          <w:tcPr>
            <w:tcW w:w="372" w:type="pct"/>
            <w:tcBorders>
              <w:top w:val="nil"/>
            </w:tcBorders>
            <w:shd w:val="clear" w:color="auto" w:fill="FFFFFF" w:themeFill="background1"/>
            <w:noWrap/>
            <w:hideMark/>
          </w:tcPr>
          <w:p w14:paraId="5C2F968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66,1</w:t>
            </w:r>
          </w:p>
        </w:tc>
        <w:tc>
          <w:tcPr>
            <w:tcW w:w="372" w:type="pct"/>
            <w:tcBorders>
              <w:top w:val="nil"/>
            </w:tcBorders>
            <w:shd w:val="clear" w:color="auto" w:fill="FFFFFF" w:themeFill="background1"/>
            <w:noWrap/>
            <w:hideMark/>
          </w:tcPr>
          <w:p w14:paraId="28AFD63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3,3</w:t>
            </w:r>
          </w:p>
        </w:tc>
        <w:tc>
          <w:tcPr>
            <w:tcW w:w="372" w:type="pct"/>
            <w:tcBorders>
              <w:top w:val="nil"/>
            </w:tcBorders>
            <w:shd w:val="clear" w:color="auto" w:fill="FFFFFF" w:themeFill="background1"/>
            <w:noWrap/>
            <w:hideMark/>
          </w:tcPr>
          <w:p w14:paraId="7CB92BB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0,5</w:t>
            </w:r>
          </w:p>
        </w:tc>
      </w:tr>
      <w:tr w:rsidR="00063299" w:rsidRPr="0007074F" w14:paraId="1108CB98"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3E884F4"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Градови и општине</w:t>
            </w:r>
          </w:p>
        </w:tc>
        <w:tc>
          <w:tcPr>
            <w:tcW w:w="356" w:type="pct"/>
            <w:tcBorders>
              <w:top w:val="nil"/>
            </w:tcBorders>
            <w:shd w:val="clear" w:color="auto" w:fill="FFFFFF" w:themeFill="background1"/>
            <w:noWrap/>
          </w:tcPr>
          <w:p w14:paraId="4A414C6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3,4</w:t>
            </w:r>
          </w:p>
        </w:tc>
        <w:tc>
          <w:tcPr>
            <w:tcW w:w="356" w:type="pct"/>
            <w:tcBorders>
              <w:top w:val="nil"/>
            </w:tcBorders>
            <w:shd w:val="clear" w:color="auto" w:fill="FFFFFF" w:themeFill="background1"/>
            <w:noWrap/>
            <w:hideMark/>
          </w:tcPr>
          <w:p w14:paraId="461DA58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7A63DAC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hideMark/>
          </w:tcPr>
          <w:p w14:paraId="63CDAB2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642B2E4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679AA44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329DB6ED"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3,4</w:t>
            </w:r>
          </w:p>
        </w:tc>
        <w:tc>
          <w:tcPr>
            <w:tcW w:w="372" w:type="pct"/>
            <w:tcBorders>
              <w:top w:val="nil"/>
            </w:tcBorders>
            <w:shd w:val="clear" w:color="auto" w:fill="FFFFFF" w:themeFill="background1"/>
            <w:noWrap/>
            <w:hideMark/>
          </w:tcPr>
          <w:p w14:paraId="677F683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1DCE79E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3,4</w:t>
            </w:r>
          </w:p>
        </w:tc>
        <w:tc>
          <w:tcPr>
            <w:tcW w:w="372" w:type="pct"/>
            <w:tcBorders>
              <w:top w:val="nil"/>
            </w:tcBorders>
            <w:shd w:val="clear" w:color="auto" w:fill="FFFFFF" w:themeFill="background1"/>
            <w:noWrap/>
            <w:hideMark/>
          </w:tcPr>
          <w:p w14:paraId="1526431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77E7C1F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029A0D7F"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97735CD"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AП Војводина</w:t>
            </w:r>
          </w:p>
        </w:tc>
        <w:tc>
          <w:tcPr>
            <w:tcW w:w="356" w:type="pct"/>
            <w:tcBorders>
              <w:top w:val="nil"/>
            </w:tcBorders>
            <w:shd w:val="clear" w:color="auto" w:fill="FFFFFF" w:themeFill="background1"/>
            <w:noWrap/>
          </w:tcPr>
          <w:p w14:paraId="0D57BA1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13,5</w:t>
            </w:r>
          </w:p>
        </w:tc>
        <w:tc>
          <w:tcPr>
            <w:tcW w:w="356" w:type="pct"/>
            <w:tcBorders>
              <w:top w:val="nil"/>
            </w:tcBorders>
            <w:shd w:val="clear" w:color="auto" w:fill="FFFFFF" w:themeFill="background1"/>
            <w:noWrap/>
            <w:hideMark/>
          </w:tcPr>
          <w:p w14:paraId="7989C15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34CA218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8,0</w:t>
            </w:r>
          </w:p>
        </w:tc>
        <w:tc>
          <w:tcPr>
            <w:tcW w:w="348" w:type="pct"/>
            <w:tcBorders>
              <w:top w:val="nil"/>
            </w:tcBorders>
            <w:shd w:val="clear" w:color="auto" w:fill="FFFFFF" w:themeFill="background1"/>
            <w:noWrap/>
            <w:hideMark/>
          </w:tcPr>
          <w:p w14:paraId="497547D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8,0</w:t>
            </w:r>
          </w:p>
        </w:tc>
        <w:tc>
          <w:tcPr>
            <w:tcW w:w="372" w:type="pct"/>
            <w:tcBorders>
              <w:top w:val="nil"/>
            </w:tcBorders>
            <w:shd w:val="clear" w:color="auto" w:fill="FFFFFF" w:themeFill="background1"/>
            <w:noWrap/>
            <w:hideMark/>
          </w:tcPr>
          <w:p w14:paraId="33517FA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589B429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5756B70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5,5</w:t>
            </w:r>
          </w:p>
        </w:tc>
        <w:tc>
          <w:tcPr>
            <w:tcW w:w="372" w:type="pct"/>
            <w:tcBorders>
              <w:top w:val="nil"/>
            </w:tcBorders>
            <w:shd w:val="clear" w:color="auto" w:fill="FFFFFF" w:themeFill="background1"/>
            <w:noWrap/>
            <w:hideMark/>
          </w:tcPr>
          <w:p w14:paraId="34B78FE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0117A7D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5,5</w:t>
            </w:r>
          </w:p>
        </w:tc>
        <w:tc>
          <w:tcPr>
            <w:tcW w:w="372" w:type="pct"/>
            <w:tcBorders>
              <w:top w:val="nil"/>
            </w:tcBorders>
            <w:shd w:val="clear" w:color="auto" w:fill="FFFFFF" w:themeFill="background1"/>
            <w:noWrap/>
            <w:hideMark/>
          </w:tcPr>
          <w:p w14:paraId="038FD687"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4025BB9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3E52A003"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B046480"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Фонд ПИО</w:t>
            </w:r>
          </w:p>
        </w:tc>
        <w:tc>
          <w:tcPr>
            <w:tcW w:w="356" w:type="pct"/>
            <w:tcBorders>
              <w:top w:val="nil"/>
            </w:tcBorders>
            <w:shd w:val="clear" w:color="auto" w:fill="FFFFFF" w:themeFill="background1"/>
            <w:noWrap/>
            <w:hideMark/>
          </w:tcPr>
          <w:p w14:paraId="2290788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91,5</w:t>
            </w:r>
          </w:p>
        </w:tc>
        <w:tc>
          <w:tcPr>
            <w:tcW w:w="356" w:type="pct"/>
            <w:tcBorders>
              <w:top w:val="nil"/>
            </w:tcBorders>
            <w:shd w:val="clear" w:color="auto" w:fill="FFFFFF" w:themeFill="background1"/>
            <w:noWrap/>
            <w:hideMark/>
          </w:tcPr>
          <w:p w14:paraId="1B6C2DA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2020475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hideMark/>
          </w:tcPr>
          <w:p w14:paraId="115EC9F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7C7733B7"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0407E0A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D42332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91,5</w:t>
            </w:r>
          </w:p>
        </w:tc>
        <w:tc>
          <w:tcPr>
            <w:tcW w:w="372" w:type="pct"/>
            <w:tcBorders>
              <w:top w:val="nil"/>
            </w:tcBorders>
            <w:shd w:val="clear" w:color="auto" w:fill="FFFFFF" w:themeFill="background1"/>
            <w:noWrap/>
            <w:hideMark/>
          </w:tcPr>
          <w:p w14:paraId="2FB1E3E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6818C6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88,0</w:t>
            </w:r>
          </w:p>
        </w:tc>
        <w:tc>
          <w:tcPr>
            <w:tcW w:w="372" w:type="pct"/>
            <w:tcBorders>
              <w:top w:val="nil"/>
            </w:tcBorders>
            <w:shd w:val="clear" w:color="auto" w:fill="FFFFFF" w:themeFill="background1"/>
            <w:noWrap/>
          </w:tcPr>
          <w:p w14:paraId="42F44A0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0C98727"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3,5</w:t>
            </w:r>
          </w:p>
        </w:tc>
      </w:tr>
      <w:tr w:rsidR="00063299" w:rsidRPr="0007074F" w14:paraId="6BF8700E"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2D15974"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РФЗО</w:t>
            </w:r>
          </w:p>
        </w:tc>
        <w:tc>
          <w:tcPr>
            <w:tcW w:w="356" w:type="pct"/>
            <w:tcBorders>
              <w:top w:val="nil"/>
            </w:tcBorders>
            <w:shd w:val="clear" w:color="auto" w:fill="FFFFFF" w:themeFill="background1"/>
            <w:noWrap/>
            <w:hideMark/>
          </w:tcPr>
          <w:p w14:paraId="346159C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4,1</w:t>
            </w:r>
          </w:p>
        </w:tc>
        <w:tc>
          <w:tcPr>
            <w:tcW w:w="356" w:type="pct"/>
            <w:tcBorders>
              <w:top w:val="nil"/>
            </w:tcBorders>
            <w:shd w:val="clear" w:color="auto" w:fill="FFFFFF" w:themeFill="background1"/>
            <w:noWrap/>
            <w:hideMark/>
          </w:tcPr>
          <w:p w14:paraId="15BD3E2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1806EE8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hideMark/>
          </w:tcPr>
          <w:p w14:paraId="5CF9BB5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73959E1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4DDF119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01B2353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4,1</w:t>
            </w:r>
          </w:p>
        </w:tc>
        <w:tc>
          <w:tcPr>
            <w:tcW w:w="372" w:type="pct"/>
            <w:tcBorders>
              <w:top w:val="nil"/>
            </w:tcBorders>
            <w:shd w:val="clear" w:color="auto" w:fill="FFFFFF" w:themeFill="background1"/>
            <w:noWrap/>
            <w:hideMark/>
          </w:tcPr>
          <w:p w14:paraId="2CAFEEF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4,1</w:t>
            </w:r>
          </w:p>
        </w:tc>
        <w:tc>
          <w:tcPr>
            <w:tcW w:w="372" w:type="pct"/>
            <w:tcBorders>
              <w:top w:val="nil"/>
            </w:tcBorders>
            <w:shd w:val="clear" w:color="auto" w:fill="FFFFFF" w:themeFill="background1"/>
            <w:noWrap/>
          </w:tcPr>
          <w:p w14:paraId="746E98B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0,0</w:t>
            </w:r>
          </w:p>
        </w:tc>
        <w:tc>
          <w:tcPr>
            <w:tcW w:w="372" w:type="pct"/>
            <w:tcBorders>
              <w:top w:val="nil"/>
            </w:tcBorders>
            <w:shd w:val="clear" w:color="auto" w:fill="FFFFFF" w:themeFill="background1"/>
            <w:noWrap/>
          </w:tcPr>
          <w:p w14:paraId="51E4F34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5754D19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2833293C"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4EFB4C2"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НСЗ</w:t>
            </w:r>
          </w:p>
        </w:tc>
        <w:tc>
          <w:tcPr>
            <w:tcW w:w="356" w:type="pct"/>
            <w:tcBorders>
              <w:top w:val="nil"/>
            </w:tcBorders>
            <w:shd w:val="clear" w:color="auto" w:fill="FFFFFF" w:themeFill="background1"/>
            <w:noWrap/>
            <w:hideMark/>
          </w:tcPr>
          <w:p w14:paraId="6AF6511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5,2</w:t>
            </w:r>
          </w:p>
        </w:tc>
        <w:tc>
          <w:tcPr>
            <w:tcW w:w="356" w:type="pct"/>
            <w:tcBorders>
              <w:top w:val="nil"/>
            </w:tcBorders>
            <w:shd w:val="clear" w:color="auto" w:fill="FFFFFF" w:themeFill="background1"/>
            <w:noWrap/>
            <w:hideMark/>
          </w:tcPr>
          <w:p w14:paraId="0690C3C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7AB48C6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hideMark/>
          </w:tcPr>
          <w:p w14:paraId="7B7A373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1AA4E1A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427228E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096E55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5,2</w:t>
            </w:r>
          </w:p>
        </w:tc>
        <w:tc>
          <w:tcPr>
            <w:tcW w:w="372" w:type="pct"/>
            <w:tcBorders>
              <w:top w:val="nil"/>
            </w:tcBorders>
            <w:shd w:val="clear" w:color="auto" w:fill="FFFFFF" w:themeFill="background1"/>
            <w:noWrap/>
            <w:hideMark/>
          </w:tcPr>
          <w:p w14:paraId="27E98E9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3,7</w:t>
            </w:r>
          </w:p>
        </w:tc>
        <w:tc>
          <w:tcPr>
            <w:tcW w:w="372" w:type="pct"/>
            <w:tcBorders>
              <w:top w:val="nil"/>
            </w:tcBorders>
            <w:shd w:val="clear" w:color="auto" w:fill="FFFFFF" w:themeFill="background1"/>
            <w:noWrap/>
            <w:hideMark/>
          </w:tcPr>
          <w:p w14:paraId="460F984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1,5</w:t>
            </w:r>
          </w:p>
        </w:tc>
        <w:tc>
          <w:tcPr>
            <w:tcW w:w="372" w:type="pct"/>
            <w:tcBorders>
              <w:top w:val="nil"/>
            </w:tcBorders>
            <w:shd w:val="clear" w:color="auto" w:fill="FFFFFF" w:themeFill="background1"/>
            <w:noWrap/>
          </w:tcPr>
          <w:p w14:paraId="5F51FE2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67905C5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4E03B846"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DC19C0B"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Фонд СОВО</w:t>
            </w:r>
          </w:p>
        </w:tc>
        <w:tc>
          <w:tcPr>
            <w:tcW w:w="356" w:type="pct"/>
            <w:tcBorders>
              <w:top w:val="nil"/>
            </w:tcBorders>
            <w:shd w:val="clear" w:color="auto" w:fill="FFFFFF" w:themeFill="background1"/>
            <w:noWrap/>
          </w:tcPr>
          <w:p w14:paraId="178C232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0,0</w:t>
            </w:r>
          </w:p>
        </w:tc>
        <w:tc>
          <w:tcPr>
            <w:tcW w:w="356" w:type="pct"/>
            <w:tcBorders>
              <w:top w:val="nil"/>
            </w:tcBorders>
            <w:shd w:val="clear" w:color="auto" w:fill="FFFFFF" w:themeFill="background1"/>
            <w:noWrap/>
            <w:hideMark/>
          </w:tcPr>
          <w:p w14:paraId="762D116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3A01FA9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hideMark/>
          </w:tcPr>
          <w:p w14:paraId="78F6EF5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4487B7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5BB5CAD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68346E6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3E7D4C4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67E3085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0BC4E52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1B98BFD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4CC74B72"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FC13F3A"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Остали нивои</w:t>
            </w:r>
          </w:p>
        </w:tc>
        <w:tc>
          <w:tcPr>
            <w:tcW w:w="356" w:type="pct"/>
            <w:tcBorders>
              <w:top w:val="nil"/>
            </w:tcBorders>
            <w:shd w:val="clear" w:color="auto" w:fill="FFFFFF" w:themeFill="background1"/>
            <w:noWrap/>
          </w:tcPr>
          <w:p w14:paraId="33A3803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0,0</w:t>
            </w:r>
          </w:p>
        </w:tc>
        <w:tc>
          <w:tcPr>
            <w:tcW w:w="356" w:type="pct"/>
            <w:tcBorders>
              <w:top w:val="nil"/>
            </w:tcBorders>
            <w:shd w:val="clear" w:color="auto" w:fill="FFFFFF" w:themeFill="background1"/>
            <w:noWrap/>
            <w:hideMark/>
          </w:tcPr>
          <w:p w14:paraId="2279B5D7"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3241AB0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hideMark/>
          </w:tcPr>
          <w:p w14:paraId="1C4A448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68335F2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15D66E4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5E507C9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50C8A9E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3D2B2F8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3CCC213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7E242C6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06C4C72E"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4A635E6"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Трансфери другим нивоима власти</w:t>
            </w:r>
          </w:p>
        </w:tc>
        <w:tc>
          <w:tcPr>
            <w:tcW w:w="356" w:type="pct"/>
            <w:tcBorders>
              <w:top w:val="nil"/>
            </w:tcBorders>
            <w:shd w:val="clear" w:color="auto" w:fill="FFFFFF" w:themeFill="background1"/>
            <w:noWrap/>
            <w:hideMark/>
          </w:tcPr>
          <w:p w14:paraId="476E781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560,2</w:t>
            </w:r>
          </w:p>
        </w:tc>
        <w:tc>
          <w:tcPr>
            <w:tcW w:w="356" w:type="pct"/>
            <w:tcBorders>
              <w:top w:val="nil"/>
            </w:tcBorders>
            <w:shd w:val="clear" w:color="auto" w:fill="FFFFFF" w:themeFill="background1"/>
            <w:noWrap/>
            <w:hideMark/>
          </w:tcPr>
          <w:p w14:paraId="74020BC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435,2</w:t>
            </w:r>
          </w:p>
        </w:tc>
        <w:tc>
          <w:tcPr>
            <w:tcW w:w="360" w:type="pct"/>
            <w:tcBorders>
              <w:top w:val="nil"/>
            </w:tcBorders>
            <w:shd w:val="clear" w:color="auto" w:fill="FFFFFF" w:themeFill="background1"/>
            <w:noWrap/>
            <w:hideMark/>
          </w:tcPr>
          <w:p w14:paraId="0D89DF8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24,3</w:t>
            </w:r>
          </w:p>
        </w:tc>
        <w:tc>
          <w:tcPr>
            <w:tcW w:w="348" w:type="pct"/>
            <w:tcBorders>
              <w:top w:val="nil"/>
            </w:tcBorders>
            <w:shd w:val="clear" w:color="auto" w:fill="FFFFFF" w:themeFill="background1"/>
            <w:noWrap/>
            <w:hideMark/>
          </w:tcPr>
          <w:p w14:paraId="7D52088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10,8</w:t>
            </w:r>
          </w:p>
        </w:tc>
        <w:tc>
          <w:tcPr>
            <w:tcW w:w="372" w:type="pct"/>
            <w:tcBorders>
              <w:top w:val="nil"/>
            </w:tcBorders>
            <w:shd w:val="clear" w:color="auto" w:fill="FFFFFF" w:themeFill="background1"/>
            <w:noWrap/>
          </w:tcPr>
          <w:p w14:paraId="4F1EEB6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13,5</w:t>
            </w:r>
          </w:p>
        </w:tc>
        <w:tc>
          <w:tcPr>
            <w:tcW w:w="353" w:type="pct"/>
            <w:tcBorders>
              <w:top w:val="nil"/>
            </w:tcBorders>
            <w:shd w:val="clear" w:color="auto" w:fill="FFFFFF" w:themeFill="background1"/>
            <w:noWrap/>
          </w:tcPr>
          <w:p w14:paraId="7038C047"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4C354E0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100,8</w:t>
            </w:r>
          </w:p>
        </w:tc>
        <w:tc>
          <w:tcPr>
            <w:tcW w:w="372" w:type="pct"/>
            <w:tcBorders>
              <w:top w:val="nil"/>
            </w:tcBorders>
            <w:shd w:val="clear" w:color="auto" w:fill="FFFFFF" w:themeFill="background1"/>
            <w:noWrap/>
            <w:hideMark/>
          </w:tcPr>
          <w:p w14:paraId="33FFC55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91,5</w:t>
            </w:r>
          </w:p>
        </w:tc>
        <w:tc>
          <w:tcPr>
            <w:tcW w:w="372" w:type="pct"/>
            <w:tcBorders>
              <w:top w:val="nil"/>
            </w:tcBorders>
            <w:shd w:val="clear" w:color="auto" w:fill="FFFFFF" w:themeFill="background1"/>
            <w:noWrap/>
            <w:hideMark/>
          </w:tcPr>
          <w:p w14:paraId="7642E0D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4,1</w:t>
            </w:r>
          </w:p>
        </w:tc>
        <w:tc>
          <w:tcPr>
            <w:tcW w:w="372" w:type="pct"/>
            <w:tcBorders>
              <w:top w:val="nil"/>
            </w:tcBorders>
            <w:shd w:val="clear" w:color="auto" w:fill="FFFFFF" w:themeFill="background1"/>
            <w:noWrap/>
            <w:hideMark/>
          </w:tcPr>
          <w:p w14:paraId="7EB96FF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5,2</w:t>
            </w:r>
          </w:p>
        </w:tc>
        <w:tc>
          <w:tcPr>
            <w:tcW w:w="372" w:type="pct"/>
            <w:tcBorders>
              <w:top w:val="nil"/>
            </w:tcBorders>
            <w:shd w:val="clear" w:color="auto" w:fill="FFFFFF" w:themeFill="background1"/>
            <w:noWrap/>
          </w:tcPr>
          <w:p w14:paraId="2B08AC3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51B63CCA"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619DE77"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Буџет Републике</w:t>
            </w:r>
          </w:p>
        </w:tc>
        <w:tc>
          <w:tcPr>
            <w:tcW w:w="356" w:type="pct"/>
            <w:tcBorders>
              <w:top w:val="nil"/>
            </w:tcBorders>
            <w:shd w:val="clear" w:color="auto" w:fill="FFFFFF" w:themeFill="background1"/>
            <w:noWrap/>
            <w:hideMark/>
          </w:tcPr>
          <w:p w14:paraId="6978624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7,4</w:t>
            </w:r>
          </w:p>
        </w:tc>
        <w:tc>
          <w:tcPr>
            <w:tcW w:w="356" w:type="pct"/>
            <w:tcBorders>
              <w:top w:val="nil"/>
            </w:tcBorders>
            <w:shd w:val="clear" w:color="auto" w:fill="FFFFFF" w:themeFill="background1"/>
            <w:noWrap/>
            <w:hideMark/>
          </w:tcPr>
          <w:p w14:paraId="4A5E4E7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60" w:type="pct"/>
            <w:tcBorders>
              <w:top w:val="nil"/>
            </w:tcBorders>
            <w:shd w:val="clear" w:color="auto" w:fill="FFFFFF" w:themeFill="background1"/>
            <w:noWrap/>
            <w:hideMark/>
          </w:tcPr>
          <w:p w14:paraId="1EF46EC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7,4</w:t>
            </w:r>
          </w:p>
        </w:tc>
        <w:tc>
          <w:tcPr>
            <w:tcW w:w="348" w:type="pct"/>
            <w:tcBorders>
              <w:top w:val="nil"/>
            </w:tcBorders>
            <w:shd w:val="clear" w:color="auto" w:fill="FFFFFF" w:themeFill="background1"/>
            <w:noWrap/>
            <w:hideMark/>
          </w:tcPr>
          <w:p w14:paraId="224A18A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7,4</w:t>
            </w:r>
          </w:p>
        </w:tc>
        <w:tc>
          <w:tcPr>
            <w:tcW w:w="372" w:type="pct"/>
            <w:tcBorders>
              <w:top w:val="nil"/>
            </w:tcBorders>
            <w:shd w:val="clear" w:color="auto" w:fill="FFFFFF" w:themeFill="background1"/>
            <w:noWrap/>
            <w:hideMark/>
          </w:tcPr>
          <w:p w14:paraId="0FA01157"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0AC5EE3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6650123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28D6985A"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4B9F712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EC5222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2BBB764D"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3FE4584E"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74702E6"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Градови и општине</w:t>
            </w:r>
          </w:p>
        </w:tc>
        <w:tc>
          <w:tcPr>
            <w:tcW w:w="356" w:type="pct"/>
            <w:tcBorders>
              <w:top w:val="nil"/>
            </w:tcBorders>
            <w:shd w:val="clear" w:color="auto" w:fill="FFFFFF" w:themeFill="background1"/>
            <w:noWrap/>
            <w:hideMark/>
          </w:tcPr>
          <w:p w14:paraId="5A47128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81,2</w:t>
            </w:r>
          </w:p>
        </w:tc>
        <w:tc>
          <w:tcPr>
            <w:tcW w:w="356" w:type="pct"/>
            <w:tcBorders>
              <w:top w:val="nil"/>
            </w:tcBorders>
            <w:shd w:val="clear" w:color="auto" w:fill="FFFFFF" w:themeFill="background1"/>
            <w:noWrap/>
            <w:hideMark/>
          </w:tcPr>
          <w:p w14:paraId="739E071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73,2</w:t>
            </w:r>
          </w:p>
        </w:tc>
        <w:tc>
          <w:tcPr>
            <w:tcW w:w="360" w:type="pct"/>
            <w:tcBorders>
              <w:top w:val="nil"/>
            </w:tcBorders>
            <w:shd w:val="clear" w:color="auto" w:fill="FFFFFF" w:themeFill="background1"/>
            <w:noWrap/>
            <w:hideMark/>
          </w:tcPr>
          <w:p w14:paraId="10825BC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8,0</w:t>
            </w:r>
          </w:p>
        </w:tc>
        <w:tc>
          <w:tcPr>
            <w:tcW w:w="348" w:type="pct"/>
            <w:tcBorders>
              <w:top w:val="nil"/>
            </w:tcBorders>
            <w:shd w:val="clear" w:color="auto" w:fill="FFFFFF" w:themeFill="background1"/>
            <w:noWrap/>
          </w:tcPr>
          <w:p w14:paraId="74081FD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76BA2B3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8,0</w:t>
            </w:r>
          </w:p>
        </w:tc>
        <w:tc>
          <w:tcPr>
            <w:tcW w:w="353" w:type="pct"/>
            <w:tcBorders>
              <w:top w:val="nil"/>
            </w:tcBorders>
            <w:shd w:val="clear" w:color="auto" w:fill="FFFFFF" w:themeFill="background1"/>
            <w:noWrap/>
            <w:hideMark/>
          </w:tcPr>
          <w:p w14:paraId="5F1881C5"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4A37439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4529270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6CB780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56C8BD1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6E0B3B0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5BE0780C"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61C7D61"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AП Војводина</w:t>
            </w:r>
          </w:p>
        </w:tc>
        <w:tc>
          <w:tcPr>
            <w:tcW w:w="356" w:type="pct"/>
            <w:tcBorders>
              <w:top w:val="nil"/>
            </w:tcBorders>
            <w:shd w:val="clear" w:color="auto" w:fill="FFFFFF" w:themeFill="background1"/>
            <w:noWrap/>
            <w:hideMark/>
          </w:tcPr>
          <w:p w14:paraId="7E02D24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61,4</w:t>
            </w:r>
          </w:p>
        </w:tc>
        <w:tc>
          <w:tcPr>
            <w:tcW w:w="356" w:type="pct"/>
            <w:tcBorders>
              <w:top w:val="nil"/>
            </w:tcBorders>
            <w:shd w:val="clear" w:color="auto" w:fill="FFFFFF" w:themeFill="background1"/>
            <w:noWrap/>
            <w:hideMark/>
          </w:tcPr>
          <w:p w14:paraId="4D4A823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61,4</w:t>
            </w:r>
          </w:p>
        </w:tc>
        <w:tc>
          <w:tcPr>
            <w:tcW w:w="360" w:type="pct"/>
            <w:tcBorders>
              <w:top w:val="nil"/>
            </w:tcBorders>
            <w:shd w:val="clear" w:color="auto" w:fill="FFFFFF" w:themeFill="background1"/>
            <w:noWrap/>
            <w:hideMark/>
          </w:tcPr>
          <w:p w14:paraId="3E71E19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tcPr>
          <w:p w14:paraId="31E7B8B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21A5348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59DD94F5"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24A85A6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69A06A9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4A253E6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11D6D2D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7962BC58"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2A545B92"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D6A5CC5"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Фонд ПИО</w:t>
            </w:r>
          </w:p>
        </w:tc>
        <w:tc>
          <w:tcPr>
            <w:tcW w:w="356" w:type="pct"/>
            <w:tcBorders>
              <w:top w:val="nil"/>
            </w:tcBorders>
            <w:shd w:val="clear" w:color="auto" w:fill="FFFFFF" w:themeFill="background1"/>
            <w:noWrap/>
            <w:hideMark/>
          </w:tcPr>
          <w:p w14:paraId="0475C77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211,8</w:t>
            </w:r>
          </w:p>
        </w:tc>
        <w:tc>
          <w:tcPr>
            <w:tcW w:w="356" w:type="pct"/>
            <w:tcBorders>
              <w:top w:val="nil"/>
            </w:tcBorders>
            <w:shd w:val="clear" w:color="auto" w:fill="FFFFFF" w:themeFill="background1"/>
            <w:noWrap/>
            <w:hideMark/>
          </w:tcPr>
          <w:p w14:paraId="3570CD4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204,1</w:t>
            </w:r>
          </w:p>
        </w:tc>
        <w:tc>
          <w:tcPr>
            <w:tcW w:w="360" w:type="pct"/>
            <w:tcBorders>
              <w:top w:val="nil"/>
            </w:tcBorders>
            <w:shd w:val="clear" w:color="auto" w:fill="FFFFFF" w:themeFill="background1"/>
            <w:noWrap/>
            <w:hideMark/>
          </w:tcPr>
          <w:p w14:paraId="43811D5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tcPr>
          <w:p w14:paraId="4B4ED9E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2B09A00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2B4DCA3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62549D37"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7,7</w:t>
            </w:r>
          </w:p>
        </w:tc>
        <w:tc>
          <w:tcPr>
            <w:tcW w:w="372" w:type="pct"/>
            <w:tcBorders>
              <w:top w:val="nil"/>
            </w:tcBorders>
            <w:shd w:val="clear" w:color="auto" w:fill="FFFFFF" w:themeFill="background1"/>
            <w:noWrap/>
          </w:tcPr>
          <w:p w14:paraId="6320280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63ABDD8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4,1</w:t>
            </w:r>
          </w:p>
        </w:tc>
        <w:tc>
          <w:tcPr>
            <w:tcW w:w="372" w:type="pct"/>
            <w:tcBorders>
              <w:top w:val="nil"/>
            </w:tcBorders>
            <w:shd w:val="clear" w:color="auto" w:fill="FFFFFF" w:themeFill="background1"/>
            <w:noWrap/>
            <w:hideMark/>
          </w:tcPr>
          <w:p w14:paraId="535F114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3,7</w:t>
            </w:r>
          </w:p>
        </w:tc>
        <w:tc>
          <w:tcPr>
            <w:tcW w:w="372" w:type="pct"/>
            <w:tcBorders>
              <w:top w:val="nil"/>
            </w:tcBorders>
            <w:shd w:val="clear" w:color="auto" w:fill="FFFFFF" w:themeFill="background1"/>
            <w:noWrap/>
          </w:tcPr>
          <w:p w14:paraId="0126032C"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64D53803"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149A671"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РФЗО</w:t>
            </w:r>
          </w:p>
        </w:tc>
        <w:tc>
          <w:tcPr>
            <w:tcW w:w="356" w:type="pct"/>
            <w:tcBorders>
              <w:top w:val="nil"/>
            </w:tcBorders>
            <w:shd w:val="clear" w:color="auto" w:fill="FFFFFF" w:themeFill="background1"/>
            <w:noWrap/>
            <w:hideMark/>
          </w:tcPr>
          <w:p w14:paraId="0182F71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155,6</w:t>
            </w:r>
          </w:p>
        </w:tc>
        <w:tc>
          <w:tcPr>
            <w:tcW w:w="356" w:type="pct"/>
            <w:tcBorders>
              <w:top w:val="nil"/>
            </w:tcBorders>
            <w:shd w:val="clear" w:color="auto" w:fill="FFFFFF" w:themeFill="background1"/>
            <w:noWrap/>
            <w:hideMark/>
          </w:tcPr>
          <w:p w14:paraId="184DC167"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66,1</w:t>
            </w:r>
          </w:p>
        </w:tc>
        <w:tc>
          <w:tcPr>
            <w:tcW w:w="360" w:type="pct"/>
            <w:tcBorders>
              <w:top w:val="nil"/>
            </w:tcBorders>
            <w:shd w:val="clear" w:color="auto" w:fill="FFFFFF" w:themeFill="background1"/>
            <w:noWrap/>
            <w:hideMark/>
          </w:tcPr>
          <w:p w14:paraId="7A014ECD"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hideMark/>
          </w:tcPr>
          <w:p w14:paraId="1F38F52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3,4</w:t>
            </w:r>
          </w:p>
        </w:tc>
        <w:tc>
          <w:tcPr>
            <w:tcW w:w="372" w:type="pct"/>
            <w:tcBorders>
              <w:top w:val="nil"/>
            </w:tcBorders>
            <w:shd w:val="clear" w:color="auto" w:fill="FFFFFF" w:themeFill="background1"/>
            <w:noWrap/>
            <w:hideMark/>
          </w:tcPr>
          <w:p w14:paraId="6720A0C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5,5</w:t>
            </w:r>
          </w:p>
        </w:tc>
        <w:tc>
          <w:tcPr>
            <w:tcW w:w="353" w:type="pct"/>
            <w:tcBorders>
              <w:top w:val="nil"/>
            </w:tcBorders>
            <w:shd w:val="clear" w:color="auto" w:fill="FFFFFF" w:themeFill="background1"/>
            <w:noWrap/>
            <w:hideMark/>
          </w:tcPr>
          <w:p w14:paraId="69C47EB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23EAB9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89,5</w:t>
            </w:r>
          </w:p>
        </w:tc>
        <w:tc>
          <w:tcPr>
            <w:tcW w:w="372" w:type="pct"/>
            <w:tcBorders>
              <w:top w:val="nil"/>
            </w:tcBorders>
            <w:shd w:val="clear" w:color="auto" w:fill="FFFFFF" w:themeFill="background1"/>
            <w:noWrap/>
            <w:hideMark/>
          </w:tcPr>
          <w:p w14:paraId="294AA48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88,0</w:t>
            </w:r>
          </w:p>
        </w:tc>
        <w:tc>
          <w:tcPr>
            <w:tcW w:w="372" w:type="pct"/>
            <w:tcBorders>
              <w:top w:val="nil"/>
            </w:tcBorders>
            <w:shd w:val="clear" w:color="auto" w:fill="FFFFFF" w:themeFill="background1"/>
            <w:noWrap/>
          </w:tcPr>
          <w:p w14:paraId="2F9626C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2E5B984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1,5</w:t>
            </w:r>
          </w:p>
        </w:tc>
        <w:tc>
          <w:tcPr>
            <w:tcW w:w="372" w:type="pct"/>
            <w:tcBorders>
              <w:top w:val="nil"/>
            </w:tcBorders>
            <w:shd w:val="clear" w:color="auto" w:fill="FFFFFF" w:themeFill="background1"/>
            <w:noWrap/>
          </w:tcPr>
          <w:p w14:paraId="0AEDEE2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1B273D3C"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2D2A4A1"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НСЗ</w:t>
            </w:r>
          </w:p>
        </w:tc>
        <w:tc>
          <w:tcPr>
            <w:tcW w:w="356" w:type="pct"/>
            <w:tcBorders>
              <w:top w:val="nil"/>
            </w:tcBorders>
            <w:shd w:val="clear" w:color="auto" w:fill="FFFFFF" w:themeFill="background1"/>
            <w:noWrap/>
            <w:hideMark/>
          </w:tcPr>
          <w:p w14:paraId="460290A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3,3</w:t>
            </w:r>
          </w:p>
        </w:tc>
        <w:tc>
          <w:tcPr>
            <w:tcW w:w="356" w:type="pct"/>
            <w:tcBorders>
              <w:top w:val="nil"/>
            </w:tcBorders>
            <w:shd w:val="clear" w:color="auto" w:fill="FFFFFF" w:themeFill="background1"/>
            <w:noWrap/>
            <w:hideMark/>
          </w:tcPr>
          <w:p w14:paraId="6B741A2D"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3,3</w:t>
            </w:r>
          </w:p>
        </w:tc>
        <w:tc>
          <w:tcPr>
            <w:tcW w:w="360" w:type="pct"/>
            <w:tcBorders>
              <w:top w:val="nil"/>
            </w:tcBorders>
            <w:shd w:val="clear" w:color="auto" w:fill="FFFFFF" w:themeFill="background1"/>
            <w:noWrap/>
            <w:hideMark/>
          </w:tcPr>
          <w:p w14:paraId="601D237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tcPr>
          <w:p w14:paraId="58E5598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71A861B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63B982D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5EDE734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16FA96C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267764E1"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4D65C6A2"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548205D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16F67C6D"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B64F3BF"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Фонд СОВО</w:t>
            </w:r>
          </w:p>
        </w:tc>
        <w:tc>
          <w:tcPr>
            <w:tcW w:w="356" w:type="pct"/>
            <w:tcBorders>
              <w:top w:val="nil"/>
            </w:tcBorders>
            <w:shd w:val="clear" w:color="auto" w:fill="FFFFFF" w:themeFill="background1"/>
            <w:noWrap/>
            <w:hideMark/>
          </w:tcPr>
          <w:p w14:paraId="7AE7D521"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4,0</w:t>
            </w:r>
          </w:p>
        </w:tc>
        <w:tc>
          <w:tcPr>
            <w:tcW w:w="356" w:type="pct"/>
            <w:tcBorders>
              <w:top w:val="nil"/>
            </w:tcBorders>
            <w:shd w:val="clear" w:color="auto" w:fill="FFFFFF" w:themeFill="background1"/>
            <w:noWrap/>
            <w:hideMark/>
          </w:tcPr>
          <w:p w14:paraId="2AE83EA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0,5</w:t>
            </w:r>
          </w:p>
        </w:tc>
        <w:tc>
          <w:tcPr>
            <w:tcW w:w="360" w:type="pct"/>
            <w:tcBorders>
              <w:top w:val="nil"/>
            </w:tcBorders>
            <w:shd w:val="clear" w:color="auto" w:fill="FFFFFF" w:themeFill="background1"/>
            <w:noWrap/>
            <w:hideMark/>
          </w:tcPr>
          <w:p w14:paraId="2AB8B3FC"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tcPr>
          <w:p w14:paraId="0ADD952E"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71B0B5E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233EBDCD"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hideMark/>
          </w:tcPr>
          <w:p w14:paraId="3904308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3,5</w:t>
            </w:r>
          </w:p>
        </w:tc>
        <w:tc>
          <w:tcPr>
            <w:tcW w:w="372" w:type="pct"/>
            <w:tcBorders>
              <w:top w:val="nil"/>
            </w:tcBorders>
            <w:shd w:val="clear" w:color="auto" w:fill="FFFFFF" w:themeFill="background1"/>
            <w:noWrap/>
            <w:hideMark/>
          </w:tcPr>
          <w:p w14:paraId="70C6505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3,5</w:t>
            </w:r>
          </w:p>
        </w:tc>
        <w:tc>
          <w:tcPr>
            <w:tcW w:w="372" w:type="pct"/>
            <w:tcBorders>
              <w:top w:val="nil"/>
            </w:tcBorders>
            <w:shd w:val="clear" w:color="auto" w:fill="FFFFFF" w:themeFill="background1"/>
            <w:noWrap/>
          </w:tcPr>
          <w:p w14:paraId="03059E6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099BC70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382FA5C0"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p>
        </w:tc>
      </w:tr>
      <w:tr w:rsidR="00063299" w:rsidRPr="0007074F" w14:paraId="51B70940"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910294F"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Остали нивои</w:t>
            </w:r>
          </w:p>
        </w:tc>
        <w:tc>
          <w:tcPr>
            <w:tcW w:w="356" w:type="pct"/>
            <w:tcBorders>
              <w:top w:val="nil"/>
            </w:tcBorders>
            <w:shd w:val="clear" w:color="auto" w:fill="FFFFFF" w:themeFill="background1"/>
            <w:noWrap/>
            <w:hideMark/>
          </w:tcPr>
          <w:p w14:paraId="4C0D68A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26,6</w:t>
            </w:r>
          </w:p>
        </w:tc>
        <w:tc>
          <w:tcPr>
            <w:tcW w:w="356" w:type="pct"/>
            <w:tcBorders>
              <w:top w:val="nil"/>
            </w:tcBorders>
            <w:shd w:val="clear" w:color="auto" w:fill="FFFFFF" w:themeFill="background1"/>
            <w:noWrap/>
            <w:hideMark/>
          </w:tcPr>
          <w:p w14:paraId="3974CE4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26,6</w:t>
            </w:r>
          </w:p>
        </w:tc>
        <w:tc>
          <w:tcPr>
            <w:tcW w:w="360" w:type="pct"/>
            <w:tcBorders>
              <w:top w:val="nil"/>
            </w:tcBorders>
            <w:shd w:val="clear" w:color="auto" w:fill="FFFFFF" w:themeFill="background1"/>
            <w:noWrap/>
            <w:hideMark/>
          </w:tcPr>
          <w:p w14:paraId="511A13B8"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48" w:type="pct"/>
            <w:tcBorders>
              <w:top w:val="nil"/>
            </w:tcBorders>
            <w:shd w:val="clear" w:color="auto" w:fill="FFFFFF" w:themeFill="background1"/>
            <w:noWrap/>
          </w:tcPr>
          <w:p w14:paraId="70734DD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127DFC5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53" w:type="pct"/>
            <w:tcBorders>
              <w:top w:val="nil"/>
            </w:tcBorders>
            <w:shd w:val="clear" w:color="auto" w:fill="FFFFFF" w:themeFill="background1"/>
            <w:noWrap/>
            <w:hideMark/>
          </w:tcPr>
          <w:p w14:paraId="064630CF"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4DCB263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05856AC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6A5E8F5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48ACD84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c>
          <w:tcPr>
            <w:tcW w:w="372" w:type="pct"/>
            <w:tcBorders>
              <w:top w:val="nil"/>
            </w:tcBorders>
            <w:shd w:val="clear" w:color="auto" w:fill="FFFFFF" w:themeFill="background1"/>
            <w:noWrap/>
          </w:tcPr>
          <w:p w14:paraId="29F25BC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CS"/>
              </w:rPr>
            </w:pPr>
          </w:p>
        </w:tc>
      </w:tr>
      <w:tr w:rsidR="00063299" w:rsidRPr="0007074F" w14:paraId="5A54267A" w14:textId="77777777" w:rsidTr="003911D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5EACC0A" w14:textId="77777777" w:rsidR="00063299" w:rsidRPr="0007074F" w:rsidRDefault="00063299" w:rsidP="003911D0">
            <w:pPr>
              <w:tabs>
                <w:tab w:val="center" w:pos="4680"/>
                <w:tab w:val="right" w:pos="9360"/>
              </w:tabs>
              <w:rPr>
                <w:rFonts w:cstheme="minorHAnsi"/>
                <w:b w:val="0"/>
                <w:color w:val="002060"/>
                <w:sz w:val="14"/>
                <w:szCs w:val="14"/>
                <w:lang w:val="sr-Cyrl-CS"/>
              </w:rPr>
            </w:pPr>
            <w:r w:rsidRPr="0007074F">
              <w:rPr>
                <w:rFonts w:cstheme="minorHAnsi"/>
                <w:b w:val="0"/>
                <w:color w:val="002060"/>
                <w:sz w:val="14"/>
                <w:szCs w:val="14"/>
                <w:lang w:val="sr-Cyrl-CS"/>
              </w:rPr>
              <w:t>Нето трансфери другим нивоима власти</w:t>
            </w:r>
          </w:p>
        </w:tc>
        <w:tc>
          <w:tcPr>
            <w:tcW w:w="356" w:type="pct"/>
            <w:tcBorders>
              <w:top w:val="nil"/>
            </w:tcBorders>
            <w:shd w:val="clear" w:color="auto" w:fill="FFFFFF" w:themeFill="background1"/>
            <w:noWrap/>
          </w:tcPr>
          <w:p w14:paraId="4BA29C22"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0,0</w:t>
            </w:r>
          </w:p>
        </w:tc>
        <w:tc>
          <w:tcPr>
            <w:tcW w:w="356" w:type="pct"/>
            <w:tcBorders>
              <w:top w:val="nil"/>
            </w:tcBorders>
            <w:shd w:val="clear" w:color="auto" w:fill="FFFFFF" w:themeFill="background1"/>
            <w:noWrap/>
            <w:hideMark/>
          </w:tcPr>
          <w:p w14:paraId="384CB1F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-427,8</w:t>
            </w:r>
          </w:p>
        </w:tc>
        <w:tc>
          <w:tcPr>
            <w:tcW w:w="360" w:type="pct"/>
            <w:tcBorders>
              <w:top w:val="nil"/>
            </w:tcBorders>
            <w:shd w:val="clear" w:color="auto" w:fill="FFFFFF" w:themeFill="background1"/>
            <w:noWrap/>
            <w:hideMark/>
          </w:tcPr>
          <w:p w14:paraId="71546D54"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118,3</w:t>
            </w:r>
          </w:p>
        </w:tc>
        <w:tc>
          <w:tcPr>
            <w:tcW w:w="348" w:type="pct"/>
            <w:tcBorders>
              <w:top w:val="nil"/>
            </w:tcBorders>
            <w:shd w:val="clear" w:color="auto" w:fill="FFFFFF" w:themeFill="background1"/>
            <w:noWrap/>
            <w:hideMark/>
          </w:tcPr>
          <w:p w14:paraId="4EF3217B"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70,4</w:t>
            </w:r>
          </w:p>
        </w:tc>
        <w:tc>
          <w:tcPr>
            <w:tcW w:w="372" w:type="pct"/>
            <w:tcBorders>
              <w:top w:val="nil"/>
            </w:tcBorders>
            <w:shd w:val="clear" w:color="auto" w:fill="FFFFFF" w:themeFill="background1"/>
            <w:noWrap/>
            <w:hideMark/>
          </w:tcPr>
          <w:p w14:paraId="60585029"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47,9</w:t>
            </w:r>
          </w:p>
        </w:tc>
        <w:tc>
          <w:tcPr>
            <w:tcW w:w="353" w:type="pct"/>
            <w:tcBorders>
              <w:top w:val="nil"/>
            </w:tcBorders>
            <w:shd w:val="clear" w:color="auto" w:fill="FFFFFF" w:themeFill="background1"/>
            <w:noWrap/>
            <w:hideMark/>
          </w:tcPr>
          <w:p w14:paraId="370824FD"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26,6</w:t>
            </w:r>
          </w:p>
        </w:tc>
        <w:tc>
          <w:tcPr>
            <w:tcW w:w="372" w:type="pct"/>
            <w:tcBorders>
              <w:top w:val="nil"/>
            </w:tcBorders>
            <w:shd w:val="clear" w:color="auto" w:fill="FFFFFF" w:themeFill="background1"/>
            <w:noWrap/>
            <w:hideMark/>
          </w:tcPr>
          <w:p w14:paraId="4E7FCD8F"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282,9</w:t>
            </w:r>
          </w:p>
        </w:tc>
        <w:tc>
          <w:tcPr>
            <w:tcW w:w="372" w:type="pct"/>
            <w:tcBorders>
              <w:top w:val="nil"/>
            </w:tcBorders>
            <w:shd w:val="clear" w:color="auto" w:fill="FFFFFF" w:themeFill="background1"/>
            <w:noWrap/>
            <w:hideMark/>
          </w:tcPr>
          <w:p w14:paraId="17FDC40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120,3</w:t>
            </w:r>
          </w:p>
        </w:tc>
        <w:tc>
          <w:tcPr>
            <w:tcW w:w="372" w:type="pct"/>
            <w:tcBorders>
              <w:top w:val="nil"/>
            </w:tcBorders>
            <w:shd w:val="clear" w:color="auto" w:fill="FFFFFF" w:themeFill="background1"/>
            <w:noWrap/>
            <w:hideMark/>
          </w:tcPr>
          <w:p w14:paraId="7D55717D"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160,5</w:t>
            </w:r>
          </w:p>
        </w:tc>
        <w:tc>
          <w:tcPr>
            <w:tcW w:w="372" w:type="pct"/>
            <w:tcBorders>
              <w:top w:val="nil"/>
            </w:tcBorders>
            <w:shd w:val="clear" w:color="auto" w:fill="FFFFFF" w:themeFill="background1"/>
            <w:noWrap/>
            <w:hideMark/>
          </w:tcPr>
          <w:p w14:paraId="51EFD6C6"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-1,8</w:t>
            </w:r>
          </w:p>
        </w:tc>
        <w:tc>
          <w:tcPr>
            <w:tcW w:w="372" w:type="pct"/>
            <w:tcBorders>
              <w:top w:val="nil"/>
            </w:tcBorders>
            <w:shd w:val="clear" w:color="auto" w:fill="FFFFFF" w:themeFill="background1"/>
            <w:noWrap/>
            <w:hideMark/>
          </w:tcPr>
          <w:p w14:paraId="790F4843" w14:textId="77777777" w:rsidR="00063299" w:rsidRPr="0007074F" w:rsidRDefault="00063299" w:rsidP="003911D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CS"/>
              </w:rPr>
            </w:pPr>
            <w:r w:rsidRPr="0007074F">
              <w:rPr>
                <w:rFonts w:cstheme="minorHAnsi"/>
                <w:color w:val="002060"/>
                <w:sz w:val="14"/>
                <w:szCs w:val="14"/>
                <w:lang w:val="sr-Cyrl-CS"/>
              </w:rPr>
              <w:t>4,0</w:t>
            </w:r>
          </w:p>
        </w:tc>
      </w:tr>
      <w:tr w:rsidR="00063299" w:rsidRPr="0007074F" w14:paraId="7086FFB8" w14:textId="77777777" w:rsidTr="003911D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bottom w:val="single" w:sz="4" w:space="0" w:color="auto"/>
            </w:tcBorders>
            <w:shd w:val="clear" w:color="auto" w:fill="BFBFBF" w:themeFill="background1" w:themeFillShade="BF"/>
            <w:noWrap/>
            <w:vAlign w:val="bottom"/>
            <w:hideMark/>
          </w:tcPr>
          <w:p w14:paraId="69550523" w14:textId="77777777" w:rsidR="00063299" w:rsidRPr="0007074F" w:rsidRDefault="00063299" w:rsidP="003911D0">
            <w:pPr>
              <w:tabs>
                <w:tab w:val="center" w:pos="4680"/>
                <w:tab w:val="right" w:pos="9360"/>
              </w:tabs>
              <w:rPr>
                <w:rFonts w:cstheme="minorHAnsi"/>
                <w:color w:val="002060"/>
                <w:sz w:val="14"/>
                <w:szCs w:val="14"/>
                <w:lang w:val="sr-Cyrl-CS"/>
              </w:rPr>
            </w:pPr>
            <w:r w:rsidRPr="0007074F">
              <w:rPr>
                <w:rFonts w:cstheme="minorHAnsi"/>
                <w:color w:val="002060"/>
                <w:sz w:val="14"/>
                <w:szCs w:val="14"/>
                <w:lang w:val="sr-Cyrl-CS"/>
              </w:rPr>
              <w:t>Фискални резултат</w:t>
            </w:r>
          </w:p>
        </w:tc>
        <w:tc>
          <w:tcPr>
            <w:tcW w:w="356" w:type="pct"/>
            <w:tcBorders>
              <w:top w:val="nil"/>
              <w:bottom w:val="single" w:sz="4" w:space="0" w:color="auto"/>
            </w:tcBorders>
            <w:shd w:val="clear" w:color="auto" w:fill="BFBFBF" w:themeFill="background1" w:themeFillShade="BF"/>
            <w:noWrap/>
            <w:hideMark/>
          </w:tcPr>
          <w:p w14:paraId="7DB3025A"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-196,0</w:t>
            </w:r>
          </w:p>
        </w:tc>
        <w:tc>
          <w:tcPr>
            <w:tcW w:w="356" w:type="pct"/>
            <w:tcBorders>
              <w:top w:val="nil"/>
              <w:bottom w:val="single" w:sz="4" w:space="0" w:color="auto"/>
            </w:tcBorders>
            <w:shd w:val="clear" w:color="auto" w:fill="BFBFBF" w:themeFill="background1" w:themeFillShade="BF"/>
            <w:noWrap/>
            <w:hideMark/>
          </w:tcPr>
          <w:p w14:paraId="576E3373"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-196,0</w:t>
            </w:r>
          </w:p>
        </w:tc>
        <w:tc>
          <w:tcPr>
            <w:tcW w:w="360" w:type="pct"/>
            <w:tcBorders>
              <w:top w:val="nil"/>
              <w:bottom w:val="single" w:sz="4" w:space="0" w:color="auto"/>
            </w:tcBorders>
            <w:shd w:val="clear" w:color="auto" w:fill="BFBFBF" w:themeFill="background1" w:themeFillShade="BF"/>
            <w:noWrap/>
            <w:hideMark/>
          </w:tcPr>
          <w:p w14:paraId="39B8AD40"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c>
          <w:tcPr>
            <w:tcW w:w="348" w:type="pct"/>
            <w:tcBorders>
              <w:top w:val="nil"/>
              <w:bottom w:val="single" w:sz="4" w:space="0" w:color="auto"/>
            </w:tcBorders>
            <w:shd w:val="clear" w:color="auto" w:fill="BFBFBF" w:themeFill="background1" w:themeFillShade="BF"/>
            <w:noWrap/>
            <w:hideMark/>
          </w:tcPr>
          <w:p w14:paraId="7CDB4E5B"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c>
          <w:tcPr>
            <w:tcW w:w="372" w:type="pct"/>
            <w:tcBorders>
              <w:top w:val="nil"/>
              <w:bottom w:val="single" w:sz="4" w:space="0" w:color="auto"/>
            </w:tcBorders>
            <w:shd w:val="clear" w:color="auto" w:fill="BFBFBF" w:themeFill="background1" w:themeFillShade="BF"/>
            <w:noWrap/>
            <w:hideMark/>
          </w:tcPr>
          <w:p w14:paraId="0459FEA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c>
          <w:tcPr>
            <w:tcW w:w="353" w:type="pct"/>
            <w:tcBorders>
              <w:top w:val="nil"/>
              <w:bottom w:val="single" w:sz="4" w:space="0" w:color="auto"/>
            </w:tcBorders>
            <w:shd w:val="clear" w:color="auto" w:fill="BFBFBF" w:themeFill="background1" w:themeFillShade="BF"/>
            <w:noWrap/>
            <w:hideMark/>
          </w:tcPr>
          <w:p w14:paraId="0B8B47C7"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c>
          <w:tcPr>
            <w:tcW w:w="372" w:type="pct"/>
            <w:tcBorders>
              <w:top w:val="nil"/>
              <w:bottom w:val="single" w:sz="4" w:space="0" w:color="auto"/>
            </w:tcBorders>
            <w:shd w:val="clear" w:color="auto" w:fill="BFBFBF" w:themeFill="background1" w:themeFillShade="BF"/>
            <w:noWrap/>
            <w:hideMark/>
          </w:tcPr>
          <w:p w14:paraId="794D617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c>
          <w:tcPr>
            <w:tcW w:w="372" w:type="pct"/>
            <w:tcBorders>
              <w:top w:val="nil"/>
              <w:bottom w:val="single" w:sz="4" w:space="0" w:color="auto"/>
            </w:tcBorders>
            <w:shd w:val="clear" w:color="auto" w:fill="BFBFBF" w:themeFill="background1" w:themeFillShade="BF"/>
            <w:noWrap/>
            <w:hideMark/>
          </w:tcPr>
          <w:p w14:paraId="28A16A66"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c>
          <w:tcPr>
            <w:tcW w:w="372" w:type="pct"/>
            <w:tcBorders>
              <w:top w:val="nil"/>
              <w:bottom w:val="single" w:sz="4" w:space="0" w:color="auto"/>
            </w:tcBorders>
            <w:shd w:val="clear" w:color="auto" w:fill="BFBFBF" w:themeFill="background1" w:themeFillShade="BF"/>
            <w:noWrap/>
            <w:hideMark/>
          </w:tcPr>
          <w:p w14:paraId="537BA63E"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c>
          <w:tcPr>
            <w:tcW w:w="372" w:type="pct"/>
            <w:tcBorders>
              <w:top w:val="nil"/>
              <w:bottom w:val="single" w:sz="4" w:space="0" w:color="auto"/>
            </w:tcBorders>
            <w:shd w:val="clear" w:color="auto" w:fill="BFBFBF" w:themeFill="background1" w:themeFillShade="BF"/>
            <w:noWrap/>
            <w:hideMark/>
          </w:tcPr>
          <w:p w14:paraId="49A57489"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c>
          <w:tcPr>
            <w:tcW w:w="372" w:type="pct"/>
            <w:tcBorders>
              <w:top w:val="nil"/>
              <w:bottom w:val="single" w:sz="4" w:space="0" w:color="auto"/>
            </w:tcBorders>
            <w:shd w:val="clear" w:color="auto" w:fill="BFBFBF" w:themeFill="background1" w:themeFillShade="BF"/>
            <w:noWrap/>
            <w:hideMark/>
          </w:tcPr>
          <w:p w14:paraId="6B7487B4" w14:textId="77777777" w:rsidR="00063299" w:rsidRPr="0007074F" w:rsidRDefault="00063299" w:rsidP="003911D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CS"/>
              </w:rPr>
            </w:pPr>
            <w:r w:rsidRPr="0007074F">
              <w:rPr>
                <w:rFonts w:cstheme="minorHAnsi"/>
                <w:b/>
                <w:color w:val="002060"/>
                <w:sz w:val="14"/>
                <w:szCs w:val="14"/>
                <w:lang w:val="sr-Cyrl-CS"/>
              </w:rPr>
              <w:t>0,0</w:t>
            </w:r>
          </w:p>
        </w:tc>
      </w:tr>
    </w:tbl>
    <w:p w14:paraId="060D3573" w14:textId="77777777" w:rsidR="00063299" w:rsidRPr="0007074F" w:rsidRDefault="00063299" w:rsidP="00BF6FDD">
      <w:pPr>
        <w:tabs>
          <w:tab w:val="center" w:pos="4680"/>
          <w:tab w:val="right" w:pos="9360"/>
        </w:tabs>
        <w:spacing w:before="40" w:after="60" w:line="240" w:lineRule="auto"/>
        <w:ind w:right="340"/>
        <w:rPr>
          <w:rFonts w:cstheme="minorHAnsi"/>
          <w:sz w:val="16"/>
          <w:szCs w:val="16"/>
          <w:lang w:val="sr-Cyrl-CS"/>
        </w:rPr>
      </w:pPr>
      <w:r w:rsidRPr="0007074F">
        <w:rPr>
          <w:rFonts w:cstheme="minorHAnsi"/>
          <w:sz w:val="16"/>
          <w:szCs w:val="16"/>
          <w:lang w:val="sr-Cyrl-CS"/>
        </w:rPr>
        <w:t>У табели је приказан оквирни износ прихода и расхода у 2024. години који је у већој мери заснован на статистичкој методологији рачуна јавних финансија него на рачуноводственој. Будући да током буџетског процеса може доћи до измена у висини и структури појединих категорија, ови износи нису законски обавезујући.</w:t>
      </w:r>
    </w:p>
    <w:p w14:paraId="43C83D24" w14:textId="77777777" w:rsidR="00063299" w:rsidRPr="0007074F" w:rsidRDefault="00063299" w:rsidP="003911D0">
      <w:pPr>
        <w:tabs>
          <w:tab w:val="center" w:pos="4680"/>
          <w:tab w:val="right" w:pos="9360"/>
        </w:tabs>
        <w:spacing w:before="40" w:after="60" w:line="240" w:lineRule="auto"/>
        <w:ind w:right="340"/>
        <w:rPr>
          <w:sz w:val="14"/>
          <w:szCs w:val="26"/>
          <w:lang w:val="sr-Cyrl-CS"/>
        </w:rPr>
      </w:pPr>
      <w:r w:rsidRPr="0007074F">
        <w:rPr>
          <w:rFonts w:cstheme="minorHAnsi"/>
          <w:sz w:val="16"/>
          <w:szCs w:val="16"/>
          <w:lang w:val="sr-Cyrl-CS"/>
        </w:rPr>
        <w:t>* Буџет је приказан без дела сопствених прихода индиректних буџетских корисника и из њих финансираних расхода, који нису обухваћени информационим системом извршења буџета.</w:t>
      </w:r>
      <w:bookmarkEnd w:id="66"/>
      <w:bookmarkEnd w:id="67"/>
    </w:p>
    <w:p w14:paraId="599BEC8F" w14:textId="41D5BEF3" w:rsidR="006F6A0B" w:rsidRPr="0007074F" w:rsidRDefault="006F6A0B" w:rsidP="008A59AE">
      <w:pPr>
        <w:rPr>
          <w:rFonts w:ascii="Calibri" w:eastAsia="Calibri" w:hAnsi="Calibri" w:cs="Calibri"/>
          <w:color w:val="44546A"/>
          <w:lang w:val="sr-Cyrl-CS"/>
        </w:rPr>
      </w:pPr>
    </w:p>
    <w:sectPr w:rsidR="006F6A0B" w:rsidRPr="0007074F" w:rsidSect="003911D0">
      <w:headerReference w:type="even" r:id="rId223"/>
      <w:headerReference w:type="default" r:id="rId224"/>
      <w:footerReference w:type="even" r:id="rId225"/>
      <w:footerReference w:type="default" r:id="rId226"/>
      <w:headerReference w:type="first" r:id="rId227"/>
      <w:footerReference w:type="first" r:id="rId228"/>
      <w:pgSz w:w="15840" w:h="12240" w:orient="landscape" w:code="1"/>
      <w:pgMar w:top="680" w:right="567" w:bottom="680" w:left="567" w:header="510" w:footer="39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5ABA6" w14:textId="77777777" w:rsidR="000276AD" w:rsidRDefault="000276AD" w:rsidP="00BF7F6A">
      <w:pPr>
        <w:spacing w:after="0" w:line="240" w:lineRule="auto"/>
      </w:pPr>
      <w:r>
        <w:separator/>
      </w:r>
    </w:p>
  </w:endnote>
  <w:endnote w:type="continuationSeparator" w:id="0">
    <w:p w14:paraId="50C8A511" w14:textId="77777777" w:rsidR="000276AD" w:rsidRDefault="000276AD" w:rsidP="00BF7F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9650331"/>
      <w:docPartObj>
        <w:docPartGallery w:val="Page Numbers (Bottom of Page)"/>
        <w:docPartUnique/>
      </w:docPartObj>
    </w:sdtPr>
    <w:sdtEndPr>
      <w:rPr>
        <w:noProof/>
      </w:rPr>
    </w:sdtEndPr>
    <w:sdtContent>
      <w:p w14:paraId="14992A4B" w14:textId="096340AA" w:rsidR="005106D7" w:rsidRDefault="005106D7">
        <w:pPr>
          <w:pStyle w:val="Footer"/>
        </w:pPr>
        <w:r>
          <w:fldChar w:fldCharType="begin"/>
        </w:r>
        <w:r>
          <w:instrText xml:space="preserve"> PAGE   \* MERGEFORMAT </w:instrText>
        </w:r>
        <w:r>
          <w:fldChar w:fldCharType="separate"/>
        </w:r>
        <w:r>
          <w:rPr>
            <w:noProof/>
          </w:rPr>
          <w:t>2</w:t>
        </w:r>
        <w:r>
          <w:rPr>
            <w:noProof/>
          </w:rPr>
          <w:fldChar w:fldCharType="end"/>
        </w:r>
      </w:p>
    </w:sdtContent>
  </w:sdt>
  <w:p w14:paraId="52F84B13" w14:textId="77777777" w:rsidR="005106D7" w:rsidRDefault="005106D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46688203"/>
      <w:docPartObj>
        <w:docPartGallery w:val="Page Numbers (Bottom of Page)"/>
        <w:docPartUnique/>
      </w:docPartObj>
    </w:sdtPr>
    <w:sdtEndPr>
      <w:rPr>
        <w:noProof/>
      </w:rPr>
    </w:sdtEndPr>
    <w:sdtContent>
      <w:p w14:paraId="4CE83D5C" w14:textId="77777777" w:rsidR="005106D7" w:rsidRDefault="005106D7">
        <w:pPr>
          <w:pStyle w:val="Footer"/>
          <w:jc w:val="right"/>
        </w:pPr>
        <w:r>
          <w:fldChar w:fldCharType="begin"/>
        </w:r>
        <w:r>
          <w:instrText xml:space="preserve"> PAGE   \* MERGEFORMAT </w:instrText>
        </w:r>
        <w:r>
          <w:fldChar w:fldCharType="separate"/>
        </w:r>
        <w:r>
          <w:rPr>
            <w:noProof/>
          </w:rPr>
          <w:t>6</w:t>
        </w:r>
        <w:r>
          <w:rPr>
            <w:noProof/>
          </w:rPr>
          <w:fldChar w:fldCharType="end"/>
        </w:r>
      </w:p>
    </w:sdtContent>
  </w:sdt>
  <w:p w14:paraId="0486E0CC" w14:textId="77777777" w:rsidR="005106D7" w:rsidRDefault="005106D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63908428"/>
      <w:docPartObj>
        <w:docPartGallery w:val="Page Numbers (Bottom of Page)"/>
        <w:docPartUnique/>
      </w:docPartObj>
    </w:sdtPr>
    <w:sdtEndPr>
      <w:rPr>
        <w:noProof/>
      </w:rPr>
    </w:sdtEndPr>
    <w:sdtContent>
      <w:p w14:paraId="24D2BA86" w14:textId="45C6E2E1" w:rsidR="005106D7" w:rsidRDefault="005106D7" w:rsidP="002D6E55">
        <w:pPr>
          <w:pStyle w:val="Footer"/>
          <w:jc w:val="left"/>
        </w:pPr>
        <w:r>
          <w:fldChar w:fldCharType="begin"/>
        </w:r>
        <w:r>
          <w:instrText xml:space="preserve"> PAGE   \* MERGEFORMAT </w:instrText>
        </w:r>
        <w:r>
          <w:fldChar w:fldCharType="separate"/>
        </w:r>
        <w:r w:rsidR="00A22B97">
          <w:rPr>
            <w:noProof/>
          </w:rPr>
          <w:t>3</w:t>
        </w:r>
        <w:r>
          <w:rPr>
            <w:noProof/>
          </w:rPr>
          <w:fldChar w:fldCharType="end"/>
        </w:r>
      </w:p>
    </w:sdtContent>
  </w:sdt>
  <w:p w14:paraId="434A6878" w14:textId="77777777" w:rsidR="005106D7" w:rsidRDefault="005106D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0384799"/>
      <w:docPartObj>
        <w:docPartGallery w:val="Page Numbers (Bottom of Page)"/>
        <w:docPartUnique/>
      </w:docPartObj>
    </w:sdtPr>
    <w:sdtEndPr>
      <w:rPr>
        <w:noProof/>
      </w:rPr>
    </w:sdtEndPr>
    <w:sdtContent>
      <w:p w14:paraId="589E3D42" w14:textId="2458504C" w:rsidR="005106D7" w:rsidRDefault="005106D7">
        <w:pPr>
          <w:pStyle w:val="Footer"/>
        </w:pPr>
        <w:r>
          <w:fldChar w:fldCharType="begin"/>
        </w:r>
        <w:r>
          <w:instrText xml:space="preserve"> PAGE   \* MERGEFORMAT </w:instrText>
        </w:r>
        <w:r>
          <w:fldChar w:fldCharType="separate"/>
        </w:r>
        <w:r w:rsidR="00A22B97">
          <w:rPr>
            <w:noProof/>
          </w:rPr>
          <w:t>2</w:t>
        </w:r>
        <w:r>
          <w:rPr>
            <w:noProof/>
          </w:rPr>
          <w:fldChar w:fldCharType="end"/>
        </w:r>
      </w:p>
    </w:sdtContent>
  </w:sdt>
  <w:p w14:paraId="49A0F115" w14:textId="77777777" w:rsidR="005106D7" w:rsidRDefault="005106D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2454558"/>
      <w:docPartObj>
        <w:docPartGallery w:val="Page Numbers (Bottom of Page)"/>
        <w:docPartUnique/>
      </w:docPartObj>
    </w:sdtPr>
    <w:sdtEndPr>
      <w:rPr>
        <w:noProof/>
      </w:rPr>
    </w:sdtEndPr>
    <w:sdtContent>
      <w:p w14:paraId="6225DF65" w14:textId="25966AAE" w:rsidR="005106D7" w:rsidRDefault="005106D7">
        <w:pPr>
          <w:pStyle w:val="Footer"/>
        </w:pPr>
        <w:r>
          <w:fldChar w:fldCharType="begin"/>
        </w:r>
        <w:r>
          <w:instrText xml:space="preserve"> PAGE   \* MERGEFORMAT </w:instrText>
        </w:r>
        <w:r>
          <w:fldChar w:fldCharType="separate"/>
        </w:r>
        <w:r w:rsidR="00A22B97">
          <w:rPr>
            <w:noProof/>
          </w:rPr>
          <w:t>7</w:t>
        </w:r>
        <w:r>
          <w:rPr>
            <w:noProof/>
          </w:rPr>
          <w:fldChar w:fldCharType="end"/>
        </w:r>
      </w:p>
    </w:sdtContent>
  </w:sdt>
  <w:p w14:paraId="61F8151C" w14:textId="77777777" w:rsidR="005106D7" w:rsidRPr="00287EFB" w:rsidRDefault="005106D7" w:rsidP="002D6E55">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90821"/>
      <w:docPartObj>
        <w:docPartGallery w:val="Page Numbers (Bottom of Page)"/>
        <w:docPartUnique/>
      </w:docPartObj>
    </w:sdtPr>
    <w:sdtEndPr>
      <w:rPr>
        <w:noProof/>
      </w:rPr>
    </w:sdtEndPr>
    <w:sdtContent>
      <w:p w14:paraId="4D8DEF00" w14:textId="3F953545" w:rsidR="005106D7" w:rsidRDefault="005106D7">
        <w:pPr>
          <w:pStyle w:val="Footer"/>
        </w:pPr>
        <w:r>
          <w:fldChar w:fldCharType="begin"/>
        </w:r>
        <w:r>
          <w:instrText xml:space="preserve"> PAGE   \* MERGEFORMAT </w:instrText>
        </w:r>
        <w:r>
          <w:fldChar w:fldCharType="separate"/>
        </w:r>
        <w:r w:rsidR="00A22B97">
          <w:rPr>
            <w:noProof/>
          </w:rPr>
          <w:t>15</w:t>
        </w:r>
        <w:r>
          <w:rPr>
            <w:noProof/>
          </w:rPr>
          <w:fldChar w:fldCharType="end"/>
        </w:r>
      </w:p>
    </w:sdtContent>
  </w:sdt>
  <w:p w14:paraId="5916AAF7" w14:textId="77777777" w:rsidR="005106D7" w:rsidRPr="00287EFB" w:rsidRDefault="005106D7" w:rsidP="00C130D2">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2901128"/>
      <w:docPartObj>
        <w:docPartGallery w:val="Page Numbers (Bottom of Page)"/>
        <w:docPartUnique/>
      </w:docPartObj>
    </w:sdtPr>
    <w:sdtEndPr>
      <w:rPr>
        <w:noProof/>
      </w:rPr>
    </w:sdtEndPr>
    <w:sdtContent>
      <w:p w14:paraId="040CE301" w14:textId="4D2C490F" w:rsidR="005106D7" w:rsidRDefault="005106D7">
        <w:pPr>
          <w:pStyle w:val="Footer"/>
        </w:pPr>
        <w:r>
          <w:fldChar w:fldCharType="begin"/>
        </w:r>
        <w:r>
          <w:instrText xml:space="preserve"> PAGE   \* MERGEFORMAT </w:instrText>
        </w:r>
        <w:r>
          <w:fldChar w:fldCharType="separate"/>
        </w:r>
        <w:r w:rsidR="00A22B97">
          <w:rPr>
            <w:noProof/>
          </w:rPr>
          <w:t>21</w:t>
        </w:r>
        <w:r>
          <w:rPr>
            <w:noProof/>
          </w:rPr>
          <w:fldChar w:fldCharType="end"/>
        </w:r>
      </w:p>
    </w:sdtContent>
  </w:sdt>
  <w:p w14:paraId="7D6D5362" w14:textId="77777777" w:rsidR="005106D7" w:rsidRPr="00287EFB" w:rsidRDefault="005106D7" w:rsidP="00C130D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68862087"/>
      <w:docPartObj>
        <w:docPartGallery w:val="Page Numbers (Bottom of Page)"/>
        <w:docPartUnique/>
      </w:docPartObj>
    </w:sdtPr>
    <w:sdtEndPr>
      <w:rPr>
        <w:noProof/>
      </w:rPr>
    </w:sdtEndPr>
    <w:sdtContent>
      <w:p w14:paraId="0C6C3D80"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2F800D73" w14:textId="77777777" w:rsidR="005106D7" w:rsidRPr="00231623" w:rsidRDefault="005106D7" w:rsidP="00231623">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4654684"/>
      <w:docPartObj>
        <w:docPartGallery w:val="Page Numbers (Bottom of Page)"/>
        <w:docPartUnique/>
      </w:docPartObj>
    </w:sdtPr>
    <w:sdtEndPr>
      <w:rPr>
        <w:noProof/>
      </w:rPr>
    </w:sdtEndPr>
    <w:sdtContent>
      <w:p w14:paraId="7311638D" w14:textId="1DA97936" w:rsidR="005106D7" w:rsidRPr="001B7E15" w:rsidRDefault="005106D7" w:rsidP="00C130D2">
        <w:pPr>
          <w:pStyle w:val="Footer"/>
        </w:pPr>
        <w:r w:rsidRPr="001B7E15">
          <w:fldChar w:fldCharType="begin"/>
        </w:r>
        <w:r w:rsidRPr="001B7E15">
          <w:instrText xml:space="preserve"> PAGE   \* MERGEFORMAT </w:instrText>
        </w:r>
        <w:r w:rsidRPr="001B7E15">
          <w:fldChar w:fldCharType="separate"/>
        </w:r>
        <w:r w:rsidR="00A22B97">
          <w:rPr>
            <w:noProof/>
          </w:rPr>
          <w:t>27</w:t>
        </w:r>
        <w:r w:rsidRPr="001B7E15">
          <w:rPr>
            <w:noProof/>
          </w:rPr>
          <w:fldChar w:fldCharType="end"/>
        </w:r>
      </w:p>
    </w:sdtContent>
  </w:sdt>
  <w:p w14:paraId="7D25192C" w14:textId="77777777" w:rsidR="005106D7" w:rsidRPr="00725FF8" w:rsidRDefault="005106D7" w:rsidP="00C130D2">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1775734"/>
      <w:docPartObj>
        <w:docPartGallery w:val="Page Numbers (Bottom of Page)"/>
        <w:docPartUnique/>
      </w:docPartObj>
    </w:sdtPr>
    <w:sdtEndPr>
      <w:rPr>
        <w:noProof/>
      </w:rPr>
    </w:sdtEndPr>
    <w:sdtContent>
      <w:p w14:paraId="16FED2C0"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48E7DEA6" w14:textId="77777777" w:rsidR="005106D7" w:rsidRPr="00231623" w:rsidRDefault="005106D7" w:rsidP="00231623">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1641143"/>
      <w:docPartObj>
        <w:docPartGallery w:val="Page Numbers (Bottom of Page)"/>
        <w:docPartUnique/>
      </w:docPartObj>
    </w:sdtPr>
    <w:sdtEndPr>
      <w:rPr>
        <w:noProof/>
      </w:rPr>
    </w:sdtEndPr>
    <w:sdtContent>
      <w:p w14:paraId="21E00B66" w14:textId="77777777" w:rsidR="005106D7" w:rsidRPr="001B7E15" w:rsidRDefault="005106D7" w:rsidP="00C130D2">
        <w:pPr>
          <w:pStyle w:val="Footer"/>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2B2205F3" w14:textId="77777777" w:rsidR="005106D7" w:rsidRPr="00725FF8" w:rsidRDefault="005106D7" w:rsidP="00C130D2">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2888015"/>
      <w:docPartObj>
        <w:docPartGallery w:val="Page Numbers (Bottom of Page)"/>
        <w:docPartUnique/>
      </w:docPartObj>
    </w:sdtPr>
    <w:sdtEndPr>
      <w:rPr>
        <w:noProof/>
      </w:rPr>
    </w:sdtEndPr>
    <w:sdtContent>
      <w:p w14:paraId="5FB25CE1"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58A21A80" w14:textId="77777777" w:rsidR="005106D7" w:rsidRPr="00231623" w:rsidRDefault="005106D7" w:rsidP="00C130D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7367517"/>
      <w:docPartObj>
        <w:docPartGallery w:val="Page Numbers (Bottom of Page)"/>
        <w:docPartUnique/>
      </w:docPartObj>
    </w:sdtPr>
    <w:sdtEndPr>
      <w:rPr>
        <w:noProof/>
      </w:rPr>
    </w:sdtEndPr>
    <w:sdtContent>
      <w:p w14:paraId="60D293DF" w14:textId="77777777" w:rsidR="005106D7" w:rsidRDefault="005106D7" w:rsidP="00C130D2">
        <w:pPr>
          <w:pStyle w:val="Footer"/>
          <w:rPr>
            <w:noProof/>
          </w:rPr>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097FBDC3" w14:textId="77777777" w:rsidR="005106D7" w:rsidRPr="00956C60" w:rsidRDefault="005106D7" w:rsidP="00956C60">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5130734"/>
      <w:docPartObj>
        <w:docPartGallery w:val="Page Numbers (Bottom of Page)"/>
        <w:docPartUnique/>
      </w:docPartObj>
    </w:sdtPr>
    <w:sdtEndPr>
      <w:rPr>
        <w:noProof/>
      </w:rPr>
    </w:sdtEndPr>
    <w:sdtContent>
      <w:p w14:paraId="698C32C8"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36</w:t>
        </w:r>
        <w:r w:rsidRPr="001B7E15">
          <w:rPr>
            <w:noProof/>
          </w:rPr>
          <w:fldChar w:fldCharType="end"/>
        </w:r>
      </w:p>
    </w:sdtContent>
  </w:sdt>
  <w:p w14:paraId="42851FF0" w14:textId="77777777" w:rsidR="005106D7" w:rsidRPr="00231623" w:rsidRDefault="005106D7" w:rsidP="00231623">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0930438"/>
      <w:docPartObj>
        <w:docPartGallery w:val="Page Numbers (Bottom of Page)"/>
        <w:docPartUnique/>
      </w:docPartObj>
    </w:sdtPr>
    <w:sdtEndPr>
      <w:rPr>
        <w:noProof/>
      </w:rPr>
    </w:sdtEndPr>
    <w:sdtContent>
      <w:p w14:paraId="5C8335DF" w14:textId="3A45BC25" w:rsidR="005106D7" w:rsidRPr="001B7E15" w:rsidRDefault="005106D7" w:rsidP="00C130D2">
        <w:pPr>
          <w:pStyle w:val="Footer"/>
        </w:pPr>
        <w:r w:rsidRPr="001B7E15">
          <w:fldChar w:fldCharType="begin"/>
        </w:r>
        <w:r w:rsidRPr="001B7E15">
          <w:instrText xml:space="preserve"> PAGE   \* MERGEFORMAT </w:instrText>
        </w:r>
        <w:r w:rsidRPr="001B7E15">
          <w:fldChar w:fldCharType="separate"/>
        </w:r>
        <w:r w:rsidR="00A22B97">
          <w:rPr>
            <w:noProof/>
          </w:rPr>
          <w:t>29</w:t>
        </w:r>
        <w:r w:rsidRPr="001B7E15">
          <w:rPr>
            <w:noProof/>
          </w:rPr>
          <w:fldChar w:fldCharType="end"/>
        </w:r>
      </w:p>
    </w:sdtContent>
  </w:sdt>
  <w:p w14:paraId="30B691FE" w14:textId="77777777" w:rsidR="005106D7" w:rsidRPr="00725FF8" w:rsidRDefault="005106D7" w:rsidP="00C130D2">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1109205"/>
      <w:docPartObj>
        <w:docPartGallery w:val="Page Numbers (Bottom of Page)"/>
        <w:docPartUnique/>
      </w:docPartObj>
    </w:sdtPr>
    <w:sdtEndPr>
      <w:rPr>
        <w:noProof/>
      </w:rPr>
    </w:sdtEndPr>
    <w:sdtContent>
      <w:p w14:paraId="21CC88FA"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3EAFB5E3" w14:textId="77777777" w:rsidR="005106D7" w:rsidRPr="00231623" w:rsidRDefault="005106D7" w:rsidP="00231623">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5561542"/>
      <w:docPartObj>
        <w:docPartGallery w:val="Page Numbers (Bottom of Page)"/>
        <w:docPartUnique/>
      </w:docPartObj>
    </w:sdtPr>
    <w:sdtEndPr>
      <w:rPr>
        <w:noProof/>
      </w:rPr>
    </w:sdtEndPr>
    <w:sdtContent>
      <w:p w14:paraId="6C0B009C" w14:textId="316F8C65" w:rsidR="005106D7" w:rsidRPr="001B7E15" w:rsidRDefault="005106D7" w:rsidP="00C130D2">
        <w:pPr>
          <w:pStyle w:val="Footer"/>
        </w:pPr>
        <w:r w:rsidRPr="001B7E15">
          <w:fldChar w:fldCharType="begin"/>
        </w:r>
        <w:r w:rsidRPr="001B7E15">
          <w:instrText xml:space="preserve"> PAGE   \* MERGEFORMAT </w:instrText>
        </w:r>
        <w:r w:rsidRPr="001B7E15">
          <w:fldChar w:fldCharType="separate"/>
        </w:r>
        <w:r w:rsidR="00A22B97">
          <w:rPr>
            <w:noProof/>
          </w:rPr>
          <w:t>35</w:t>
        </w:r>
        <w:r w:rsidRPr="001B7E15">
          <w:rPr>
            <w:noProof/>
          </w:rPr>
          <w:fldChar w:fldCharType="end"/>
        </w:r>
      </w:p>
    </w:sdtContent>
  </w:sdt>
  <w:p w14:paraId="7D234765" w14:textId="77777777" w:rsidR="005106D7" w:rsidRPr="00725FF8" w:rsidRDefault="005106D7" w:rsidP="00C130D2">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008135"/>
      <w:docPartObj>
        <w:docPartGallery w:val="Page Numbers (Bottom of Page)"/>
        <w:docPartUnique/>
      </w:docPartObj>
    </w:sdtPr>
    <w:sdtEndPr>
      <w:rPr>
        <w:noProof/>
      </w:rPr>
    </w:sdtEndPr>
    <w:sdtContent>
      <w:p w14:paraId="3607A2BC"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8</w:t>
        </w:r>
        <w:r w:rsidRPr="001B7E15">
          <w:rPr>
            <w:noProof/>
          </w:rPr>
          <w:fldChar w:fldCharType="end"/>
        </w:r>
      </w:p>
    </w:sdtContent>
  </w:sdt>
  <w:p w14:paraId="5DFAD80B" w14:textId="77777777" w:rsidR="005106D7" w:rsidRPr="00231623" w:rsidRDefault="005106D7" w:rsidP="00231623">
    <w:pPr>
      <w:pStyle w:val="Footer"/>
    </w:pPr>
  </w:p>
  <w:p w14:paraId="7B3EFE5A" w14:textId="77777777" w:rsidR="005106D7" w:rsidRDefault="005106D7"/>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73308284"/>
      <w:docPartObj>
        <w:docPartGallery w:val="Page Numbers (Bottom of Page)"/>
        <w:docPartUnique/>
      </w:docPartObj>
    </w:sdtPr>
    <w:sdtEndPr>
      <w:rPr>
        <w:noProof/>
      </w:rPr>
    </w:sdtEndPr>
    <w:sdtContent>
      <w:p w14:paraId="27D61E76" w14:textId="60851F73" w:rsidR="005106D7" w:rsidRPr="001B7E15" w:rsidRDefault="005106D7" w:rsidP="00C130D2">
        <w:pPr>
          <w:pStyle w:val="Footer"/>
        </w:pPr>
        <w:r w:rsidRPr="001B7E15">
          <w:fldChar w:fldCharType="begin"/>
        </w:r>
        <w:r w:rsidRPr="001B7E15">
          <w:instrText xml:space="preserve"> PAGE   \* MERGEFORMAT </w:instrText>
        </w:r>
        <w:r w:rsidRPr="001B7E15">
          <w:fldChar w:fldCharType="separate"/>
        </w:r>
        <w:r>
          <w:rPr>
            <w:noProof/>
          </w:rPr>
          <w:t>36</w:t>
        </w:r>
        <w:r w:rsidRPr="001B7E15">
          <w:rPr>
            <w:noProof/>
          </w:rPr>
          <w:fldChar w:fldCharType="end"/>
        </w:r>
      </w:p>
    </w:sdtContent>
  </w:sdt>
  <w:p w14:paraId="5C5B644A" w14:textId="77777777" w:rsidR="005106D7" w:rsidRPr="00725FF8" w:rsidRDefault="005106D7" w:rsidP="00C130D2">
    <w:pPr>
      <w:pStyle w:val="Footer"/>
    </w:pPr>
  </w:p>
  <w:p w14:paraId="39235967" w14:textId="77777777" w:rsidR="005106D7" w:rsidRDefault="005106D7"/>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05564734"/>
      <w:docPartObj>
        <w:docPartGallery w:val="Page Numbers (Bottom of Page)"/>
        <w:docPartUnique/>
      </w:docPartObj>
    </w:sdtPr>
    <w:sdtEndPr>
      <w:rPr>
        <w:noProof/>
      </w:rPr>
    </w:sdtEndPr>
    <w:sdtContent>
      <w:p w14:paraId="62C70812"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088D9247" w14:textId="77777777" w:rsidR="005106D7" w:rsidRPr="00231623" w:rsidRDefault="005106D7" w:rsidP="00C130D2">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0074376"/>
      <w:docPartObj>
        <w:docPartGallery w:val="Page Numbers (Bottom of Page)"/>
        <w:docPartUnique/>
      </w:docPartObj>
    </w:sdtPr>
    <w:sdtEndPr>
      <w:rPr>
        <w:noProof/>
      </w:rPr>
    </w:sdtEndPr>
    <w:sdtContent>
      <w:p w14:paraId="14EE9469" w14:textId="5B814493" w:rsidR="005106D7" w:rsidRDefault="005106D7" w:rsidP="00C130D2">
        <w:pPr>
          <w:pStyle w:val="Footer"/>
          <w:rPr>
            <w:noProof/>
          </w:rPr>
        </w:pPr>
        <w:r w:rsidRPr="001B7E15">
          <w:fldChar w:fldCharType="begin"/>
        </w:r>
        <w:r w:rsidRPr="001B7E15">
          <w:instrText xml:space="preserve"> PAGE   \* MERGEFORMAT </w:instrText>
        </w:r>
        <w:r w:rsidRPr="001B7E15">
          <w:fldChar w:fldCharType="separate"/>
        </w:r>
        <w:r>
          <w:rPr>
            <w:noProof/>
          </w:rPr>
          <w:t>36</w:t>
        </w:r>
        <w:r w:rsidRPr="001B7E15">
          <w:rPr>
            <w:noProof/>
          </w:rPr>
          <w:fldChar w:fldCharType="end"/>
        </w:r>
      </w:p>
    </w:sdtContent>
  </w:sdt>
  <w:p w14:paraId="1FC04A67" w14:textId="77777777" w:rsidR="005106D7" w:rsidRPr="00956C60" w:rsidRDefault="005106D7" w:rsidP="00956C60">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5217734"/>
      <w:docPartObj>
        <w:docPartGallery w:val="Page Numbers (Bottom of Page)"/>
        <w:docPartUnique/>
      </w:docPartObj>
    </w:sdtPr>
    <w:sdtEndPr>
      <w:rPr>
        <w:noProof/>
      </w:rPr>
    </w:sdtEndPr>
    <w:sdtContent>
      <w:p w14:paraId="7DDDA6C4"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3B53BA98" w14:textId="77777777" w:rsidR="005106D7" w:rsidRPr="00231623" w:rsidRDefault="005106D7" w:rsidP="00C130D2">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22816122"/>
      <w:docPartObj>
        <w:docPartGallery w:val="Page Numbers (Bottom of Page)"/>
        <w:docPartUnique/>
      </w:docPartObj>
    </w:sdtPr>
    <w:sdtEndPr>
      <w:rPr>
        <w:noProof/>
      </w:rPr>
    </w:sdtEndPr>
    <w:sdtContent>
      <w:p w14:paraId="6A912828" w14:textId="54CA85B2" w:rsidR="005106D7" w:rsidRDefault="005106D7" w:rsidP="00C130D2">
        <w:pPr>
          <w:pStyle w:val="Footer"/>
          <w:rPr>
            <w:noProof/>
          </w:rPr>
        </w:pPr>
        <w:r w:rsidRPr="001B7E15">
          <w:fldChar w:fldCharType="begin"/>
        </w:r>
        <w:r w:rsidRPr="001B7E15">
          <w:instrText xml:space="preserve"> PAGE   \* MERGEFORMAT </w:instrText>
        </w:r>
        <w:r w:rsidRPr="001B7E15">
          <w:fldChar w:fldCharType="separate"/>
        </w:r>
        <w:r w:rsidR="00A22B97">
          <w:rPr>
            <w:noProof/>
          </w:rPr>
          <w:t>37</w:t>
        </w:r>
        <w:r w:rsidRPr="001B7E15">
          <w:rPr>
            <w:noProof/>
          </w:rPr>
          <w:fldChar w:fldCharType="end"/>
        </w:r>
      </w:p>
    </w:sdtContent>
  </w:sdt>
  <w:p w14:paraId="5DBE6C35" w14:textId="77777777" w:rsidR="005106D7" w:rsidRPr="00956C60" w:rsidRDefault="005106D7" w:rsidP="00956C60">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8377574"/>
      <w:docPartObj>
        <w:docPartGallery w:val="Page Numbers (Bottom of Page)"/>
        <w:docPartUnique/>
      </w:docPartObj>
    </w:sdtPr>
    <w:sdtEndPr>
      <w:rPr>
        <w:noProof/>
      </w:rPr>
    </w:sdtEndPr>
    <w:sdtContent>
      <w:p w14:paraId="29FC7211"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54B0B6EA" w14:textId="77777777" w:rsidR="005106D7" w:rsidRPr="00231623" w:rsidRDefault="005106D7" w:rsidP="00C130D2">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26603696"/>
      <w:docPartObj>
        <w:docPartGallery w:val="Page Numbers (Bottom of Page)"/>
        <w:docPartUnique/>
      </w:docPartObj>
    </w:sdtPr>
    <w:sdtEndPr>
      <w:rPr>
        <w:noProof/>
      </w:rPr>
    </w:sdtEndPr>
    <w:sdtContent>
      <w:p w14:paraId="571242A4" w14:textId="1CAE2D92" w:rsidR="005106D7" w:rsidRDefault="005106D7" w:rsidP="00C130D2">
        <w:pPr>
          <w:pStyle w:val="Footer"/>
          <w:rPr>
            <w:noProof/>
          </w:rPr>
        </w:pPr>
        <w:r w:rsidRPr="001B7E15">
          <w:fldChar w:fldCharType="begin"/>
        </w:r>
        <w:r w:rsidRPr="001B7E15">
          <w:instrText xml:space="preserve"> PAGE   \* MERGEFORMAT </w:instrText>
        </w:r>
        <w:r w:rsidRPr="001B7E15">
          <w:fldChar w:fldCharType="separate"/>
        </w:r>
        <w:r>
          <w:rPr>
            <w:noProof/>
          </w:rPr>
          <w:t>37</w:t>
        </w:r>
        <w:r w:rsidRPr="001B7E15">
          <w:rPr>
            <w:noProof/>
          </w:rPr>
          <w:fldChar w:fldCharType="end"/>
        </w:r>
      </w:p>
    </w:sdtContent>
  </w:sdt>
  <w:p w14:paraId="729377C0" w14:textId="77777777" w:rsidR="005106D7" w:rsidRPr="00956C60" w:rsidRDefault="005106D7" w:rsidP="00956C60">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1220299"/>
      <w:docPartObj>
        <w:docPartGallery w:val="Page Numbers (Bottom of Page)"/>
        <w:docPartUnique/>
      </w:docPartObj>
    </w:sdtPr>
    <w:sdtEndPr>
      <w:rPr>
        <w:noProof/>
      </w:rPr>
    </w:sdtEndPr>
    <w:sdtContent>
      <w:p w14:paraId="044FC6CC"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038A3B4F" w14:textId="77777777" w:rsidR="005106D7" w:rsidRPr="00231623" w:rsidRDefault="005106D7" w:rsidP="00C130D2">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24446140"/>
      <w:docPartObj>
        <w:docPartGallery w:val="Page Numbers (Bottom of Page)"/>
        <w:docPartUnique/>
      </w:docPartObj>
    </w:sdtPr>
    <w:sdtEndPr>
      <w:rPr>
        <w:noProof/>
      </w:rPr>
    </w:sdtEndPr>
    <w:sdtContent>
      <w:p w14:paraId="7064748A" w14:textId="77777777" w:rsidR="005106D7" w:rsidRDefault="005106D7" w:rsidP="00C130D2">
        <w:pPr>
          <w:pStyle w:val="Footer"/>
          <w:rPr>
            <w:noProof/>
          </w:rPr>
        </w:pPr>
        <w:r w:rsidRPr="001B7E15">
          <w:fldChar w:fldCharType="begin"/>
        </w:r>
        <w:r w:rsidRPr="001B7E15">
          <w:instrText xml:space="preserve"> PAGE   \* MERGEFORMAT </w:instrText>
        </w:r>
        <w:r w:rsidRPr="001B7E15">
          <w:fldChar w:fldCharType="separate"/>
        </w:r>
        <w:r>
          <w:rPr>
            <w:noProof/>
          </w:rPr>
          <w:t>38</w:t>
        </w:r>
        <w:r w:rsidRPr="001B7E15">
          <w:rPr>
            <w:noProof/>
          </w:rPr>
          <w:fldChar w:fldCharType="end"/>
        </w:r>
      </w:p>
    </w:sdtContent>
  </w:sdt>
  <w:p w14:paraId="58D7CA04" w14:textId="77777777" w:rsidR="005106D7" w:rsidRPr="00956C60" w:rsidRDefault="005106D7" w:rsidP="00956C60">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7659858"/>
      <w:docPartObj>
        <w:docPartGallery w:val="Page Numbers (Bottom of Page)"/>
        <w:docPartUnique/>
      </w:docPartObj>
    </w:sdtPr>
    <w:sdtEndPr>
      <w:rPr>
        <w:noProof/>
      </w:rPr>
    </w:sdtEndPr>
    <w:sdtContent>
      <w:p w14:paraId="072A3538"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79486AB9" w14:textId="77777777" w:rsidR="005106D7" w:rsidRPr="00231623" w:rsidRDefault="005106D7" w:rsidP="00C130D2">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5535924"/>
      <w:docPartObj>
        <w:docPartGallery w:val="Page Numbers (Bottom of Page)"/>
        <w:docPartUnique/>
      </w:docPartObj>
    </w:sdtPr>
    <w:sdtEndPr>
      <w:rPr>
        <w:noProof/>
      </w:rPr>
    </w:sdtEndPr>
    <w:sdtContent>
      <w:p w14:paraId="4BA02FB3" w14:textId="5E148B7A" w:rsidR="005106D7" w:rsidRDefault="005106D7" w:rsidP="00C130D2">
        <w:pPr>
          <w:pStyle w:val="Footer"/>
          <w:rPr>
            <w:noProof/>
          </w:rPr>
        </w:pPr>
        <w:r w:rsidRPr="001B7E15">
          <w:fldChar w:fldCharType="begin"/>
        </w:r>
        <w:r w:rsidRPr="001B7E15">
          <w:instrText xml:space="preserve"> PAGE   \* MERGEFORMAT </w:instrText>
        </w:r>
        <w:r w:rsidRPr="001B7E15">
          <w:fldChar w:fldCharType="separate"/>
        </w:r>
        <w:r w:rsidR="00A22B97">
          <w:rPr>
            <w:noProof/>
          </w:rPr>
          <w:t>42</w:t>
        </w:r>
        <w:r w:rsidRPr="001B7E15">
          <w:rPr>
            <w:noProof/>
          </w:rPr>
          <w:fldChar w:fldCharType="end"/>
        </w:r>
      </w:p>
    </w:sdtContent>
  </w:sdt>
  <w:p w14:paraId="5B52C808" w14:textId="77777777" w:rsidR="005106D7" w:rsidRPr="00956C60" w:rsidRDefault="005106D7" w:rsidP="00956C60">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6434843"/>
      <w:docPartObj>
        <w:docPartGallery w:val="Page Numbers (Bottom of Page)"/>
        <w:docPartUnique/>
      </w:docPartObj>
    </w:sdtPr>
    <w:sdtEndPr>
      <w:rPr>
        <w:noProof/>
      </w:rPr>
    </w:sdtEndPr>
    <w:sdtContent>
      <w:p w14:paraId="484D1A54"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50F7F5C3" w14:textId="77777777" w:rsidR="005106D7" w:rsidRPr="00231623" w:rsidRDefault="005106D7" w:rsidP="00C130D2">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3149981"/>
      <w:docPartObj>
        <w:docPartGallery w:val="Page Numbers (Bottom of Page)"/>
        <w:docPartUnique/>
      </w:docPartObj>
    </w:sdtPr>
    <w:sdtEndPr>
      <w:rPr>
        <w:noProof/>
      </w:rPr>
    </w:sdtEndPr>
    <w:sdtContent>
      <w:p w14:paraId="24B49702" w14:textId="62B5F97F" w:rsidR="005106D7" w:rsidRDefault="005106D7" w:rsidP="00C130D2">
        <w:pPr>
          <w:pStyle w:val="Footer"/>
          <w:rPr>
            <w:noProof/>
          </w:rPr>
        </w:pPr>
        <w:r w:rsidRPr="001B7E15">
          <w:fldChar w:fldCharType="begin"/>
        </w:r>
        <w:r w:rsidRPr="001B7E15">
          <w:instrText xml:space="preserve"> PAGE   \* MERGEFORMAT </w:instrText>
        </w:r>
        <w:r w:rsidRPr="001B7E15">
          <w:fldChar w:fldCharType="separate"/>
        </w:r>
        <w:r w:rsidR="00A22B97">
          <w:rPr>
            <w:noProof/>
          </w:rPr>
          <w:t>44</w:t>
        </w:r>
        <w:r w:rsidRPr="001B7E15">
          <w:rPr>
            <w:noProof/>
          </w:rPr>
          <w:fldChar w:fldCharType="end"/>
        </w:r>
      </w:p>
    </w:sdtContent>
  </w:sdt>
  <w:p w14:paraId="3F11E3E5" w14:textId="77777777" w:rsidR="005106D7" w:rsidRPr="00956C60" w:rsidRDefault="005106D7" w:rsidP="00956C60">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9490390"/>
      <w:docPartObj>
        <w:docPartGallery w:val="Page Numbers (Bottom of Page)"/>
        <w:docPartUnique/>
      </w:docPartObj>
    </w:sdtPr>
    <w:sdtEndPr>
      <w:rPr>
        <w:noProof/>
      </w:rPr>
    </w:sdtEndPr>
    <w:sdtContent>
      <w:p w14:paraId="48D208FD" w14:textId="54974753" w:rsidR="005106D7" w:rsidRDefault="005106D7">
        <w:pPr>
          <w:pStyle w:val="Footer"/>
        </w:pPr>
        <w:r>
          <w:fldChar w:fldCharType="begin"/>
        </w:r>
        <w:r>
          <w:instrText xml:space="preserve"> PAGE   \* MERGEFORMAT </w:instrText>
        </w:r>
        <w:r>
          <w:fldChar w:fldCharType="separate"/>
        </w:r>
        <w:r w:rsidR="00A22B97">
          <w:rPr>
            <w:noProof/>
          </w:rPr>
          <w:t>45</w:t>
        </w:r>
        <w:r>
          <w:rPr>
            <w:noProof/>
          </w:rPr>
          <w:fldChar w:fldCharType="end"/>
        </w:r>
      </w:p>
    </w:sdtContent>
  </w:sdt>
  <w:p w14:paraId="3CAFB378" w14:textId="77777777" w:rsidR="005106D7" w:rsidRDefault="005106D7">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3391148"/>
      <w:docPartObj>
        <w:docPartGallery w:val="Page Numbers (Bottom of Page)"/>
        <w:docPartUnique/>
      </w:docPartObj>
    </w:sdtPr>
    <w:sdtEndPr>
      <w:rPr>
        <w:noProof/>
      </w:rPr>
    </w:sdtEndPr>
    <w:sdtContent>
      <w:p w14:paraId="5C906D87" w14:textId="0A35DFA0" w:rsidR="005106D7" w:rsidRDefault="005106D7">
        <w:pPr>
          <w:pStyle w:val="Footer"/>
        </w:pPr>
        <w:r>
          <w:fldChar w:fldCharType="begin"/>
        </w:r>
        <w:r>
          <w:instrText xml:space="preserve"> PAGE   \* MERGEFORMAT </w:instrText>
        </w:r>
        <w:r>
          <w:fldChar w:fldCharType="separate"/>
        </w:r>
        <w:r>
          <w:rPr>
            <w:noProof/>
          </w:rPr>
          <w:t>72</w:t>
        </w:r>
        <w:r>
          <w:rPr>
            <w:noProof/>
          </w:rPr>
          <w:fldChar w:fldCharType="end"/>
        </w:r>
      </w:p>
    </w:sdtContent>
  </w:sdt>
  <w:p w14:paraId="2BC6C0FE" w14:textId="77777777" w:rsidR="005106D7" w:rsidRDefault="005106D7">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0375241"/>
      <w:docPartObj>
        <w:docPartGallery w:val="Page Numbers (Bottom of Page)"/>
        <w:docPartUnique/>
      </w:docPartObj>
    </w:sdtPr>
    <w:sdtEndPr>
      <w:rPr>
        <w:noProof/>
      </w:rPr>
    </w:sdtEndPr>
    <w:sdtContent>
      <w:p w14:paraId="44F4D04D"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12</w:t>
        </w:r>
        <w:r w:rsidRPr="001B7E15">
          <w:rPr>
            <w:noProof/>
          </w:rPr>
          <w:fldChar w:fldCharType="end"/>
        </w:r>
      </w:p>
    </w:sdtContent>
  </w:sdt>
  <w:p w14:paraId="7EE804AB" w14:textId="77777777" w:rsidR="005106D7" w:rsidRPr="00231623" w:rsidRDefault="005106D7" w:rsidP="00C130D2">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4761709"/>
      <w:docPartObj>
        <w:docPartGallery w:val="Page Numbers (Bottom of Page)"/>
        <w:docPartUnique/>
      </w:docPartObj>
    </w:sdtPr>
    <w:sdtEndPr>
      <w:rPr>
        <w:noProof/>
      </w:rPr>
    </w:sdtEndPr>
    <w:sdtContent>
      <w:p w14:paraId="1D069CAA" w14:textId="12FB835E" w:rsidR="005106D7" w:rsidRDefault="005106D7" w:rsidP="00C130D2">
        <w:pPr>
          <w:pStyle w:val="Footer"/>
          <w:rPr>
            <w:noProof/>
          </w:rPr>
        </w:pPr>
        <w:r w:rsidRPr="001B7E15">
          <w:fldChar w:fldCharType="begin"/>
        </w:r>
        <w:r w:rsidRPr="001B7E15">
          <w:instrText xml:space="preserve"> PAGE   \* MERGEFORMAT </w:instrText>
        </w:r>
        <w:r w:rsidRPr="001B7E15">
          <w:fldChar w:fldCharType="separate"/>
        </w:r>
        <w:r w:rsidR="00A22B97">
          <w:rPr>
            <w:noProof/>
          </w:rPr>
          <w:t>50</w:t>
        </w:r>
        <w:r w:rsidRPr="001B7E15">
          <w:rPr>
            <w:noProof/>
          </w:rPr>
          <w:fldChar w:fldCharType="end"/>
        </w:r>
      </w:p>
    </w:sdtContent>
  </w:sdt>
  <w:p w14:paraId="21B4DC28" w14:textId="77777777" w:rsidR="005106D7" w:rsidRPr="00956C60" w:rsidRDefault="005106D7" w:rsidP="00956C60">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3994988"/>
      <w:docPartObj>
        <w:docPartGallery w:val="Page Numbers (Bottom of Page)"/>
        <w:docPartUnique/>
      </w:docPartObj>
    </w:sdtPr>
    <w:sdtEndPr>
      <w:rPr>
        <w:noProof/>
      </w:rPr>
    </w:sdtEndPr>
    <w:sdtContent>
      <w:p w14:paraId="3197849F" w14:textId="77777777" w:rsidR="005106D7" w:rsidRPr="001B7E15" w:rsidRDefault="005106D7" w:rsidP="00B349CD">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1CC78B46" w14:textId="77777777" w:rsidR="005106D7" w:rsidRPr="00231623" w:rsidRDefault="005106D7" w:rsidP="00B349CD">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6025316"/>
      <w:docPartObj>
        <w:docPartGallery w:val="Page Numbers (Bottom of Page)"/>
        <w:docPartUnique/>
      </w:docPartObj>
    </w:sdtPr>
    <w:sdtEndPr>
      <w:rPr>
        <w:noProof/>
      </w:rPr>
    </w:sdtEndPr>
    <w:sdtContent>
      <w:p w14:paraId="06CFDD60" w14:textId="38F1AB33" w:rsidR="005106D7" w:rsidRDefault="005106D7" w:rsidP="00B349CD">
        <w:pPr>
          <w:pStyle w:val="Footer"/>
          <w:rPr>
            <w:noProof/>
          </w:rPr>
        </w:pPr>
        <w:r w:rsidRPr="001B7E15">
          <w:fldChar w:fldCharType="begin"/>
        </w:r>
        <w:r w:rsidRPr="001B7E15">
          <w:instrText xml:space="preserve"> PAGE   \* MERGEFORMAT </w:instrText>
        </w:r>
        <w:r w:rsidRPr="001B7E15">
          <w:fldChar w:fldCharType="separate"/>
        </w:r>
        <w:r w:rsidR="00A22B97">
          <w:rPr>
            <w:noProof/>
          </w:rPr>
          <w:t>58</w:t>
        </w:r>
        <w:r w:rsidRPr="001B7E15">
          <w:rPr>
            <w:noProof/>
          </w:rPr>
          <w:fldChar w:fldCharType="end"/>
        </w:r>
      </w:p>
    </w:sdtContent>
  </w:sdt>
  <w:p w14:paraId="6F6C572E" w14:textId="77777777" w:rsidR="005106D7" w:rsidRPr="00956C60" w:rsidRDefault="005106D7" w:rsidP="00B349CD">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976104"/>
      <w:docPartObj>
        <w:docPartGallery w:val="Page Numbers (Bottom of Page)"/>
        <w:docPartUnique/>
      </w:docPartObj>
    </w:sdtPr>
    <w:sdtEndPr>
      <w:rPr>
        <w:noProof/>
      </w:rPr>
    </w:sdtEndPr>
    <w:sdtContent>
      <w:p w14:paraId="58FA6827" w14:textId="77777777" w:rsidR="005106D7" w:rsidRPr="001B7E15" w:rsidRDefault="005106D7" w:rsidP="00B349CD">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197A742A" w14:textId="77777777" w:rsidR="005106D7" w:rsidRPr="00231623" w:rsidRDefault="005106D7" w:rsidP="00B349CD">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8354520"/>
      <w:docPartObj>
        <w:docPartGallery w:val="Page Numbers (Bottom of Page)"/>
        <w:docPartUnique/>
      </w:docPartObj>
    </w:sdtPr>
    <w:sdtEndPr>
      <w:rPr>
        <w:noProof/>
      </w:rPr>
    </w:sdtEndPr>
    <w:sdtContent>
      <w:p w14:paraId="3B1B8EF9" w14:textId="4E2D89B5" w:rsidR="005106D7" w:rsidRDefault="005106D7" w:rsidP="00B349CD">
        <w:pPr>
          <w:pStyle w:val="Footer"/>
          <w:rPr>
            <w:noProof/>
          </w:rPr>
        </w:pPr>
        <w:r w:rsidRPr="001B7E15">
          <w:fldChar w:fldCharType="begin"/>
        </w:r>
        <w:r w:rsidRPr="001B7E15">
          <w:instrText xml:space="preserve"> PAGE   \* MERGEFORMAT </w:instrText>
        </w:r>
        <w:r w:rsidRPr="001B7E15">
          <w:fldChar w:fldCharType="separate"/>
        </w:r>
        <w:r w:rsidR="00A22B97">
          <w:rPr>
            <w:noProof/>
          </w:rPr>
          <w:t>68</w:t>
        </w:r>
        <w:r w:rsidRPr="001B7E15">
          <w:rPr>
            <w:noProof/>
          </w:rPr>
          <w:fldChar w:fldCharType="end"/>
        </w:r>
      </w:p>
    </w:sdtContent>
  </w:sdt>
  <w:p w14:paraId="2B48BDD3" w14:textId="77777777" w:rsidR="005106D7" w:rsidRPr="00956C60" w:rsidRDefault="005106D7" w:rsidP="00B349CD">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0594641"/>
      <w:docPartObj>
        <w:docPartGallery w:val="Page Numbers (Bottom of Page)"/>
        <w:docPartUnique/>
      </w:docPartObj>
    </w:sdtPr>
    <w:sdtEndPr>
      <w:rPr>
        <w:noProof/>
      </w:rPr>
    </w:sdtEndPr>
    <w:sdtContent>
      <w:p w14:paraId="681AFA01" w14:textId="77777777" w:rsidR="005106D7" w:rsidRPr="001B7E15" w:rsidRDefault="005106D7" w:rsidP="000D3688">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6DF5F3EB" w14:textId="77777777" w:rsidR="005106D7" w:rsidRPr="00231623" w:rsidRDefault="005106D7" w:rsidP="000D3688">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1081999"/>
      <w:docPartObj>
        <w:docPartGallery w:val="Page Numbers (Bottom of Page)"/>
        <w:docPartUnique/>
      </w:docPartObj>
    </w:sdtPr>
    <w:sdtEndPr>
      <w:rPr>
        <w:noProof/>
      </w:rPr>
    </w:sdtEndPr>
    <w:sdtContent>
      <w:p w14:paraId="58991E80" w14:textId="0F6BF608" w:rsidR="005106D7" w:rsidRDefault="005106D7" w:rsidP="000D3688">
        <w:pPr>
          <w:pStyle w:val="Footer"/>
          <w:rPr>
            <w:noProof/>
          </w:rPr>
        </w:pPr>
        <w:r w:rsidRPr="001B7E15">
          <w:fldChar w:fldCharType="begin"/>
        </w:r>
        <w:r w:rsidRPr="001B7E15">
          <w:instrText xml:space="preserve"> PAGE   \* MERGEFORMAT </w:instrText>
        </w:r>
        <w:r w:rsidRPr="001B7E15">
          <w:fldChar w:fldCharType="separate"/>
        </w:r>
        <w:r w:rsidR="00A22B97">
          <w:rPr>
            <w:noProof/>
          </w:rPr>
          <w:t>71</w:t>
        </w:r>
        <w:r w:rsidRPr="001B7E15">
          <w:rPr>
            <w:noProof/>
          </w:rPr>
          <w:fldChar w:fldCharType="end"/>
        </w:r>
      </w:p>
    </w:sdtContent>
  </w:sdt>
  <w:p w14:paraId="0533F1DD" w14:textId="77777777" w:rsidR="005106D7" w:rsidRPr="00956C60" w:rsidRDefault="005106D7" w:rsidP="000D3688">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0377238"/>
      <w:docPartObj>
        <w:docPartGallery w:val="Page Numbers (Bottom of Page)"/>
        <w:docPartUnique/>
      </w:docPartObj>
    </w:sdtPr>
    <w:sdtEndPr>
      <w:rPr>
        <w:noProof/>
      </w:rPr>
    </w:sdtEndPr>
    <w:sdtContent>
      <w:p w14:paraId="2B3225E6" w14:textId="77777777" w:rsidR="005106D7" w:rsidRPr="001B7E15"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3DE4ABB1" w14:textId="77777777" w:rsidR="005106D7" w:rsidRPr="00231623" w:rsidRDefault="005106D7" w:rsidP="00231623">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9369222"/>
      <w:docPartObj>
        <w:docPartGallery w:val="Page Numbers (Bottom of Page)"/>
        <w:docPartUnique/>
      </w:docPartObj>
    </w:sdtPr>
    <w:sdtEndPr>
      <w:rPr>
        <w:noProof/>
      </w:rPr>
    </w:sdtEndPr>
    <w:sdtContent>
      <w:p w14:paraId="4EF96A4E" w14:textId="7E6C8678" w:rsidR="005106D7" w:rsidRPr="001B7E15" w:rsidRDefault="005106D7" w:rsidP="00C130D2">
        <w:pPr>
          <w:pStyle w:val="Footer"/>
        </w:pPr>
        <w:r w:rsidRPr="001B7E15">
          <w:fldChar w:fldCharType="begin"/>
        </w:r>
        <w:r w:rsidRPr="001B7E15">
          <w:instrText xml:space="preserve"> PAGE   \* MERGEFORMAT </w:instrText>
        </w:r>
        <w:r w:rsidRPr="001B7E15">
          <w:fldChar w:fldCharType="separate"/>
        </w:r>
        <w:r>
          <w:rPr>
            <w:noProof/>
          </w:rPr>
          <w:t>46</w:t>
        </w:r>
        <w:r w:rsidRPr="001B7E15">
          <w:rPr>
            <w:noProof/>
          </w:rPr>
          <w:fldChar w:fldCharType="end"/>
        </w:r>
      </w:p>
    </w:sdtContent>
  </w:sdt>
  <w:p w14:paraId="51700222" w14:textId="77777777" w:rsidR="005106D7" w:rsidRPr="00725FF8" w:rsidRDefault="005106D7" w:rsidP="00C130D2">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254257"/>
      <w:docPartObj>
        <w:docPartGallery w:val="Page Numbers (Bottom of Page)"/>
        <w:docPartUnique/>
      </w:docPartObj>
    </w:sdtPr>
    <w:sdtEndPr>
      <w:rPr>
        <w:noProof/>
      </w:rPr>
    </w:sdtEndPr>
    <w:sdtContent>
      <w:p w14:paraId="1D2E8C67" w14:textId="77777777" w:rsidR="005106D7" w:rsidRPr="001B7E15" w:rsidRDefault="005106D7" w:rsidP="000D3688">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1DCD1BF8" w14:textId="77777777" w:rsidR="005106D7" w:rsidRPr="00231623" w:rsidRDefault="005106D7" w:rsidP="000D3688">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25409187"/>
      <w:docPartObj>
        <w:docPartGallery w:val="Page Numbers (Bottom of Page)"/>
        <w:docPartUnique/>
      </w:docPartObj>
    </w:sdtPr>
    <w:sdtEndPr>
      <w:rPr>
        <w:noProof/>
      </w:rPr>
    </w:sdtEndPr>
    <w:sdtContent>
      <w:p w14:paraId="5C8B3D40" w14:textId="00AFFAFA" w:rsidR="005106D7" w:rsidRDefault="005106D7" w:rsidP="000D3688">
        <w:pPr>
          <w:pStyle w:val="Footer"/>
          <w:rPr>
            <w:noProof/>
          </w:rPr>
        </w:pPr>
        <w:r w:rsidRPr="001B7E15">
          <w:fldChar w:fldCharType="begin"/>
        </w:r>
        <w:r w:rsidRPr="001B7E15">
          <w:instrText xml:space="preserve"> PAGE   \* MERGEFORMAT </w:instrText>
        </w:r>
        <w:r w:rsidRPr="001B7E15">
          <w:fldChar w:fldCharType="separate"/>
        </w:r>
        <w:r w:rsidR="00A22B97">
          <w:rPr>
            <w:noProof/>
          </w:rPr>
          <w:t>74</w:t>
        </w:r>
        <w:r w:rsidRPr="001B7E15">
          <w:rPr>
            <w:noProof/>
          </w:rPr>
          <w:fldChar w:fldCharType="end"/>
        </w:r>
      </w:p>
    </w:sdtContent>
  </w:sdt>
  <w:p w14:paraId="64B9ACBF" w14:textId="77777777" w:rsidR="005106D7" w:rsidRPr="00956C60" w:rsidRDefault="005106D7" w:rsidP="000D3688">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8324296"/>
      <w:docPartObj>
        <w:docPartGallery w:val="Page Numbers (Bottom of Page)"/>
        <w:docPartUnique/>
      </w:docPartObj>
    </w:sdtPr>
    <w:sdtEndPr>
      <w:rPr>
        <w:noProof/>
      </w:rPr>
    </w:sdtEndPr>
    <w:sdtContent>
      <w:sdt>
        <w:sdtPr>
          <w:id w:val="-442844393"/>
          <w:docPartObj>
            <w:docPartGallery w:val="Page Numbers (Bottom of Page)"/>
            <w:docPartUnique/>
          </w:docPartObj>
        </w:sdtPr>
        <w:sdtEndPr>
          <w:rPr>
            <w:noProof/>
          </w:rPr>
        </w:sdtEndPr>
        <w:sdtContent>
          <w:p w14:paraId="7041BD2A" w14:textId="77777777" w:rsidR="005106D7" w:rsidRPr="00F061F2"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88</w:t>
            </w:r>
            <w:r w:rsidRPr="001B7E15">
              <w:rPr>
                <w:noProof/>
              </w:rPr>
              <w:fldChar w:fldCharType="end"/>
            </w:r>
          </w:p>
        </w:sdtContent>
      </w:sdt>
    </w:sdtContent>
  </w:sdt>
  <w:p w14:paraId="2502F895" w14:textId="77777777" w:rsidR="005106D7" w:rsidRDefault="005106D7" w:rsidP="00542CA2">
    <w:pPr>
      <w:spacing w:after="0"/>
    </w:pPr>
  </w:p>
  <w:p w14:paraId="7E073D93" w14:textId="77777777" w:rsidR="005106D7" w:rsidRDefault="005106D7"/>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9527716"/>
      <w:docPartObj>
        <w:docPartGallery w:val="Page Numbers (Bottom of Page)"/>
        <w:docPartUnique/>
      </w:docPartObj>
    </w:sdtPr>
    <w:sdtEndPr>
      <w:rPr>
        <w:noProof/>
      </w:rPr>
    </w:sdtEndPr>
    <w:sdtContent>
      <w:sdt>
        <w:sdtPr>
          <w:id w:val="1893232362"/>
          <w:docPartObj>
            <w:docPartGallery w:val="Page Numbers (Bottom of Page)"/>
            <w:docPartUnique/>
          </w:docPartObj>
        </w:sdtPr>
        <w:sdtEndPr>
          <w:rPr>
            <w:noProof/>
          </w:rPr>
        </w:sdtEndPr>
        <w:sdtContent>
          <w:p w14:paraId="756C40FC" w14:textId="1D706A0B" w:rsidR="005106D7" w:rsidRPr="00F061F2" w:rsidRDefault="005106D7" w:rsidP="00C130D2">
            <w:pPr>
              <w:pStyle w:val="Footer"/>
              <w:rPr>
                <w:noProof/>
              </w:rPr>
            </w:pPr>
            <w:r w:rsidRPr="001B7E15">
              <w:fldChar w:fldCharType="begin"/>
            </w:r>
            <w:r w:rsidRPr="001B7E15">
              <w:instrText xml:space="preserve"> PAGE   \* MERGEFORMAT </w:instrText>
            </w:r>
            <w:r w:rsidRPr="001B7E15">
              <w:fldChar w:fldCharType="separate"/>
            </w:r>
            <w:r w:rsidR="00A22B97">
              <w:rPr>
                <w:noProof/>
              </w:rPr>
              <w:t>75</w:t>
            </w:r>
            <w:r w:rsidRPr="001B7E15">
              <w:rPr>
                <w:noProof/>
              </w:rPr>
              <w:fldChar w:fldCharType="end"/>
            </w:r>
          </w:p>
        </w:sdtContent>
      </w:sdt>
    </w:sdtContent>
  </w:sdt>
  <w:p w14:paraId="5506028D" w14:textId="77777777" w:rsidR="005106D7" w:rsidRDefault="005106D7"/>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8876461"/>
      <w:docPartObj>
        <w:docPartGallery w:val="Page Numbers (Bottom of Page)"/>
        <w:docPartUnique/>
      </w:docPartObj>
    </w:sdtPr>
    <w:sdtEndPr>
      <w:rPr>
        <w:noProof/>
      </w:rPr>
    </w:sdtEndPr>
    <w:sdtContent>
      <w:sdt>
        <w:sdtPr>
          <w:id w:val="-217279993"/>
          <w:docPartObj>
            <w:docPartGallery w:val="Page Numbers (Bottom of Page)"/>
            <w:docPartUnique/>
          </w:docPartObj>
        </w:sdtPr>
        <w:sdtEndPr>
          <w:rPr>
            <w:noProof/>
          </w:rPr>
        </w:sdtEndPr>
        <w:sdtContent>
          <w:p w14:paraId="343F11E3" w14:textId="77777777" w:rsidR="005106D7" w:rsidRPr="00F061F2"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88</w:t>
            </w:r>
            <w:r w:rsidRPr="001B7E15">
              <w:rPr>
                <w:noProof/>
              </w:rPr>
              <w:fldChar w:fldCharType="end"/>
            </w:r>
          </w:p>
        </w:sdtContent>
      </w:sdt>
    </w:sdtContent>
  </w:sdt>
  <w:p w14:paraId="729E0FF2" w14:textId="77777777" w:rsidR="005106D7" w:rsidRDefault="005106D7" w:rsidP="00542CA2">
    <w:pPr>
      <w:spacing w:after="0"/>
    </w:pPr>
  </w:p>
  <w:p w14:paraId="34D6B8FE" w14:textId="77777777" w:rsidR="005106D7" w:rsidRDefault="005106D7"/>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3855940"/>
      <w:docPartObj>
        <w:docPartGallery w:val="Page Numbers (Bottom of Page)"/>
        <w:docPartUnique/>
      </w:docPartObj>
    </w:sdtPr>
    <w:sdtEndPr>
      <w:rPr>
        <w:noProof/>
      </w:rPr>
    </w:sdtEndPr>
    <w:sdtContent>
      <w:sdt>
        <w:sdtPr>
          <w:id w:val="-2145254055"/>
          <w:docPartObj>
            <w:docPartGallery w:val="Page Numbers (Bottom of Page)"/>
            <w:docPartUnique/>
          </w:docPartObj>
        </w:sdtPr>
        <w:sdtEndPr>
          <w:rPr>
            <w:noProof/>
          </w:rPr>
        </w:sdtEndPr>
        <w:sdtContent>
          <w:p w14:paraId="51DDD0B2" w14:textId="0E009798" w:rsidR="005106D7" w:rsidRPr="00F061F2" w:rsidRDefault="005106D7" w:rsidP="00C130D2">
            <w:pPr>
              <w:pStyle w:val="Footer"/>
              <w:rPr>
                <w:noProof/>
              </w:rPr>
            </w:pPr>
            <w:r w:rsidRPr="001B7E15">
              <w:fldChar w:fldCharType="begin"/>
            </w:r>
            <w:r w:rsidRPr="001B7E15">
              <w:instrText xml:space="preserve"> PAGE   \* MERGEFORMAT </w:instrText>
            </w:r>
            <w:r w:rsidRPr="001B7E15">
              <w:fldChar w:fldCharType="separate"/>
            </w:r>
            <w:r>
              <w:rPr>
                <w:noProof/>
              </w:rPr>
              <w:t>76</w:t>
            </w:r>
            <w:r w:rsidRPr="001B7E15">
              <w:rPr>
                <w:noProof/>
              </w:rPr>
              <w:fldChar w:fldCharType="end"/>
            </w:r>
          </w:p>
        </w:sdtContent>
      </w:sdt>
    </w:sdtContent>
  </w:sdt>
  <w:p w14:paraId="459C1441" w14:textId="77777777" w:rsidR="005106D7" w:rsidRDefault="005106D7"/>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547478"/>
      <w:docPartObj>
        <w:docPartGallery w:val="Page Numbers (Bottom of Page)"/>
        <w:docPartUnique/>
      </w:docPartObj>
    </w:sdtPr>
    <w:sdtEndPr>
      <w:rPr>
        <w:noProof/>
      </w:rPr>
    </w:sdtEndPr>
    <w:sdtContent>
      <w:sdt>
        <w:sdtPr>
          <w:id w:val="991600081"/>
          <w:docPartObj>
            <w:docPartGallery w:val="Page Numbers (Bottom of Page)"/>
            <w:docPartUnique/>
          </w:docPartObj>
        </w:sdtPr>
        <w:sdtEndPr>
          <w:rPr>
            <w:noProof/>
          </w:rPr>
        </w:sdtEndPr>
        <w:sdtContent>
          <w:p w14:paraId="7260725F" w14:textId="77777777" w:rsidR="005106D7" w:rsidRPr="00F061F2"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88</w:t>
            </w:r>
            <w:r w:rsidRPr="001B7E15">
              <w:rPr>
                <w:noProof/>
              </w:rPr>
              <w:fldChar w:fldCharType="end"/>
            </w:r>
          </w:p>
        </w:sdtContent>
      </w:sdt>
    </w:sdtContent>
  </w:sdt>
  <w:p w14:paraId="791095DA" w14:textId="77777777" w:rsidR="005106D7" w:rsidRDefault="005106D7" w:rsidP="00542CA2">
    <w:pPr>
      <w:spacing w:after="0"/>
    </w:pPr>
  </w:p>
  <w:p w14:paraId="0C51C967" w14:textId="77777777" w:rsidR="005106D7" w:rsidRDefault="005106D7"/>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6752272"/>
      <w:docPartObj>
        <w:docPartGallery w:val="Page Numbers (Bottom of Page)"/>
        <w:docPartUnique/>
      </w:docPartObj>
    </w:sdtPr>
    <w:sdtEndPr>
      <w:rPr>
        <w:noProof/>
      </w:rPr>
    </w:sdtEndPr>
    <w:sdtContent>
      <w:sdt>
        <w:sdtPr>
          <w:id w:val="529988748"/>
          <w:docPartObj>
            <w:docPartGallery w:val="Page Numbers (Bottom of Page)"/>
            <w:docPartUnique/>
          </w:docPartObj>
        </w:sdtPr>
        <w:sdtEndPr>
          <w:rPr>
            <w:noProof/>
          </w:rPr>
        </w:sdtEndPr>
        <w:sdtContent>
          <w:p w14:paraId="2911AB35" w14:textId="5DD81BAE" w:rsidR="005106D7" w:rsidRPr="00F061F2" w:rsidRDefault="005106D7" w:rsidP="00523B7B">
            <w:pPr>
              <w:pStyle w:val="Footer"/>
              <w:rPr>
                <w:noProof/>
              </w:rPr>
            </w:pPr>
            <w:r w:rsidRPr="001B7E15">
              <w:fldChar w:fldCharType="begin"/>
            </w:r>
            <w:r w:rsidRPr="001B7E15">
              <w:instrText xml:space="preserve"> PAGE   \* MERGEFORMAT </w:instrText>
            </w:r>
            <w:r w:rsidRPr="001B7E15">
              <w:fldChar w:fldCharType="separate"/>
            </w:r>
            <w:r w:rsidR="00A22B97">
              <w:rPr>
                <w:noProof/>
              </w:rPr>
              <w:t>93</w:t>
            </w:r>
            <w:r w:rsidRPr="001B7E15">
              <w:rPr>
                <w:noProof/>
              </w:rPr>
              <w:fldChar w:fldCharType="end"/>
            </w:r>
          </w:p>
        </w:sdtContent>
      </w:sdt>
    </w:sdtContent>
  </w:sdt>
  <w:p w14:paraId="25E1CB60" w14:textId="77777777" w:rsidR="005106D7" w:rsidRDefault="005106D7" w:rsidP="00523B7B">
    <w:pPr>
      <w:spacing w:after="0"/>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1215323"/>
      <w:docPartObj>
        <w:docPartGallery w:val="Page Numbers (Bottom of Page)"/>
        <w:docPartUnique/>
      </w:docPartObj>
    </w:sdtPr>
    <w:sdtEndPr>
      <w:rPr>
        <w:noProof/>
      </w:rPr>
    </w:sdtEndPr>
    <w:sdtContent>
      <w:sdt>
        <w:sdtPr>
          <w:id w:val="-97484312"/>
          <w:docPartObj>
            <w:docPartGallery w:val="Page Numbers (Bottom of Page)"/>
            <w:docPartUnique/>
          </w:docPartObj>
        </w:sdtPr>
        <w:sdtEndPr>
          <w:rPr>
            <w:noProof/>
          </w:rPr>
        </w:sdtEndPr>
        <w:sdtContent>
          <w:p w14:paraId="3141F8CF" w14:textId="77777777" w:rsidR="005106D7" w:rsidRPr="00F061F2" w:rsidRDefault="005106D7" w:rsidP="00C130D2">
            <w:pPr>
              <w:pStyle w:val="Footer"/>
              <w:jc w:val="right"/>
            </w:pPr>
            <w:r w:rsidRPr="001B7E15">
              <w:fldChar w:fldCharType="begin"/>
            </w:r>
            <w:r w:rsidRPr="001B7E15">
              <w:instrText xml:space="preserve"> PAGE   \* MERGEFORMAT </w:instrText>
            </w:r>
            <w:r w:rsidRPr="001B7E15">
              <w:fldChar w:fldCharType="separate"/>
            </w:r>
            <w:r>
              <w:rPr>
                <w:noProof/>
              </w:rPr>
              <w:t>88</w:t>
            </w:r>
            <w:r w:rsidRPr="001B7E15">
              <w:rPr>
                <w:noProof/>
              </w:rPr>
              <w:fldChar w:fldCharType="end"/>
            </w:r>
          </w:p>
        </w:sdtContent>
      </w:sdt>
    </w:sdtContent>
  </w:sdt>
  <w:p w14:paraId="4AF2F8D6" w14:textId="77777777" w:rsidR="005106D7" w:rsidRDefault="005106D7" w:rsidP="00542CA2">
    <w:pPr>
      <w:spacing w:after="0"/>
    </w:pPr>
  </w:p>
  <w:p w14:paraId="664114B3" w14:textId="77777777" w:rsidR="005106D7" w:rsidRDefault="005106D7"/>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96540"/>
      <w:docPartObj>
        <w:docPartGallery w:val="Page Numbers (Bottom of Page)"/>
        <w:docPartUnique/>
      </w:docPartObj>
    </w:sdtPr>
    <w:sdtEndPr>
      <w:rPr>
        <w:noProof/>
      </w:rPr>
    </w:sdtEndPr>
    <w:sdtContent>
      <w:sdt>
        <w:sdtPr>
          <w:id w:val="-1727137330"/>
          <w:docPartObj>
            <w:docPartGallery w:val="Page Numbers (Bottom of Page)"/>
            <w:docPartUnique/>
          </w:docPartObj>
        </w:sdtPr>
        <w:sdtEndPr>
          <w:rPr>
            <w:noProof/>
          </w:rPr>
        </w:sdtEndPr>
        <w:sdtContent>
          <w:p w14:paraId="218871F2" w14:textId="48735884" w:rsidR="005106D7" w:rsidRPr="00F061F2" w:rsidRDefault="005106D7" w:rsidP="00C130D2">
            <w:pPr>
              <w:pStyle w:val="Footer"/>
              <w:rPr>
                <w:noProof/>
              </w:rPr>
            </w:pPr>
            <w:r w:rsidRPr="001B7E15">
              <w:fldChar w:fldCharType="begin"/>
            </w:r>
            <w:r w:rsidRPr="001B7E15">
              <w:instrText xml:space="preserve"> PAGE   \* MERGEFORMAT </w:instrText>
            </w:r>
            <w:r w:rsidRPr="001B7E15">
              <w:fldChar w:fldCharType="separate"/>
            </w:r>
            <w:r w:rsidR="00A22B97">
              <w:rPr>
                <w:noProof/>
              </w:rPr>
              <w:t>94</w:t>
            </w:r>
            <w:r w:rsidRPr="001B7E15">
              <w:rPr>
                <w:noProof/>
              </w:rPr>
              <w:fldChar w:fldCharType="end"/>
            </w:r>
          </w:p>
        </w:sdtContent>
      </w:sdt>
    </w:sdtContent>
  </w:sdt>
  <w:p w14:paraId="0A8816E7" w14:textId="77777777" w:rsidR="005106D7" w:rsidRDefault="005106D7"/>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F701C" w14:textId="77777777" w:rsidR="005106D7" w:rsidRDefault="005106D7">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5421217"/>
      <w:docPartObj>
        <w:docPartGallery w:val="Page Numbers (Bottom of Page)"/>
        <w:docPartUnique/>
      </w:docPartObj>
    </w:sdtPr>
    <w:sdtEndPr>
      <w:rPr>
        <w:noProof/>
      </w:rPr>
    </w:sdtEndPr>
    <w:sdtContent>
      <w:p w14:paraId="773BC8A1" w14:textId="7BBAEEDD" w:rsidR="005106D7" w:rsidRDefault="005106D7">
        <w:pPr>
          <w:pStyle w:val="Footer"/>
        </w:pPr>
        <w:r>
          <w:fldChar w:fldCharType="begin"/>
        </w:r>
        <w:r>
          <w:instrText xml:space="preserve"> PAGE   \* MERGEFORMAT </w:instrText>
        </w:r>
        <w:r>
          <w:fldChar w:fldCharType="separate"/>
        </w:r>
        <w:r>
          <w:rPr>
            <w:noProof/>
          </w:rPr>
          <w:t>97</w:t>
        </w:r>
        <w:r>
          <w:rPr>
            <w:noProof/>
          </w:rPr>
          <w:fldChar w:fldCharType="end"/>
        </w:r>
      </w:p>
    </w:sdtContent>
  </w:sdt>
  <w:p w14:paraId="4B8CB176" w14:textId="77777777" w:rsidR="005106D7" w:rsidRPr="00287EFB" w:rsidRDefault="005106D7" w:rsidP="00C130D2">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1559265"/>
      <w:docPartObj>
        <w:docPartGallery w:val="Page Numbers (Bottom of Page)"/>
        <w:docPartUnique/>
      </w:docPartObj>
    </w:sdtPr>
    <w:sdtEndPr>
      <w:rPr>
        <w:noProof/>
      </w:rPr>
    </w:sdtEndPr>
    <w:sdtContent>
      <w:p w14:paraId="762AE203" w14:textId="35B9B010" w:rsidR="005106D7" w:rsidRDefault="005106D7">
        <w:pPr>
          <w:pStyle w:val="Footer"/>
        </w:pPr>
        <w:r>
          <w:fldChar w:fldCharType="begin"/>
        </w:r>
        <w:r>
          <w:instrText xml:space="preserve"> PAGE   \* MERGEFORMAT </w:instrText>
        </w:r>
        <w:r>
          <w:fldChar w:fldCharType="separate"/>
        </w:r>
        <w:r w:rsidR="00A22B97">
          <w:rPr>
            <w:noProof/>
          </w:rPr>
          <w:t>96</w:t>
        </w:r>
        <w:r>
          <w:rPr>
            <w:noProof/>
          </w:rPr>
          <w:fldChar w:fldCharType="end"/>
        </w:r>
      </w:p>
    </w:sdtContent>
  </w:sdt>
  <w:p w14:paraId="662D8F63" w14:textId="77777777" w:rsidR="005106D7" w:rsidRDefault="005106D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AD2DF" w14:textId="77777777" w:rsidR="000276AD" w:rsidRDefault="000276AD" w:rsidP="00BF7F6A">
      <w:pPr>
        <w:spacing w:after="0" w:line="240" w:lineRule="auto"/>
      </w:pPr>
      <w:r>
        <w:separator/>
      </w:r>
    </w:p>
  </w:footnote>
  <w:footnote w:type="continuationSeparator" w:id="0">
    <w:p w14:paraId="2FE10234" w14:textId="77777777" w:rsidR="000276AD" w:rsidRDefault="000276AD" w:rsidP="00BF7F6A">
      <w:pPr>
        <w:spacing w:after="0" w:line="240" w:lineRule="auto"/>
      </w:pPr>
      <w:r>
        <w:continuationSeparator/>
      </w:r>
    </w:p>
  </w:footnote>
  <w:footnote w:id="1">
    <w:p w14:paraId="04A3D403" w14:textId="195201DF" w:rsidR="005106D7" w:rsidRPr="005106D7" w:rsidRDefault="005106D7">
      <w:pPr>
        <w:pStyle w:val="FootnoteText"/>
        <w:rPr>
          <w:lang w:val="sr-Cyrl-RS"/>
        </w:rPr>
      </w:pPr>
      <w:r>
        <w:rPr>
          <w:rStyle w:val="FootnoteReference"/>
          <w:sz w:val="16"/>
          <w:szCs w:val="16"/>
        </w:rPr>
        <w:footnoteRef/>
      </w:r>
      <w:r>
        <w:rPr>
          <w:sz w:val="16"/>
          <w:szCs w:val="16"/>
        </w:rPr>
        <w:t xml:space="preserve"> </w:t>
      </w:r>
      <w:r>
        <w:rPr>
          <w:sz w:val="16"/>
          <w:szCs w:val="16"/>
          <w:lang w:val="sr-Cyrl-RS"/>
        </w:rPr>
        <w:t>Податак се односи на запослене у правним лицима, лица која самостално обављају делатност, предузетници и запослени код њих, без регистрованих индивидуалних пољопривредника.</w:t>
      </w:r>
    </w:p>
  </w:footnote>
  <w:footnote w:id="2">
    <w:p w14:paraId="2BD99BB8" w14:textId="77777777" w:rsidR="005106D7" w:rsidRPr="00B422BC" w:rsidRDefault="005106D7">
      <w:pPr>
        <w:pStyle w:val="FootnoteText"/>
        <w:rPr>
          <w:lang w:val="sr-Cyrl-RS"/>
        </w:rPr>
      </w:pPr>
      <w:r w:rsidRPr="00B422BC">
        <w:rPr>
          <w:rStyle w:val="FootnoteReference"/>
          <w:lang w:val="sr-Cyrl-RS"/>
        </w:rPr>
        <w:footnoteRef/>
      </w:r>
      <w:r w:rsidRPr="00B422BC">
        <w:rPr>
          <w:lang w:val="sr-Cyrl-RS"/>
        </w:rPr>
        <w:t xml:space="preserve"> </w:t>
      </w:r>
      <w:r w:rsidRPr="00B422BC">
        <w:rPr>
          <w:sz w:val="16"/>
          <w:lang w:val="sr-Cyrl-RS"/>
        </w:rPr>
        <w:t>Подаци се односе збирно за Народну Републику Кину, Макао, Хонг Конг и Кинеску Провинцију Тајван.</w:t>
      </w:r>
    </w:p>
  </w:footnote>
  <w:footnote w:id="3">
    <w:p w14:paraId="724D12F8" w14:textId="77777777" w:rsidR="005106D7" w:rsidRPr="001A5AF4" w:rsidRDefault="005106D7">
      <w:pPr>
        <w:pStyle w:val="FootnoteText"/>
        <w:rPr>
          <w:sz w:val="16"/>
          <w:szCs w:val="16"/>
          <w:lang w:val="sr-Cyrl-RS"/>
        </w:rPr>
      </w:pPr>
      <w:r w:rsidRPr="001A5AF4">
        <w:rPr>
          <w:rStyle w:val="FootnoteReference"/>
          <w:sz w:val="16"/>
          <w:szCs w:val="16"/>
        </w:rPr>
        <w:footnoteRef/>
      </w:r>
      <w:r w:rsidRPr="003805B7">
        <w:rPr>
          <w:sz w:val="16"/>
          <w:szCs w:val="16"/>
          <w:lang w:val="sr-Cyrl-RS"/>
        </w:rPr>
        <w:t xml:space="preserve"> </w:t>
      </w:r>
      <w:r w:rsidRPr="001A5AF4">
        <w:rPr>
          <w:rFonts w:eastAsia="Calibri" w:cstheme="minorHAnsi"/>
          <w:sz w:val="16"/>
          <w:szCs w:val="16"/>
          <w:lang w:val="sr-Cyrl-CS" w:eastAsia="ja-JP"/>
        </w:rPr>
        <w:t>Начин индексирања пензија детаљније је објашњен у делу Структурне мере за унапређење стабилности и одрживости јавних финансија.</w:t>
      </w:r>
    </w:p>
  </w:footnote>
  <w:footnote w:id="4">
    <w:p w14:paraId="11DDA29E" w14:textId="77777777" w:rsidR="005106D7" w:rsidRPr="002F6B52" w:rsidRDefault="005106D7" w:rsidP="00C130D2">
      <w:pPr>
        <w:pStyle w:val="FootnoteText"/>
        <w:rPr>
          <w:rFonts w:cstheme="minorHAnsi"/>
          <w:sz w:val="16"/>
          <w:szCs w:val="16"/>
          <w:lang w:val="sr-Cyrl-RS"/>
        </w:rPr>
      </w:pPr>
      <w:r w:rsidRPr="002F6B52">
        <w:rPr>
          <w:rStyle w:val="FootnoteReference"/>
          <w:rFonts w:cstheme="minorHAnsi"/>
          <w:sz w:val="16"/>
          <w:szCs w:val="16"/>
          <w:lang w:val="sr-Cyrl-RS"/>
        </w:rPr>
        <w:footnoteRef/>
      </w:r>
      <w:r>
        <w:rPr>
          <w:rFonts w:cstheme="minorHAnsi"/>
          <w:sz w:val="16"/>
          <w:szCs w:val="16"/>
          <w:lang w:val="sr-Cyrl-RS"/>
        </w:rPr>
        <w:t xml:space="preserve"> Ревидирана Фискална стратегија за 2023. годину са пројекцијама за 2024. и 2025</w:t>
      </w:r>
      <w:r w:rsidRPr="002F6B52">
        <w:rPr>
          <w:rFonts w:cstheme="minorHAnsi"/>
          <w:sz w:val="16"/>
          <w:szCs w:val="16"/>
          <w:lang w:val="sr-Cyrl-RS"/>
        </w:rPr>
        <w:t>. годину.</w:t>
      </w:r>
    </w:p>
  </w:footnote>
  <w:footnote w:id="5">
    <w:p w14:paraId="1D726CE9" w14:textId="4E846E30" w:rsidR="005106D7" w:rsidRPr="002F6B52" w:rsidRDefault="005106D7" w:rsidP="00132FA9">
      <w:pPr>
        <w:pStyle w:val="FootnoteText"/>
        <w:rPr>
          <w:rFonts w:cstheme="minorHAnsi"/>
          <w:spacing w:val="-2"/>
          <w:sz w:val="16"/>
          <w:szCs w:val="16"/>
          <w:lang w:val="sr-Cyrl-RS"/>
        </w:rPr>
      </w:pPr>
      <w:r w:rsidRPr="00CB04CB">
        <w:rPr>
          <w:rStyle w:val="FootnoteReference"/>
          <w:rFonts w:cstheme="minorHAnsi"/>
          <w:spacing w:val="-2"/>
          <w:sz w:val="16"/>
          <w:szCs w:val="16"/>
          <w:lang w:val="sr-Cyrl-RS"/>
        </w:rPr>
        <w:footnoteRef/>
      </w:r>
      <w:r w:rsidRPr="00CB04CB">
        <w:rPr>
          <w:rFonts w:cstheme="minorHAnsi"/>
          <w:spacing w:val="-2"/>
          <w:sz w:val="16"/>
          <w:szCs w:val="16"/>
          <w:lang w:val="sr-Cyrl-RS"/>
        </w:rPr>
        <w:t xml:space="preserve"> Детаљнији приказ структурних реформи по приоритетним областима је саставни део Програма економских реформи у периоду 202</w:t>
      </w:r>
      <w:r w:rsidR="00C76CE9">
        <w:rPr>
          <w:rFonts w:cstheme="minorHAnsi"/>
          <w:spacing w:val="-2"/>
          <w:sz w:val="16"/>
          <w:szCs w:val="16"/>
          <w:lang w:val="sr-Cyrl-RS"/>
        </w:rPr>
        <w:t>3</w:t>
      </w:r>
      <w:r w:rsidRPr="00CB04CB">
        <w:rPr>
          <w:rFonts w:cstheme="minorHAnsi"/>
          <w:spacing w:val="-2"/>
          <w:sz w:val="16"/>
          <w:szCs w:val="16"/>
          <w:lang w:val="sr-Cyrl-RS"/>
        </w:rPr>
        <w:t>–202</w:t>
      </w:r>
      <w:r w:rsidR="00C76CE9">
        <w:rPr>
          <w:rFonts w:cstheme="minorHAnsi"/>
          <w:spacing w:val="-2"/>
          <w:sz w:val="16"/>
          <w:szCs w:val="16"/>
          <w:lang w:val="sr-Cyrl-RS"/>
        </w:rPr>
        <w:t>5</w:t>
      </w:r>
      <w:r w:rsidRPr="00CB04CB">
        <w:rPr>
          <w:rFonts w:cstheme="minorHAnsi"/>
          <w:spacing w:val="-2"/>
          <w:sz w:val="16"/>
          <w:szCs w:val="16"/>
          <w:lang w:val="sr-Cyrl-RS"/>
        </w:rPr>
        <w:t>.</w:t>
      </w:r>
    </w:p>
  </w:footnote>
  <w:footnote w:id="6">
    <w:p w14:paraId="610FD929" w14:textId="77777777" w:rsidR="005106D7" w:rsidRPr="002F6B52" w:rsidRDefault="005106D7" w:rsidP="00B349CD">
      <w:pPr>
        <w:pStyle w:val="FootnoteText"/>
        <w:rPr>
          <w:rFonts w:cstheme="minorHAnsi"/>
          <w:sz w:val="16"/>
          <w:szCs w:val="16"/>
          <w:lang w:val="sr-Cyrl-RS"/>
        </w:rPr>
      </w:pPr>
      <w:r w:rsidRPr="002F6B52">
        <w:rPr>
          <w:rStyle w:val="FootnoteReference"/>
          <w:rFonts w:cstheme="minorHAnsi"/>
          <w:sz w:val="16"/>
          <w:szCs w:val="16"/>
          <w:lang w:val="sr-Cyrl-RS"/>
        </w:rPr>
        <w:footnoteRef/>
      </w:r>
      <w:r w:rsidRPr="002F6B52">
        <w:rPr>
          <w:rFonts w:cstheme="minorHAnsi"/>
          <w:sz w:val="16"/>
          <w:szCs w:val="16"/>
          <w:lang w:val="sr-Cyrl-RS"/>
        </w:rPr>
        <w:t xml:space="preserve"> Закон о јавном дугу </w:t>
      </w:r>
      <w:r>
        <w:rPr>
          <w:rFonts w:cstheme="minorHAnsi"/>
          <w:sz w:val="16"/>
          <w:szCs w:val="16"/>
          <w:lang w:val="sr-Cyrl-RS"/>
        </w:rPr>
        <w:t>(</w:t>
      </w:r>
      <w:r w:rsidRPr="002F6B52">
        <w:rPr>
          <w:rFonts w:cstheme="minorHAnsi"/>
          <w:sz w:val="16"/>
          <w:szCs w:val="16"/>
          <w:lang w:val="sr-Cyrl-RS"/>
        </w:rPr>
        <w:t>„Службени гласник РС”, бр. 61/05, 107/09, 78/11, 68/15, 95/18, 91/19 и 149/20</w:t>
      </w:r>
      <w:r>
        <w:rPr>
          <w:rFonts w:cstheme="minorHAnsi"/>
          <w:sz w:val="16"/>
          <w:szCs w:val="16"/>
          <w:lang w:val="sr-Cyrl-RS"/>
        </w:rPr>
        <w:t>)</w:t>
      </w:r>
      <w:r w:rsidRPr="002F6B52">
        <w:rPr>
          <w:rFonts w:cstheme="minorHAnsi"/>
          <w:sz w:val="16"/>
          <w:szCs w:val="16"/>
          <w:lang w:val="sr-Cyrl-RS"/>
        </w:rPr>
        <w:t>.</w:t>
      </w:r>
    </w:p>
  </w:footnote>
  <w:footnote w:id="7">
    <w:p w14:paraId="380AE617" w14:textId="77777777" w:rsidR="005106D7" w:rsidRPr="002F6B52" w:rsidRDefault="005106D7" w:rsidP="00B349CD">
      <w:pPr>
        <w:pStyle w:val="FootnoteText"/>
        <w:rPr>
          <w:rFonts w:cstheme="minorHAnsi"/>
          <w:sz w:val="16"/>
          <w:szCs w:val="16"/>
          <w:lang w:val="sr-Cyrl-RS"/>
        </w:rPr>
      </w:pPr>
      <w:r w:rsidRPr="002F6B52">
        <w:rPr>
          <w:rStyle w:val="FootnoteReference"/>
          <w:rFonts w:cstheme="minorHAnsi"/>
          <w:sz w:val="16"/>
          <w:szCs w:val="16"/>
          <w:lang w:val="sr-Cyrl-RS"/>
        </w:rPr>
        <w:footnoteRef/>
      </w:r>
      <w:r w:rsidRPr="002F6B52">
        <w:rPr>
          <w:rFonts w:cstheme="minorHAnsi"/>
          <w:sz w:val="16"/>
          <w:szCs w:val="16"/>
          <w:lang w:val="sr-Cyrl-RS"/>
        </w:rPr>
        <w:t xml:space="preserve"> Дефиниција дуга, према критеријумима из Мастрихта, између осталог, различито третира издате гаранције, у односу на дефиницију јавног дуга према домаћем законодавству. У јавни дуг (дуг </w:t>
      </w:r>
      <w:r>
        <w:rPr>
          <w:rFonts w:cstheme="minorHAnsi"/>
          <w:sz w:val="16"/>
          <w:szCs w:val="16"/>
          <w:lang w:val="sr-Cyrl-RS"/>
        </w:rPr>
        <w:t>сектора</w:t>
      </w:r>
      <w:r w:rsidRPr="002F6B52">
        <w:rPr>
          <w:rFonts w:cstheme="minorHAnsi"/>
          <w:sz w:val="16"/>
          <w:szCs w:val="16"/>
          <w:lang w:val="sr-Cyrl-RS"/>
        </w:rPr>
        <w:t xml:space="preserve"> државе) улазе, према критеријумима из Мастрихта, само активиране гаранције. Домаће законодавство, по овом питању има конзервативнији приступ, и све издате гаранције укључује у јавни дуг.</w:t>
      </w:r>
    </w:p>
  </w:footnote>
  <w:footnote w:id="8">
    <w:p w14:paraId="1529E549" w14:textId="77777777" w:rsidR="005106D7" w:rsidRPr="002F6B52" w:rsidRDefault="005106D7" w:rsidP="00B349CD">
      <w:pPr>
        <w:pStyle w:val="FootnoteText"/>
        <w:spacing w:after="40"/>
        <w:rPr>
          <w:rFonts w:cstheme="minorHAnsi"/>
          <w:sz w:val="16"/>
          <w:szCs w:val="16"/>
          <w:lang w:val="sr-Cyrl-RS"/>
        </w:rPr>
      </w:pPr>
      <w:r w:rsidRPr="002F6B52">
        <w:rPr>
          <w:rStyle w:val="FootnoteReference"/>
          <w:rFonts w:cstheme="minorHAnsi"/>
          <w:sz w:val="16"/>
          <w:szCs w:val="16"/>
          <w:lang w:val="sr-Cyrl-RS"/>
        </w:rPr>
        <w:footnoteRef/>
      </w:r>
      <w:r w:rsidRPr="002F6B52">
        <w:rPr>
          <w:rFonts w:cstheme="minorHAnsi"/>
          <w:sz w:val="16"/>
          <w:szCs w:val="16"/>
          <w:lang w:val="sr-Cyrl-RS"/>
        </w:rPr>
        <w:t xml:space="preserve"> Отплата по основу гаранција из републичког буџета је у расходе укључена по готовинској основи. Међународни стандарди, који се заснивају на обрачунској основи, у расходе укључују цео износ преосталог дуга, у моменту активирања гаранције, док се сама отплата дуга по том основу третира као финансијска трансакција.</w:t>
      </w:r>
    </w:p>
  </w:footnote>
  <w:footnote w:id="9">
    <w:p w14:paraId="034DEEB3" w14:textId="77777777" w:rsidR="005106D7" w:rsidRPr="002F6B52" w:rsidRDefault="005106D7" w:rsidP="00B349CD">
      <w:pPr>
        <w:pStyle w:val="FootnoteText"/>
        <w:rPr>
          <w:rFonts w:cstheme="minorHAnsi"/>
          <w:sz w:val="16"/>
          <w:szCs w:val="16"/>
          <w:lang w:val="sr-Cyrl-RS"/>
        </w:rPr>
      </w:pPr>
      <w:r w:rsidRPr="002F6B52">
        <w:rPr>
          <w:rStyle w:val="FootnoteReference"/>
          <w:rFonts w:cstheme="minorHAnsi"/>
          <w:sz w:val="16"/>
          <w:szCs w:val="16"/>
          <w:lang w:val="sr-Cyrl-RS"/>
        </w:rPr>
        <w:footnoteRef/>
      </w:r>
      <w:r w:rsidRPr="002F6B52">
        <w:rPr>
          <w:rFonts w:cstheme="minorHAnsi"/>
          <w:sz w:val="16"/>
          <w:szCs w:val="16"/>
          <w:lang w:val="sr-Cyrl-RS"/>
        </w:rPr>
        <w:t xml:space="preserve"> Део расхода по основу отплате по гаранцијама за ЈП „Путеви Србије” не укључује се у расходе буџета, јер је ово предузеће део сектора државе, те су расходи који су финансирани гарантованим кредитима били део расхода </w:t>
      </w:r>
      <w:r>
        <w:rPr>
          <w:rFonts w:cstheme="minorHAnsi"/>
          <w:sz w:val="16"/>
          <w:szCs w:val="16"/>
          <w:lang w:val="sr-Cyrl-RS"/>
        </w:rPr>
        <w:t>сектора</w:t>
      </w:r>
      <w:r w:rsidRPr="002F6B52">
        <w:rPr>
          <w:rFonts w:cstheme="minorHAnsi"/>
          <w:sz w:val="16"/>
          <w:szCs w:val="16"/>
          <w:lang w:val="sr-Cyrl-RS"/>
        </w:rPr>
        <w:t xml:space="preserve"> државе у моменту трошења средстава, док се сама отплата третира као финансијска трансакција („испод црте”).</w:t>
      </w:r>
    </w:p>
  </w:footnote>
  <w:footnote w:id="10">
    <w:p w14:paraId="5FCAFFF3" w14:textId="77777777" w:rsidR="005106D7" w:rsidRDefault="005106D7" w:rsidP="00B349CD">
      <w:pPr>
        <w:pStyle w:val="FootnoteText"/>
        <w:rPr>
          <w:rFonts w:cs="Calibri"/>
          <w:sz w:val="16"/>
          <w:szCs w:val="16"/>
          <w:lang w:val="sr-Cyrl-RS"/>
        </w:rPr>
      </w:pPr>
      <w:r>
        <w:rPr>
          <w:rStyle w:val="FootnoteReference"/>
          <w:rFonts w:cs="Calibri"/>
          <w:sz w:val="16"/>
          <w:szCs w:val="16"/>
          <w:lang w:val="sr-Cyrl-RS"/>
        </w:rPr>
        <w:footnoteRef/>
      </w:r>
      <w:r>
        <w:rPr>
          <w:rFonts w:cs="Calibri"/>
          <w:sz w:val="16"/>
          <w:szCs w:val="16"/>
          <w:lang w:val="sr-Cyrl-RS"/>
        </w:rPr>
        <w:t xml:space="preserve"> Народна скупштина усвојила је измене и допуне Закона о НБС и Закона о банкама, као и нови Закон о АОД, Закон о осигурању депозита, Закон о стечају и ликвидацији банака и друштава за осигурање. Са изменом сета финансијских закона, наметнуло се и усвајање допуне Закона о министарствима.</w:t>
      </w:r>
    </w:p>
  </w:footnote>
  <w:footnote w:id="11">
    <w:p w14:paraId="09C9EC98" w14:textId="77777777" w:rsidR="005106D7" w:rsidRDefault="005106D7" w:rsidP="00B349CD">
      <w:pPr>
        <w:pStyle w:val="FootnoteText"/>
        <w:rPr>
          <w:rFonts w:cs="Calibri"/>
          <w:sz w:val="16"/>
          <w:szCs w:val="16"/>
          <w:lang w:val="sr-Cyrl-RS"/>
        </w:rPr>
      </w:pPr>
      <w:r>
        <w:rPr>
          <w:rStyle w:val="FootnoteReference"/>
          <w:rFonts w:cs="Calibri"/>
          <w:sz w:val="16"/>
          <w:szCs w:val="16"/>
          <w:lang w:val="sr-Cyrl-RS"/>
        </w:rPr>
        <w:footnoteRef/>
      </w:r>
      <w:r>
        <w:rPr>
          <w:rFonts w:cs="Calibri"/>
          <w:sz w:val="16"/>
          <w:szCs w:val="16"/>
          <w:lang w:val="sr-Cyrl-RS"/>
        </w:rPr>
        <w:t xml:space="preserve"> Заштићени депоненти су: физичка лица, предузетници, микро, мала и средња правна лица, након искључења предвиђеним Законом о осигурању депозита.</w:t>
      </w:r>
    </w:p>
  </w:footnote>
  <w:footnote w:id="12">
    <w:p w14:paraId="1F659378" w14:textId="77777777" w:rsidR="005106D7" w:rsidRPr="003805B7" w:rsidRDefault="005106D7" w:rsidP="00E124CF">
      <w:pPr>
        <w:spacing w:after="0"/>
        <w:rPr>
          <w:lang w:val="sr-Cyrl-RS"/>
        </w:rPr>
      </w:pPr>
      <w:r w:rsidRPr="00CD1400">
        <w:rPr>
          <w:rStyle w:val="FootnoteReference"/>
          <w:rFonts w:cstheme="minorHAnsi"/>
          <w:sz w:val="16"/>
          <w:szCs w:val="16"/>
          <w:lang w:val="sr-Cyrl-RS"/>
        </w:rPr>
        <w:footnoteRef/>
      </w:r>
      <w:r w:rsidRPr="00CD1400">
        <w:rPr>
          <w:rFonts w:cstheme="minorHAnsi"/>
          <w:sz w:val="16"/>
          <w:szCs w:val="16"/>
          <w:lang w:val="sr-Cyrl-RS"/>
        </w:rPr>
        <w:t xml:space="preserve"> </w:t>
      </w:r>
      <w:r w:rsidRPr="00CD1400">
        <w:rPr>
          <w:rFonts w:eastAsia="Times New Roman" w:cstheme="minorHAnsi"/>
          <w:bCs/>
          <w:sz w:val="16"/>
          <w:szCs w:val="16"/>
          <w:lang w:val="sr-Cyrl-R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CD1400">
        <w:rPr>
          <w:rFonts w:cstheme="minorHAnsi"/>
          <w:sz w:val="16"/>
          <w:szCs w:val="16"/>
          <w:lang w:val="sr-Cyrl-RS"/>
        </w:rPr>
        <w:t xml:space="preserve"> </w:t>
      </w:r>
      <w:hyperlink r:id="rId1" w:history="1">
        <w:r w:rsidRPr="00CD1400">
          <w:rPr>
            <w:rStyle w:val="Hyperlink"/>
            <w:color w:val="44546A" w:themeColor="text2"/>
            <w:sz w:val="16"/>
            <w:szCs w:val="16"/>
            <w:u w:val="none"/>
          </w:rPr>
          <w:t>https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www</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mfin</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gov</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rs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upload</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media</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jzsbpL</w:t>
        </w:r>
        <w:r w:rsidRPr="003805B7">
          <w:rPr>
            <w:rStyle w:val="Hyperlink"/>
            <w:color w:val="44546A" w:themeColor="text2"/>
            <w:sz w:val="16"/>
            <w:szCs w:val="16"/>
            <w:u w:val="none"/>
            <w:lang w:val="sr-Cyrl-RS"/>
          </w:rPr>
          <w:t>_601</w:t>
        </w:r>
        <w:r w:rsidRPr="00CD1400">
          <w:rPr>
            <w:rStyle w:val="Hyperlink"/>
            <w:color w:val="44546A" w:themeColor="text2"/>
            <w:sz w:val="16"/>
            <w:szCs w:val="16"/>
            <w:u w:val="none"/>
          </w:rPr>
          <w:t>ab</w:t>
        </w:r>
        <w:r w:rsidRPr="003805B7">
          <w:rPr>
            <w:rStyle w:val="Hyperlink"/>
            <w:color w:val="44546A" w:themeColor="text2"/>
            <w:sz w:val="16"/>
            <w:szCs w:val="16"/>
            <w:u w:val="none"/>
            <w:lang w:val="sr-Cyrl-RS"/>
          </w:rPr>
          <w:t>1585</w:t>
        </w:r>
        <w:r w:rsidRPr="00CD1400">
          <w:rPr>
            <w:rStyle w:val="Hyperlink"/>
            <w:color w:val="44546A" w:themeColor="text2"/>
            <w:sz w:val="16"/>
            <w:szCs w:val="16"/>
            <w:u w:val="none"/>
          </w:rPr>
          <w:t>ca</w:t>
        </w:r>
        <w:r w:rsidRPr="003805B7">
          <w:rPr>
            <w:rStyle w:val="Hyperlink"/>
            <w:color w:val="44546A" w:themeColor="text2"/>
            <w:sz w:val="16"/>
            <w:szCs w:val="16"/>
            <w:u w:val="none"/>
            <w:lang w:val="sr-Cyrl-RS"/>
          </w:rPr>
          <w:t>02.</w:t>
        </w:r>
        <w:r w:rsidRPr="00CD1400">
          <w:rPr>
            <w:rStyle w:val="Hyperlink"/>
            <w:color w:val="44546A" w:themeColor="text2"/>
            <w:sz w:val="16"/>
            <w:szCs w:val="16"/>
            <w:u w:val="none"/>
          </w:rPr>
          <w:t>pdf</w:t>
        </w:r>
      </w:hyperlink>
    </w:p>
  </w:footnote>
  <w:footnote w:id="13">
    <w:p w14:paraId="115336B4" w14:textId="77777777" w:rsidR="005106D7" w:rsidRPr="00EC5384" w:rsidRDefault="005106D7">
      <w:pPr>
        <w:pStyle w:val="FootnoteText"/>
        <w:rPr>
          <w:sz w:val="16"/>
          <w:szCs w:val="16"/>
          <w:lang w:val="sr-Cyrl-RS"/>
        </w:rPr>
      </w:pPr>
      <w:r w:rsidRPr="0078176B">
        <w:rPr>
          <w:rFonts w:cstheme="minorHAnsi"/>
          <w:sz w:val="16"/>
          <w:szCs w:val="16"/>
          <w:vertAlign w:val="superscript"/>
          <w:lang w:val="sr-Cyrl-RS"/>
        </w:rPr>
        <w:footnoteRef/>
      </w:r>
      <w:r w:rsidRPr="00EC5384">
        <w:rPr>
          <w:sz w:val="16"/>
          <w:szCs w:val="16"/>
          <w:lang w:val="sr-Cyrl-RS"/>
        </w:rPr>
        <w:t xml:space="preserve"> Више о редефинисаним фискалним правилима видети у делу који се односи на структурне фискалне реформе.</w:t>
      </w:r>
    </w:p>
  </w:footnote>
  <w:footnote w:id="14">
    <w:p w14:paraId="44A4FDE9" w14:textId="77777777" w:rsidR="005106D7" w:rsidRPr="002F6B52" w:rsidRDefault="005106D7" w:rsidP="00523B7B">
      <w:pPr>
        <w:pStyle w:val="FootnoteText"/>
        <w:rPr>
          <w:rStyle w:val="FootnoteReference"/>
          <w:rFonts w:cs="Times New Roman"/>
          <w:sz w:val="16"/>
          <w:szCs w:val="16"/>
          <w:vertAlign w:val="baseline"/>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АТМ (</w:t>
      </w:r>
      <w:r w:rsidRPr="002F6B52">
        <w:rPr>
          <w:rStyle w:val="FootnoteReference"/>
          <w:i/>
          <w:sz w:val="16"/>
          <w:szCs w:val="16"/>
          <w:vertAlign w:val="baseline"/>
          <w:lang w:val="sr-Cyrl-RS"/>
        </w:rPr>
        <w:t>Average Time to Maturity</w:t>
      </w:r>
      <w:r w:rsidRPr="002F6B52">
        <w:rPr>
          <w:rStyle w:val="FootnoteReference"/>
          <w:sz w:val="16"/>
          <w:szCs w:val="16"/>
          <w:vertAlign w:val="baseline"/>
          <w:lang w:val="sr-Cyrl-RS"/>
        </w:rPr>
        <w:t>) – енглеска скраћеница за просечно време до доспећа.</w:t>
      </w:r>
    </w:p>
  </w:footnote>
  <w:footnote w:id="15">
    <w:p w14:paraId="08ADA518" w14:textId="77777777" w:rsidR="005106D7" w:rsidRPr="002F6B52" w:rsidRDefault="005106D7" w:rsidP="00523B7B">
      <w:pPr>
        <w:pStyle w:val="FootnoteText"/>
        <w:rPr>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АТR (</w:t>
      </w:r>
      <w:r w:rsidRPr="002F6B52">
        <w:rPr>
          <w:rStyle w:val="FootnoteReference"/>
          <w:i/>
          <w:sz w:val="16"/>
          <w:szCs w:val="16"/>
          <w:vertAlign w:val="baseline"/>
          <w:lang w:val="sr-Cyrl-RS"/>
        </w:rPr>
        <w:t>Average Time to Refixing</w:t>
      </w:r>
      <w:r w:rsidRPr="002F6B52">
        <w:rPr>
          <w:rStyle w:val="FootnoteReference"/>
          <w:sz w:val="16"/>
          <w:szCs w:val="16"/>
          <w:vertAlign w:val="baseline"/>
          <w:lang w:val="sr-Cyrl-RS"/>
        </w:rPr>
        <w:t>) – енглеска скраћеница за просечно време до промене каматних стопа.</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795CCC" w14:textId="77777777" w:rsidR="005106D7" w:rsidRDefault="005106D7" w:rsidP="002D6E55">
    <w:pPr>
      <w:pStyle w:val="Header"/>
      <w:jc w:val="center"/>
    </w:pPr>
    <w:r w:rsidRPr="00A010B6">
      <w:rPr>
        <w:lang w:val="sr-Cyrl-RS"/>
      </w:rPr>
      <w:t>Фискална стратегија за 2024. годину са пројекцијама за 2025. и 2026. годину</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50851" w14:textId="3D9EBBC7" w:rsidR="0039685A" w:rsidRPr="0039685A" w:rsidRDefault="0039685A" w:rsidP="0039685A">
    <w:pPr>
      <w:pStyle w:val="Header"/>
      <w:jc w:val="center"/>
      <w:rPr>
        <w:color w:val="44546A"/>
      </w:rPr>
    </w:pPr>
    <w:r w:rsidRPr="001B3C0A">
      <w:rPr>
        <w:color w:val="44546A"/>
        <w:lang w:val="sr-Cyrl-RS"/>
      </w:rPr>
      <w:t>Фискална стратегија за 2024. годину са пројекцијама за 2025. и 2026. годину</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7A0A2" w14:textId="77777777" w:rsidR="005106D7" w:rsidRPr="00521A99" w:rsidRDefault="005106D7" w:rsidP="002D6E55">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6CC9C0" w14:textId="77777777" w:rsidR="005106D7" w:rsidRPr="001B3C0A" w:rsidRDefault="005106D7" w:rsidP="002D6E55">
    <w:pPr>
      <w:pStyle w:val="Header"/>
      <w:jc w:val="center"/>
      <w:rPr>
        <w:color w:val="44546A"/>
      </w:rPr>
    </w:pPr>
    <w:r w:rsidRPr="001B3C0A">
      <w:rPr>
        <w:color w:val="44546A"/>
        <w:lang w:val="sr-Cyrl-RS"/>
      </w:rPr>
      <w:t>Фискална стратегија за 2024. годину са пројекцијама за 2025. и 2026. годину</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2B72B" w14:textId="77777777" w:rsidR="005106D7" w:rsidRPr="00C77DCB" w:rsidRDefault="005106D7" w:rsidP="002D6E55">
    <w:pPr>
      <w:pStyle w:val="Header"/>
      <w:jc w:val="center"/>
      <w:rPr>
        <w:lang w:val="en-GB"/>
      </w:rPr>
    </w:pP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5A56A" w14:textId="77777777" w:rsidR="005106D7" w:rsidRPr="00C77DCB" w:rsidRDefault="005106D7" w:rsidP="002D6E55">
    <w:pPr>
      <w:pStyle w:val="Header"/>
      <w:jc w:val="center"/>
      <w:rPr>
        <w:lang w:val="en-GB"/>
      </w:rPr>
    </w:pP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C1590" w14:textId="77777777" w:rsidR="005106D7" w:rsidRPr="00F061F2" w:rsidRDefault="005106D7" w:rsidP="00C130D2">
    <w:pPr>
      <w:pStyle w:val="Header"/>
      <w:jc w:val="center"/>
    </w:pPr>
    <w:r>
      <w:rPr>
        <w:lang w:val="sr-Cyrl-RS"/>
      </w:rPr>
      <w:t>Фискална стратегија за 202</w:t>
    </w:r>
    <w:r>
      <w:t>1</w:t>
    </w:r>
    <w:r>
      <w:rPr>
        <w:lang w:val="sr-Cyrl-RS"/>
      </w:rPr>
      <w:t>. годину са пројекцијама за 202</w:t>
    </w:r>
    <w:r>
      <w:t>2</w:t>
    </w:r>
    <w:r>
      <w:rPr>
        <w:lang w:val="sr-Cyrl-RS"/>
      </w:rPr>
      <w:t>. и 202</w:t>
    </w:r>
    <w:r>
      <w:t>3</w:t>
    </w:r>
    <w:r w:rsidRPr="00F061F2">
      <w:rPr>
        <w:lang w:val="sr-Cyrl-RS"/>
      </w:rPr>
      <w:t>. годину</w:t>
    </w:r>
  </w:p>
  <w:p w14:paraId="2AA3FC45" w14:textId="77777777" w:rsidR="005106D7" w:rsidRPr="004F72C4" w:rsidRDefault="005106D7" w:rsidP="004F72C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D010C" w14:textId="5311A237" w:rsidR="005106D7" w:rsidRPr="007F0724" w:rsidRDefault="005106D7" w:rsidP="000D3688">
    <w:pPr>
      <w:pStyle w:val="Header"/>
      <w:jc w:val="center"/>
      <w:rPr>
        <w:lang w:val="sr-Cyrl-RS"/>
      </w:rPr>
    </w:pPr>
    <w:r>
      <w:rPr>
        <w:lang w:val="sr-Cyrl-RS"/>
      </w:rPr>
      <w:t>Фискална стратегија за 2024. годину са пројекцијама за 2025. и 2026. годину</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3364F" w14:textId="77777777" w:rsidR="005106D7" w:rsidRPr="00BF7F6A" w:rsidRDefault="005106D7" w:rsidP="00BD7EB6">
    <w:pPr>
      <w:pStyle w:val="Header"/>
      <w:jc w:val="center"/>
      <w:rPr>
        <w:lang w:val="sr-Cyrl-RS"/>
      </w:rPr>
    </w:pPr>
    <w:r>
      <w:rPr>
        <w:lang w:val="sr-Cyrl-RS"/>
      </w:rPr>
      <w:t>Фискална стратегија за 2019. годину са пројекцијама за 2020. и 2021. годину</w:t>
    </w:r>
  </w:p>
  <w:p w14:paraId="10174985" w14:textId="77777777" w:rsidR="005106D7" w:rsidRDefault="005106D7">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A5628E" w14:textId="77777777" w:rsidR="005106D7" w:rsidRPr="00F061F2" w:rsidRDefault="005106D7" w:rsidP="005D42AC">
    <w:pPr>
      <w:pStyle w:val="Header"/>
      <w:jc w:val="center"/>
    </w:pPr>
    <w:r>
      <w:t>Фискална стратегија за 2021. годину са пројекцијама за 2022. и 2023</w:t>
    </w:r>
    <w:r w:rsidRPr="00F061F2">
      <w:t>. годину</w:t>
    </w:r>
  </w:p>
  <w:p w14:paraId="32C296B6" w14:textId="77777777" w:rsidR="005106D7" w:rsidRPr="004F72C4" w:rsidRDefault="005106D7" w:rsidP="004F72C4">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A58008" w14:textId="77777777" w:rsidR="005106D7" w:rsidRPr="00094ACF" w:rsidRDefault="005106D7" w:rsidP="00E124CF">
    <w:pPr>
      <w:tabs>
        <w:tab w:val="center" w:pos="4680"/>
        <w:tab w:val="right" w:pos="9360"/>
      </w:tabs>
      <w:spacing w:after="0" w:line="240" w:lineRule="auto"/>
      <w:jc w:val="center"/>
      <w:rPr>
        <w:lang w:val="sr-Cyrl-RS"/>
      </w:rPr>
    </w:pPr>
    <w:r w:rsidRPr="00094ACF">
      <w:rPr>
        <w:lang w:val="sr-Cyrl-RS"/>
      </w:rPr>
      <w:t>Фискална стратегија за 2023. годину са пројекцијама за 2024. и 2025. годину</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C69C2" w14:textId="77777777" w:rsidR="005106D7" w:rsidRPr="00BF7F6A" w:rsidRDefault="005106D7" w:rsidP="00BD7EB6">
    <w:pPr>
      <w:pStyle w:val="Header"/>
      <w:jc w:val="center"/>
    </w:pPr>
    <w:r>
      <w:t>Фискална стратегија за 2019. годину са пројекцијама за 2020. и 2021. годину</w:t>
    </w:r>
  </w:p>
  <w:p w14:paraId="7451EDDF" w14:textId="77777777" w:rsidR="005106D7" w:rsidRDefault="005106D7">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625AA7" w14:textId="77777777" w:rsidR="005106D7" w:rsidRPr="00F061F2" w:rsidRDefault="005106D7"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353C7151" w14:textId="77777777" w:rsidR="005106D7" w:rsidRDefault="005106D7">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548E7" w14:textId="77777777" w:rsidR="005106D7" w:rsidRPr="00BF7F6A" w:rsidRDefault="005106D7" w:rsidP="00BD7EB6">
    <w:pPr>
      <w:pStyle w:val="Header"/>
      <w:jc w:val="center"/>
    </w:pPr>
    <w:r>
      <w:t>Фискална стратегија за 2019. годину са пројекцијама за 2020. и 2021. годину</w:t>
    </w:r>
  </w:p>
  <w:p w14:paraId="34DAC752" w14:textId="77777777" w:rsidR="005106D7" w:rsidRDefault="005106D7">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D1680" w14:textId="77777777" w:rsidR="005106D7" w:rsidRPr="00F061F2" w:rsidRDefault="005106D7"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76F4DD20" w14:textId="77777777" w:rsidR="005106D7" w:rsidRPr="004F72C4" w:rsidRDefault="005106D7" w:rsidP="004F72C4">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650B5" w14:textId="77777777" w:rsidR="005106D7" w:rsidRPr="00242248" w:rsidRDefault="005106D7" w:rsidP="000D3688">
    <w:pPr>
      <w:pStyle w:val="Header"/>
      <w:jc w:val="center"/>
    </w:pPr>
    <w:r w:rsidRPr="006C57DB">
      <w:rPr>
        <w:lang w:val="sr-Cyrl-RS"/>
      </w:rPr>
      <w:t xml:space="preserve">Фискална </w:t>
    </w:r>
    <w:r w:rsidRPr="00361C29">
      <w:rPr>
        <w:lang w:val="sr-Cyrl-RS"/>
      </w:rPr>
      <w:t>стратегија за 20</w:t>
    </w:r>
    <w:r>
      <w:rPr>
        <w:lang w:val="sr-Cyrl-RS"/>
      </w:rPr>
      <w:t>2</w:t>
    </w:r>
    <w:r>
      <w:rPr>
        <w:lang w:val="en-GB"/>
      </w:rPr>
      <w:t>4</w:t>
    </w:r>
    <w:r w:rsidRPr="00361C29">
      <w:rPr>
        <w:lang w:val="sr-Cyrl-RS"/>
      </w:rPr>
      <w:t>. годину са пројекцијама за 202</w:t>
    </w:r>
    <w:r>
      <w:rPr>
        <w:lang w:val="en-GB"/>
      </w:rPr>
      <w:t>5</w:t>
    </w:r>
    <w:r w:rsidRPr="00361C29">
      <w:rPr>
        <w:lang w:val="sr-Cyrl-RS"/>
      </w:rPr>
      <w:t>. и 202</w:t>
    </w:r>
    <w:r>
      <w:rPr>
        <w:lang w:val="en-GB"/>
      </w:rPr>
      <w:t>6</w:t>
    </w:r>
    <w:r w:rsidRPr="00361C29">
      <w:rPr>
        <w:lang w:val="sr-Cyrl-RS"/>
      </w:rPr>
      <w:t>. годину</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48E9B6" w14:textId="1260F84B" w:rsidR="005106D7" w:rsidRPr="00A401B9" w:rsidRDefault="005106D7" w:rsidP="00A401B9">
    <w:pPr>
      <w:pStyle w:val="Header"/>
      <w:jc w:val="center"/>
      <w:rPr>
        <w:lang w:val="sr-Cyrl-RS"/>
      </w:rPr>
    </w:pPr>
    <w:r>
      <w:rPr>
        <w:lang w:val="sr-Cyrl-RS"/>
      </w:rPr>
      <w:t>Фискална стратегија за 2024. годину са пројекцијама за 2025. и 2026. годину</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D1C59" w14:textId="77777777" w:rsidR="005106D7" w:rsidRPr="00F061F2" w:rsidRDefault="005106D7" w:rsidP="005D42AC">
    <w:pPr>
      <w:pStyle w:val="Header"/>
      <w:jc w:val="center"/>
    </w:pPr>
    <w:r>
      <w:t>Фискална стратегија за 2021. годину са пројекцијама за 2022. и 2023</w:t>
    </w:r>
    <w:r w:rsidRPr="00F061F2">
      <w:t>. годину</w:t>
    </w:r>
  </w:p>
  <w:p w14:paraId="04A5732E" w14:textId="77777777" w:rsidR="005106D7" w:rsidRPr="004F72C4" w:rsidRDefault="005106D7" w:rsidP="004F72C4">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B63DA" w14:textId="77777777" w:rsidR="005106D7" w:rsidRPr="005B70C8" w:rsidRDefault="005106D7" w:rsidP="000D3688">
    <w:pPr>
      <w:pStyle w:val="Header"/>
      <w:jc w:val="center"/>
    </w:pPr>
    <w:r w:rsidRPr="006C57DB">
      <w:rPr>
        <w:lang w:val="sr-Cyrl-RS"/>
      </w:rPr>
      <w:t xml:space="preserve">Фискална </w:t>
    </w:r>
    <w:r w:rsidRPr="00361C29">
      <w:rPr>
        <w:lang w:val="sr-Cyrl-RS"/>
      </w:rPr>
      <w:t>стратегија за 20</w:t>
    </w:r>
    <w:r>
      <w:rPr>
        <w:lang w:val="sr-Cyrl-RS"/>
      </w:rPr>
      <w:t>2</w:t>
    </w:r>
    <w:r>
      <w:rPr>
        <w:lang w:val="en-GB"/>
      </w:rPr>
      <w:t>4</w:t>
    </w:r>
    <w:r w:rsidRPr="00361C29">
      <w:rPr>
        <w:lang w:val="sr-Cyrl-RS"/>
      </w:rPr>
      <w:t>. годину са пројекцијама за 202</w:t>
    </w:r>
    <w:r>
      <w:rPr>
        <w:lang w:val="en-GB"/>
      </w:rPr>
      <w:t>5</w:t>
    </w:r>
    <w:r w:rsidRPr="00361C29">
      <w:rPr>
        <w:lang w:val="sr-Cyrl-RS"/>
      </w:rPr>
      <w:t>. и 202</w:t>
    </w:r>
    <w:r>
      <w:rPr>
        <w:lang w:val="en-GB"/>
      </w:rPr>
      <w:t>6</w:t>
    </w:r>
    <w:r w:rsidRPr="00361C29">
      <w:rPr>
        <w:lang w:val="sr-Cyrl-RS"/>
      </w:rPr>
      <w:t>. годину</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F39DE" w14:textId="77777777" w:rsidR="005106D7" w:rsidRPr="00BF7F6A" w:rsidRDefault="005106D7" w:rsidP="00BD7EB6">
    <w:pPr>
      <w:pStyle w:val="Header"/>
      <w:jc w:val="center"/>
    </w:pPr>
    <w:r>
      <w:t>Фискална стратегија за 2019. годину са пројекцијама за 2020. и 2021. годину</w:t>
    </w:r>
  </w:p>
  <w:p w14:paraId="511BE4CC" w14:textId="77777777" w:rsidR="005106D7" w:rsidRDefault="005106D7">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D6FC3" w14:textId="77777777" w:rsidR="005106D7" w:rsidRPr="00F061F2" w:rsidRDefault="005106D7" w:rsidP="00C130D2">
    <w:pPr>
      <w:pStyle w:val="Header"/>
      <w:jc w:val="center"/>
    </w:pPr>
    <w:r w:rsidRPr="00724C89">
      <w:t xml:space="preserve">Ревидирана фискална </w:t>
    </w:r>
    <w:r>
      <w:t>стратегија за 2020. годину са пројекцијама за 2021. и 2022</w:t>
    </w:r>
    <w:r w:rsidRPr="00F061F2">
      <w:t>. годину</w:t>
    </w:r>
  </w:p>
  <w:p w14:paraId="4ED563E1" w14:textId="77777777" w:rsidR="005106D7" w:rsidRPr="004F72C4" w:rsidRDefault="005106D7" w:rsidP="004F72C4">
    <w:pPr>
      <w:pStyle w:val="Header"/>
    </w:pPr>
  </w:p>
  <w:p w14:paraId="6B6598FC" w14:textId="77777777" w:rsidR="005106D7" w:rsidRDefault="005106D7"/>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AA335" w14:textId="77777777" w:rsidR="005106D7" w:rsidRPr="000766DD" w:rsidRDefault="005106D7" w:rsidP="000766DD">
    <w:pPr>
      <w:pStyle w:val="Header"/>
    </w:pPr>
  </w:p>
  <w:p w14:paraId="162402C5" w14:textId="77777777" w:rsidR="005106D7" w:rsidRDefault="005106D7"/>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340F4" w14:textId="77777777" w:rsidR="005106D7" w:rsidRPr="00BF7F6A" w:rsidRDefault="005106D7" w:rsidP="00BD7EB6">
    <w:pPr>
      <w:pStyle w:val="Header"/>
      <w:jc w:val="center"/>
    </w:pPr>
    <w:r>
      <w:t>Фискална стратегија за 2019. годину са пројекцијама за 2020. и 2021. годину</w:t>
    </w:r>
  </w:p>
  <w:p w14:paraId="604F932D" w14:textId="77777777" w:rsidR="005106D7" w:rsidRDefault="005106D7">
    <w:pPr>
      <w:pStyle w:val="Header"/>
    </w:pPr>
  </w:p>
  <w:p w14:paraId="67CE0A93" w14:textId="77777777" w:rsidR="005106D7" w:rsidRDefault="005106D7"/>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09B13D" w14:textId="77777777" w:rsidR="005106D7" w:rsidRPr="00F061F2" w:rsidRDefault="005106D7"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14E152CB" w14:textId="77777777" w:rsidR="005106D7" w:rsidRDefault="005106D7">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B27481" w14:textId="77777777" w:rsidR="005106D7" w:rsidRDefault="005106D7" w:rsidP="000D3688">
    <w:pPr>
      <w:pStyle w:val="Header"/>
      <w:jc w:val="center"/>
    </w:pPr>
    <w:r>
      <w:rPr>
        <w:lang w:val="sr-Cyrl-RS"/>
      </w:rPr>
      <w:t>Ревидирана Фискална стратегија за 202</w:t>
    </w:r>
    <w:r>
      <w:rPr>
        <w:lang w:val="en-GB"/>
      </w:rPr>
      <w:t>3</w:t>
    </w:r>
    <w:r>
      <w:rPr>
        <w:lang w:val="sr-Cyrl-RS"/>
      </w:rPr>
      <w:t>. годину са пројекцијама за 202</w:t>
    </w:r>
    <w:r>
      <w:rPr>
        <w:lang w:val="en-GB"/>
      </w:rPr>
      <w:t>4</w:t>
    </w:r>
    <w:r>
      <w:rPr>
        <w:lang w:val="sr-Cyrl-RS"/>
      </w:rPr>
      <w:t>. и 202</w:t>
    </w:r>
    <w:r>
      <w:rPr>
        <w:lang w:val="en-GB"/>
      </w:rPr>
      <w:t>5</w:t>
    </w:r>
    <w:r>
      <w:rPr>
        <w:lang w:val="sr-Cyrl-RS"/>
      </w:rPr>
      <w:t>. годину</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18367A" w14:textId="77777777" w:rsidR="005106D7" w:rsidRPr="00BF7F6A" w:rsidRDefault="005106D7" w:rsidP="00BD7EB6">
    <w:pPr>
      <w:pStyle w:val="Header"/>
      <w:jc w:val="center"/>
      <w:rPr>
        <w:lang w:val="sr-Cyrl-RS"/>
      </w:rPr>
    </w:pPr>
    <w:r>
      <w:rPr>
        <w:lang w:val="sr-Cyrl-RS"/>
      </w:rPr>
      <w:t>Фискална стратегија за 2019. годину са пројекцијама за 2020. и 2021. годину</w:t>
    </w:r>
  </w:p>
  <w:p w14:paraId="07EEB35A" w14:textId="77777777" w:rsidR="005106D7" w:rsidRDefault="005106D7">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54C78" w14:textId="77777777" w:rsidR="005106D7" w:rsidRPr="00F061F2" w:rsidRDefault="005106D7"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1E9360E0" w14:textId="77777777" w:rsidR="005106D7" w:rsidRDefault="005106D7">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5F2630" w14:textId="77777777" w:rsidR="005106D7" w:rsidRDefault="005106D7" w:rsidP="00E05893">
    <w:pPr>
      <w:pStyle w:val="Header"/>
      <w:jc w:val="center"/>
    </w:pP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95D591" w14:textId="21FB96D1" w:rsidR="005106D7" w:rsidRPr="00A401B9" w:rsidRDefault="005106D7" w:rsidP="00A401B9">
    <w:pPr>
      <w:pStyle w:val="Header"/>
      <w:jc w:val="center"/>
      <w:rPr>
        <w:lang w:val="sr-Cyrl-RS"/>
      </w:rPr>
    </w:pPr>
    <w:r>
      <w:rPr>
        <w:lang w:val="sr-Cyrl-RS"/>
      </w:rPr>
      <w:t>Фискална стратегија за 2024. годину са пројекцијама за 2025. и 2026. годину</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56A610" w14:textId="77777777" w:rsidR="005106D7" w:rsidRPr="00F061F2" w:rsidRDefault="005106D7" w:rsidP="00C130D2">
    <w:pPr>
      <w:pStyle w:val="Header"/>
      <w:jc w:val="center"/>
    </w:pPr>
    <w:r w:rsidRPr="00724C89">
      <w:t xml:space="preserve">Ревидирана фискална </w:t>
    </w:r>
    <w:r>
      <w:t>стратегија за 2020. годину са пројекцијама за 2021. и 2022</w:t>
    </w:r>
    <w:r w:rsidRPr="00F061F2">
      <w:t>. годину</w:t>
    </w:r>
  </w:p>
  <w:p w14:paraId="412D8A34" w14:textId="77777777" w:rsidR="005106D7" w:rsidRDefault="005106D7">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F0906" w14:textId="77777777" w:rsidR="005106D7" w:rsidRPr="00A20B14" w:rsidRDefault="005106D7" w:rsidP="00E05893">
    <w:pPr>
      <w:pStyle w:val="Header"/>
      <w:jc w:val="center"/>
    </w:pP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B5EB0D" w14:textId="77777777" w:rsidR="005106D7" w:rsidRPr="00BF7F6A" w:rsidRDefault="005106D7" w:rsidP="00BD7EB6">
    <w:pPr>
      <w:pStyle w:val="Header"/>
      <w:jc w:val="center"/>
    </w:pPr>
    <w:r>
      <w:t>Фискална стратегија за 2019. годину са пројекцијама за 2020. и 2021. годину</w:t>
    </w:r>
  </w:p>
  <w:p w14:paraId="4C0724E5" w14:textId="77777777" w:rsidR="005106D7" w:rsidRDefault="005106D7">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440AB" w14:textId="77777777" w:rsidR="005106D7" w:rsidRPr="00F061F2" w:rsidRDefault="005106D7"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6E81B35D" w14:textId="77777777" w:rsidR="005106D7" w:rsidRDefault="005106D7">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44689" w14:textId="77777777" w:rsidR="005106D7" w:rsidRPr="00BF7F6A" w:rsidRDefault="005106D7" w:rsidP="00BD7EB6">
    <w:pPr>
      <w:pStyle w:val="Header"/>
      <w:jc w:val="center"/>
    </w:pPr>
    <w:r>
      <w:t>Фискална стратегија за 2019. годину са пројекцијама за 2020. и 2021. годину</w:t>
    </w:r>
  </w:p>
  <w:p w14:paraId="2582C0C6" w14:textId="77777777" w:rsidR="005106D7" w:rsidRDefault="005106D7">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A7D19" w14:textId="35DB0973" w:rsidR="005106D7" w:rsidRPr="00A401B9" w:rsidRDefault="005106D7" w:rsidP="00A401B9">
    <w:pPr>
      <w:pStyle w:val="Header"/>
      <w:jc w:val="center"/>
      <w:rPr>
        <w:lang w:val="sr-Cyrl-RS"/>
      </w:rPr>
    </w:pPr>
    <w:r>
      <w:rPr>
        <w:lang w:val="sr-Cyrl-RS"/>
      </w:rPr>
      <w:t>Фискална стратегија за 2024. годину са пројекцијама за 2025. и 2026. годину</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12E44" w14:textId="77777777" w:rsidR="005106D7" w:rsidRPr="00BF7F6A" w:rsidRDefault="005106D7" w:rsidP="00BD7EB6">
    <w:pPr>
      <w:pStyle w:val="Header"/>
      <w:jc w:val="center"/>
      <w:rPr>
        <w:lang w:val="sr-Cyrl-RS"/>
      </w:rPr>
    </w:pPr>
    <w:r>
      <w:rPr>
        <w:lang w:val="sr-Cyrl-RS"/>
      </w:rPr>
      <w:t>Фискална стратегија за 2019. годину са пројекцијама за 2020. и 2021. годину</w:t>
    </w:r>
  </w:p>
  <w:p w14:paraId="3828910A" w14:textId="77777777" w:rsidR="005106D7" w:rsidRDefault="005106D7">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30806" w14:textId="77777777" w:rsidR="005106D7" w:rsidRPr="00BF7F6A" w:rsidRDefault="005106D7" w:rsidP="00BD7EB6">
    <w:pPr>
      <w:pStyle w:val="Header"/>
      <w:jc w:val="center"/>
      <w:rPr>
        <w:lang w:val="sr-Cyrl-RS"/>
      </w:rPr>
    </w:pPr>
    <w:r>
      <w:rPr>
        <w:lang w:val="sr-Cyrl-RS"/>
      </w:rPr>
      <w:t>Фискална стратегија за 2019. годину са пројекцијама за 2020. и 2021. годину</w:t>
    </w:r>
  </w:p>
  <w:p w14:paraId="1F377B24" w14:textId="77777777" w:rsidR="005106D7" w:rsidRDefault="005106D7">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80F6DE" w14:textId="77777777" w:rsidR="005106D7" w:rsidRPr="00B6606B" w:rsidRDefault="005106D7" w:rsidP="000D3688">
    <w:pPr>
      <w:pStyle w:val="Header"/>
      <w:jc w:val="center"/>
    </w:pPr>
    <w:r w:rsidRPr="006C57DB">
      <w:rPr>
        <w:lang w:val="sr-Cyrl-RS"/>
      </w:rPr>
      <w:t xml:space="preserve">Фискална </w:t>
    </w:r>
    <w:r w:rsidRPr="00361C29">
      <w:rPr>
        <w:lang w:val="sr-Cyrl-RS"/>
      </w:rPr>
      <w:t>стратегија за 20</w:t>
    </w:r>
    <w:r>
      <w:rPr>
        <w:lang w:val="sr-Cyrl-RS"/>
      </w:rPr>
      <w:t>2</w:t>
    </w:r>
    <w:r>
      <w:rPr>
        <w:lang w:val="en-GB"/>
      </w:rPr>
      <w:t>4</w:t>
    </w:r>
    <w:r w:rsidRPr="00361C29">
      <w:rPr>
        <w:lang w:val="sr-Cyrl-RS"/>
      </w:rPr>
      <w:t>. годину са пројекцијама за 202</w:t>
    </w:r>
    <w:r>
      <w:rPr>
        <w:lang w:val="en-GB"/>
      </w:rPr>
      <w:t>5</w:t>
    </w:r>
    <w:r w:rsidRPr="00361C29">
      <w:rPr>
        <w:lang w:val="sr-Cyrl-RS"/>
      </w:rPr>
      <w:t>. и 202</w:t>
    </w:r>
    <w:r>
      <w:rPr>
        <w:lang w:val="en-GB"/>
      </w:rPr>
      <w:t>6</w:t>
    </w:r>
    <w:r w:rsidRPr="00361C29">
      <w:rPr>
        <w:lang w:val="sr-Cyrl-RS"/>
      </w:rPr>
      <w:t>. годину</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3C15C" w14:textId="77777777" w:rsidR="005106D7" w:rsidRDefault="005106D7" w:rsidP="000D3688">
    <w:pPr>
      <w:pStyle w:val="Header"/>
      <w:jc w:val="center"/>
    </w:pPr>
    <w:r>
      <w:rPr>
        <w:lang w:val="sr-Cyrl-RS"/>
      </w:rPr>
      <w:t>Ревидирана Фискална стратегија за 202</w:t>
    </w:r>
    <w:r>
      <w:rPr>
        <w:lang w:val="en-GB"/>
      </w:rPr>
      <w:t>3</w:t>
    </w:r>
    <w:r>
      <w:rPr>
        <w:lang w:val="sr-Cyrl-RS"/>
      </w:rPr>
      <w:t>. годину са пројекцијама за 202</w:t>
    </w:r>
    <w:r>
      <w:rPr>
        <w:lang w:val="en-GB"/>
      </w:rPr>
      <w:t>4</w:t>
    </w:r>
    <w:r>
      <w:rPr>
        <w:lang w:val="sr-Cyrl-RS"/>
      </w:rPr>
      <w:t>. и 202</w:t>
    </w:r>
    <w:r>
      <w:rPr>
        <w:lang w:val="en-GB"/>
      </w:rPr>
      <w:t>5</w:t>
    </w:r>
    <w:r>
      <w:rPr>
        <w:lang w:val="sr-Cyrl-RS"/>
      </w:rPr>
      <w:t>. годину</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F46770" w14:textId="77777777" w:rsidR="005106D7" w:rsidRDefault="005106D7" w:rsidP="00815831">
    <w:pPr>
      <w:pStyle w:val="Header"/>
      <w:jc w:val="center"/>
    </w:pPr>
    <w:r w:rsidRPr="00724C89">
      <w:t xml:space="preserve">Ревидирана фискална </w:t>
    </w:r>
    <w:r>
      <w:t>стратегија за 2020. годину са пројекцијама за 2021. и 2022</w:t>
    </w:r>
    <w:r w:rsidRPr="00F061F2">
      <w:t>. годину</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28AB8" w14:textId="77777777" w:rsidR="005106D7" w:rsidRPr="00BF7F6A" w:rsidRDefault="005106D7" w:rsidP="00BD7EB6">
    <w:pPr>
      <w:pStyle w:val="Header"/>
      <w:jc w:val="center"/>
    </w:pPr>
    <w:r>
      <w:t>Фискална стратегија за 2019. годину са пројекцијама за 2020. и 2021. годину</w:t>
    </w:r>
  </w:p>
  <w:p w14:paraId="258091AF" w14:textId="77777777" w:rsidR="005106D7" w:rsidRDefault="005106D7">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7C2C1" w14:textId="77777777" w:rsidR="005106D7" w:rsidRPr="003B6D80" w:rsidRDefault="005106D7" w:rsidP="00B349CD">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5283C" w14:textId="77777777" w:rsidR="005106D7" w:rsidRPr="00B37A64" w:rsidRDefault="005106D7" w:rsidP="00B349CD">
    <w:pPr>
      <w:pStyle w:val="Header"/>
      <w:jc w:val="center"/>
      <w:rPr>
        <w:color w:val="44546A"/>
      </w:rPr>
    </w:pPr>
    <w:r w:rsidRPr="001B3C0A">
      <w:rPr>
        <w:color w:val="44546A"/>
        <w:lang w:val="sr-Cyrl-RS"/>
      </w:rPr>
      <w:t>Фискална стратегија за 2024. годину са пројекцијама за 2025. и 2026. годину</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BC688" w14:textId="77777777" w:rsidR="005106D7" w:rsidRPr="00BF7F6A" w:rsidRDefault="005106D7" w:rsidP="00B349CD">
    <w:pPr>
      <w:pStyle w:val="Header"/>
      <w:jc w:val="center"/>
      <w:rPr>
        <w:lang w:val="sr-Cyrl-RS"/>
      </w:rPr>
    </w:pPr>
    <w:r>
      <w:rPr>
        <w:lang w:val="sr-Cyrl-RS"/>
      </w:rPr>
      <w:t>Фискална стратегија за 2019. годину са пројекцијама за 2020. и 2021. годину</w:t>
    </w:r>
  </w:p>
  <w:p w14:paraId="157C2221" w14:textId="77777777" w:rsidR="005106D7" w:rsidRDefault="005106D7">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A426B9" w14:textId="77777777" w:rsidR="005106D7" w:rsidRPr="003B6D80" w:rsidRDefault="005106D7" w:rsidP="00B349CD">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BFE27" w14:textId="77777777" w:rsidR="005106D7" w:rsidRPr="00BF7F6A" w:rsidRDefault="005106D7" w:rsidP="00B349CD">
    <w:pPr>
      <w:pStyle w:val="Header"/>
      <w:jc w:val="center"/>
      <w:rPr>
        <w:lang w:val="sr-Cyrl-RS"/>
      </w:rPr>
    </w:pPr>
    <w:r>
      <w:rPr>
        <w:lang w:val="sr-Cyrl-RS"/>
      </w:rPr>
      <w:t>Фискална стратегија за 2019. годину са пројекцијама за 2020. и 2021. годину</w:t>
    </w:r>
  </w:p>
  <w:p w14:paraId="26A20665" w14:textId="77777777" w:rsidR="005106D7" w:rsidRDefault="005106D7">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FC38F" w14:textId="77777777" w:rsidR="005106D7" w:rsidRPr="003B6D80" w:rsidRDefault="005106D7" w:rsidP="000D3688">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75B0C" w14:textId="77777777" w:rsidR="005106D7" w:rsidRPr="00BF7F6A" w:rsidRDefault="005106D7" w:rsidP="000D3688">
    <w:pPr>
      <w:pStyle w:val="Header"/>
      <w:jc w:val="center"/>
      <w:rPr>
        <w:lang w:val="sr-Cyrl-RS"/>
      </w:rPr>
    </w:pPr>
    <w:r>
      <w:rPr>
        <w:lang w:val="sr-Cyrl-RS"/>
      </w:rPr>
      <w:t>Фискална стратегија за 2019. годину са пројекцијама за 2020. и 2021. годину</w:t>
    </w:r>
  </w:p>
  <w:p w14:paraId="231C94D5" w14:textId="77777777" w:rsidR="005106D7" w:rsidRDefault="005106D7">
    <w:pPr>
      <w:pStyle w:val="Heade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5ED3A8" w14:textId="77777777" w:rsidR="005106D7" w:rsidRPr="00F061F2" w:rsidRDefault="005106D7" w:rsidP="005D42AC">
    <w:pPr>
      <w:pStyle w:val="Header"/>
      <w:jc w:val="center"/>
    </w:pPr>
    <w:r>
      <w:t>Фискална стратегија за 2021. годину са пројекцијама за 2022. и 2023</w:t>
    </w:r>
    <w:r w:rsidRPr="00F061F2">
      <w:t>. годину</w:t>
    </w:r>
  </w:p>
  <w:p w14:paraId="7AEA900C" w14:textId="77777777" w:rsidR="005106D7" w:rsidRPr="004F72C4" w:rsidRDefault="005106D7" w:rsidP="004F72C4">
    <w:pPr>
      <w:pStyle w:val="Heade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5D137B" w14:textId="77777777" w:rsidR="005106D7" w:rsidRPr="00ED5386" w:rsidRDefault="005106D7" w:rsidP="000D3688">
    <w:pPr>
      <w:pStyle w:val="Header"/>
      <w:jc w:val="center"/>
      <w:rPr>
        <w:lang w:val="sr-Cyrl-RS"/>
      </w:rPr>
    </w:pPr>
    <w:r>
      <w:rPr>
        <w:lang w:val="sr-Cyrl-RS"/>
      </w:rPr>
      <w:t>Фискална стратегија за 202</w:t>
    </w:r>
    <w:r>
      <w:rPr>
        <w:lang w:val="en-GB"/>
      </w:rPr>
      <w:t>4</w:t>
    </w:r>
    <w:r>
      <w:rPr>
        <w:lang w:val="sr-Cyrl-RS"/>
      </w:rPr>
      <w:t>. годину са пројекцијама за 202</w:t>
    </w:r>
    <w:r>
      <w:t>5</w:t>
    </w:r>
    <w:r>
      <w:rPr>
        <w:lang w:val="sr-Cyrl-RS"/>
      </w:rPr>
      <w:t>. и 2026. годину</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82E7DC" w14:textId="77777777" w:rsidR="005106D7" w:rsidRPr="00BF7F6A" w:rsidRDefault="005106D7" w:rsidP="00BD7EB6">
    <w:pPr>
      <w:pStyle w:val="Header"/>
      <w:jc w:val="center"/>
    </w:pPr>
    <w:r>
      <w:t>Фискална стратегија за 2019. годину са пројекцијама за 2020. и 2021. годину</w:t>
    </w:r>
  </w:p>
  <w:p w14:paraId="6205A54E" w14:textId="77777777" w:rsidR="005106D7" w:rsidRDefault="005106D7">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74133" w14:textId="77777777" w:rsidR="005106D7" w:rsidRPr="003B6D80" w:rsidRDefault="005106D7" w:rsidP="000D3688">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782B6" w14:textId="77777777" w:rsidR="005106D7" w:rsidRPr="00BF7F6A" w:rsidRDefault="005106D7" w:rsidP="000D3688">
    <w:pPr>
      <w:pStyle w:val="Header"/>
      <w:jc w:val="center"/>
      <w:rPr>
        <w:lang w:val="sr-Cyrl-RS"/>
      </w:rPr>
    </w:pPr>
    <w:r>
      <w:rPr>
        <w:lang w:val="sr-Cyrl-RS"/>
      </w:rPr>
      <w:t>Фискална стратегија за 2019. годину са пројекцијама за 2020. и 2021. годину</w:t>
    </w:r>
  </w:p>
  <w:p w14:paraId="185E388A" w14:textId="77777777" w:rsidR="005106D7" w:rsidRDefault="005106D7">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19400" w14:textId="77777777" w:rsidR="005106D7" w:rsidRDefault="005106D7" w:rsidP="005158F5">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p w14:paraId="6847AB06" w14:textId="77777777" w:rsidR="005106D7" w:rsidRDefault="005106D7"/>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90270" w14:textId="44BD67F7" w:rsidR="005106D7" w:rsidRPr="00A401B9" w:rsidRDefault="005106D7" w:rsidP="00A401B9">
    <w:pPr>
      <w:pStyle w:val="Header"/>
      <w:jc w:val="center"/>
      <w:rPr>
        <w:lang w:val="sr-Cyrl-RS"/>
      </w:rPr>
    </w:pPr>
    <w:r>
      <w:rPr>
        <w:lang w:val="sr-Cyrl-RS"/>
      </w:rPr>
      <w:t>Фискална стратегија за 2024. годину са пројекцијама за 2025. и 2026. годину</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E803F" w14:textId="77777777" w:rsidR="005106D7" w:rsidRPr="00BF7F6A" w:rsidRDefault="005106D7" w:rsidP="00BD7EB6">
    <w:pPr>
      <w:pStyle w:val="Header"/>
      <w:jc w:val="center"/>
      <w:rPr>
        <w:lang w:val="sr-Cyrl-RS"/>
      </w:rPr>
    </w:pPr>
    <w:r>
      <w:rPr>
        <w:lang w:val="sr-Cyrl-RS"/>
      </w:rPr>
      <w:t>Фискална стратегија за 2019. годину са пројекцијама за 2020. и 2021. годину</w:t>
    </w:r>
  </w:p>
  <w:p w14:paraId="02FAB500" w14:textId="77777777" w:rsidR="005106D7" w:rsidRDefault="005106D7">
    <w:pPr>
      <w:pStyle w:val="Header"/>
    </w:pPr>
  </w:p>
  <w:p w14:paraId="66FE78BF" w14:textId="77777777" w:rsidR="005106D7" w:rsidRDefault="005106D7"/>
  <w:p w14:paraId="4B6B169F" w14:textId="77777777" w:rsidR="005106D7" w:rsidRDefault="005106D7"/>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02804" w14:textId="77777777" w:rsidR="005106D7" w:rsidRDefault="005106D7" w:rsidP="005158F5">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p w14:paraId="01DC0111" w14:textId="77777777" w:rsidR="005106D7" w:rsidRDefault="005106D7"/>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88BA4" w14:textId="77777777" w:rsidR="005106D7" w:rsidRPr="00D15A77" w:rsidRDefault="005106D7" w:rsidP="00C91F83">
    <w:pPr>
      <w:pStyle w:val="Header"/>
      <w:jc w:val="center"/>
      <w:rPr>
        <w:lang w:val="sr-Cyrl-RS"/>
      </w:rPr>
    </w:pPr>
    <w:r>
      <w:rPr>
        <w:lang w:val="sr-Cyrl-RS"/>
      </w:rPr>
      <w:t>Фискална стратегија за 20</w:t>
    </w:r>
    <w:r>
      <w:rPr>
        <w:lang w:val="sr-Latn-RS"/>
      </w:rPr>
      <w:t>24</w:t>
    </w:r>
    <w:r>
      <w:rPr>
        <w:lang w:val="sr-Cyrl-RS"/>
      </w:rPr>
      <w:t>. годину са пројекцијама за 202</w:t>
    </w:r>
    <w:r>
      <w:rPr>
        <w:lang w:val="sr-Latn-RS"/>
      </w:rPr>
      <w:t>5</w:t>
    </w:r>
    <w:r>
      <w:rPr>
        <w:lang w:val="sr-Cyrl-RS"/>
      </w:rPr>
      <w:t>. и 202</w:t>
    </w:r>
    <w:r>
      <w:rPr>
        <w:lang w:val="sr-Latn-RS"/>
      </w:rPr>
      <w:t>6</w:t>
    </w:r>
    <w:r>
      <w:rPr>
        <w:lang w:val="sr-Cyrl-RS"/>
      </w:rPr>
      <w:t>. годину</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FE0C71" w14:textId="77777777" w:rsidR="005106D7" w:rsidRPr="00BF7F6A" w:rsidRDefault="005106D7" w:rsidP="00BD7EB6">
    <w:pPr>
      <w:pStyle w:val="Header"/>
      <w:jc w:val="center"/>
      <w:rPr>
        <w:lang w:val="sr-Cyrl-RS"/>
      </w:rPr>
    </w:pPr>
    <w:r>
      <w:rPr>
        <w:lang w:val="sr-Cyrl-RS"/>
      </w:rPr>
      <w:t>Фискална стратегија за 2019. годину са пројекцијама за 2020. и 2021. годину</w:t>
    </w:r>
  </w:p>
  <w:p w14:paraId="59300E09" w14:textId="77777777" w:rsidR="005106D7" w:rsidRDefault="005106D7">
    <w:pPr>
      <w:pStyle w:val="Header"/>
    </w:pPr>
  </w:p>
  <w:p w14:paraId="239757F2" w14:textId="77777777" w:rsidR="005106D7" w:rsidRDefault="005106D7"/>
  <w:p w14:paraId="0015AF3E" w14:textId="77777777" w:rsidR="005106D7" w:rsidRDefault="005106D7"/>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1FFEB" w14:textId="77777777" w:rsidR="005106D7" w:rsidRDefault="005106D7" w:rsidP="005158F5">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p w14:paraId="7613AF7D" w14:textId="77777777" w:rsidR="005106D7" w:rsidRDefault="005106D7"/>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EDA3C" w14:textId="77777777" w:rsidR="005106D7" w:rsidRPr="0045770D" w:rsidRDefault="005106D7" w:rsidP="00523B7B">
    <w:pPr>
      <w:pStyle w:val="Header"/>
      <w:jc w:val="center"/>
      <w:rPr>
        <w:lang w:val="sr-Cyrl-RS"/>
      </w:rPr>
    </w:pPr>
    <w:r>
      <w:rPr>
        <w:lang w:val="sr-Cyrl-RS"/>
      </w:rPr>
      <w:t>Фискална стратегија за 20</w:t>
    </w:r>
    <w:r>
      <w:rPr>
        <w:lang w:val="sr-Latn-RS"/>
      </w:rPr>
      <w:t>24</w:t>
    </w:r>
    <w:r>
      <w:rPr>
        <w:lang w:val="sr-Cyrl-RS"/>
      </w:rPr>
      <w:t>. годину са пројекцијама за 202</w:t>
    </w:r>
    <w:r>
      <w:rPr>
        <w:lang w:val="sr-Latn-RS"/>
      </w:rPr>
      <w:t>5</w:t>
    </w:r>
    <w:r>
      <w:rPr>
        <w:lang w:val="sr-Cyrl-RS"/>
      </w:rPr>
      <w:t>. и 202</w:t>
    </w:r>
    <w:r>
      <w:rPr>
        <w:lang w:val="sr-Latn-RS"/>
      </w:rPr>
      <w:t>6</w:t>
    </w:r>
    <w:r>
      <w:rPr>
        <w:lang w:val="sr-Cyrl-RS"/>
      </w:rPr>
      <w:t>. годину</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2B7A8B" w14:textId="77777777" w:rsidR="005106D7" w:rsidRPr="00BF7F6A" w:rsidRDefault="005106D7" w:rsidP="00BD7EB6">
    <w:pPr>
      <w:pStyle w:val="Header"/>
      <w:jc w:val="center"/>
      <w:rPr>
        <w:lang w:val="sr-Cyrl-RS"/>
      </w:rPr>
    </w:pPr>
    <w:r>
      <w:rPr>
        <w:lang w:val="sr-Cyrl-RS"/>
      </w:rPr>
      <w:t>Фискална стратегија за 2019. годину са пројекцијама за 2020. и 2021. годину</w:t>
    </w:r>
  </w:p>
  <w:p w14:paraId="5C091AEF" w14:textId="77777777" w:rsidR="005106D7" w:rsidRDefault="005106D7">
    <w:pPr>
      <w:pStyle w:val="Header"/>
    </w:pPr>
  </w:p>
  <w:p w14:paraId="645B2700" w14:textId="77777777" w:rsidR="005106D7" w:rsidRDefault="005106D7"/>
  <w:p w14:paraId="17F42596" w14:textId="77777777" w:rsidR="005106D7" w:rsidRDefault="005106D7"/>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5FC827" w14:textId="77777777" w:rsidR="005106D7" w:rsidRDefault="005106D7" w:rsidP="005158F5">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p w14:paraId="1F8E4601" w14:textId="77777777" w:rsidR="005106D7" w:rsidRDefault="005106D7"/>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A41A3" w14:textId="2AF9039C" w:rsidR="005106D7" w:rsidRPr="00A401B9" w:rsidRDefault="005106D7" w:rsidP="00A401B9">
    <w:pPr>
      <w:pStyle w:val="Header"/>
      <w:jc w:val="center"/>
      <w:rPr>
        <w:lang w:val="sr-Cyrl-RS"/>
      </w:rPr>
    </w:pPr>
    <w:r>
      <w:rPr>
        <w:lang w:val="sr-Cyrl-RS"/>
      </w:rPr>
      <w:t>Фискална стратегија за 2024. годину са пројекцијама за 2025. и 2026. годину</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9FE63" w14:textId="074D15D6" w:rsidR="005106D7" w:rsidRPr="00BF7F6A" w:rsidRDefault="005106D7" w:rsidP="00BD7EB6">
    <w:pPr>
      <w:pStyle w:val="Header"/>
      <w:jc w:val="center"/>
      <w:rPr>
        <w:lang w:val="sr-Cyrl-RS"/>
      </w:rPr>
    </w:pPr>
    <w:r>
      <w:rPr>
        <w:lang w:val="sr-Cyrl-RS"/>
      </w:rPr>
      <w:t>Фискална стратегија за 2024. годину са пројекцијама за 2025. и 2026. годину</w: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6073E" w14:textId="77777777" w:rsidR="005106D7" w:rsidRDefault="005106D7">
    <w:pPr>
      <w:pStyle w:val="Header"/>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E01A3" w14:textId="77777777" w:rsidR="005106D7" w:rsidRDefault="005106D7">
    <w:pPr>
      <w:pStyle w:val="Header"/>
    </w:pP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56729D" w14:textId="77777777" w:rsidR="005106D7" w:rsidRPr="00471B1E" w:rsidRDefault="005106D7" w:rsidP="003911D0">
    <w:pPr>
      <w:pStyle w:val="Header"/>
      <w:jc w:val="center"/>
      <w:rPr>
        <w:lang w:val="en-GB"/>
      </w:rPr>
    </w:pP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C328B3"/>
    <w:multiLevelType w:val="hybridMultilevel"/>
    <w:tmpl w:val="4B800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7C45D5"/>
    <w:multiLevelType w:val="hybridMultilevel"/>
    <w:tmpl w:val="9756494C"/>
    <w:lvl w:ilvl="0" w:tplc="281A0001">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 w15:restartNumberingAfterBreak="0">
    <w:nsid w:val="20FA5E91"/>
    <w:multiLevelType w:val="hybridMultilevel"/>
    <w:tmpl w:val="5DF4BD4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11B23A4"/>
    <w:multiLevelType w:val="hybridMultilevel"/>
    <w:tmpl w:val="0F4E72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14850F7"/>
    <w:multiLevelType w:val="hybridMultilevel"/>
    <w:tmpl w:val="9D58C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B5F6A1A"/>
    <w:multiLevelType w:val="hybridMultilevel"/>
    <w:tmpl w:val="6358C0B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F974621"/>
    <w:multiLevelType w:val="hybridMultilevel"/>
    <w:tmpl w:val="3D1E117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3817CF4"/>
    <w:multiLevelType w:val="hybridMultilevel"/>
    <w:tmpl w:val="BBAC36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A85611"/>
    <w:multiLevelType w:val="multilevel"/>
    <w:tmpl w:val="18667D1A"/>
    <w:lvl w:ilvl="0">
      <w:start w:val="1"/>
      <w:numFmt w:val="decimal"/>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15:restartNumberingAfterBreak="0">
    <w:nsid w:val="4D6972A3"/>
    <w:multiLevelType w:val="hybridMultilevel"/>
    <w:tmpl w:val="3750566E"/>
    <w:lvl w:ilvl="0" w:tplc="04090005">
      <w:start w:val="1"/>
      <w:numFmt w:val="bullet"/>
      <w:lvlText w:val=""/>
      <w:lvlJc w:val="left"/>
      <w:pPr>
        <w:ind w:left="1077" w:hanging="360"/>
      </w:pPr>
      <w:rPr>
        <w:rFonts w:ascii="Wingdings" w:hAnsi="Wingdings" w:hint="default"/>
      </w:rPr>
    </w:lvl>
    <w:lvl w:ilvl="1" w:tplc="04090003">
      <w:start w:val="1"/>
      <w:numFmt w:val="bullet"/>
      <w:lvlText w:val="o"/>
      <w:lvlJc w:val="left"/>
      <w:pPr>
        <w:ind w:left="1797" w:hanging="360"/>
      </w:pPr>
      <w:rPr>
        <w:rFonts w:ascii="Courier New" w:hAnsi="Courier New" w:cs="Courier New" w:hint="default"/>
      </w:rPr>
    </w:lvl>
    <w:lvl w:ilvl="2" w:tplc="04090005">
      <w:start w:val="1"/>
      <w:numFmt w:val="bullet"/>
      <w:lvlText w:val=""/>
      <w:lvlJc w:val="left"/>
      <w:pPr>
        <w:ind w:left="2517" w:hanging="360"/>
      </w:pPr>
      <w:rPr>
        <w:rFonts w:ascii="Wingdings" w:hAnsi="Wingdings" w:hint="default"/>
      </w:rPr>
    </w:lvl>
    <w:lvl w:ilvl="3" w:tplc="04090001">
      <w:start w:val="1"/>
      <w:numFmt w:val="bullet"/>
      <w:lvlText w:val=""/>
      <w:lvlJc w:val="left"/>
      <w:pPr>
        <w:ind w:left="3237" w:hanging="360"/>
      </w:pPr>
      <w:rPr>
        <w:rFonts w:ascii="Symbol" w:hAnsi="Symbol" w:hint="default"/>
      </w:rPr>
    </w:lvl>
    <w:lvl w:ilvl="4" w:tplc="04090003">
      <w:start w:val="1"/>
      <w:numFmt w:val="bullet"/>
      <w:lvlText w:val="o"/>
      <w:lvlJc w:val="left"/>
      <w:pPr>
        <w:ind w:left="3957" w:hanging="360"/>
      </w:pPr>
      <w:rPr>
        <w:rFonts w:ascii="Courier New" w:hAnsi="Courier New" w:cs="Courier New" w:hint="default"/>
      </w:rPr>
    </w:lvl>
    <w:lvl w:ilvl="5" w:tplc="04090005">
      <w:start w:val="1"/>
      <w:numFmt w:val="bullet"/>
      <w:lvlText w:val=""/>
      <w:lvlJc w:val="left"/>
      <w:pPr>
        <w:ind w:left="4677" w:hanging="360"/>
      </w:pPr>
      <w:rPr>
        <w:rFonts w:ascii="Wingdings" w:hAnsi="Wingdings" w:hint="default"/>
      </w:rPr>
    </w:lvl>
    <w:lvl w:ilvl="6" w:tplc="04090001">
      <w:start w:val="1"/>
      <w:numFmt w:val="bullet"/>
      <w:lvlText w:val=""/>
      <w:lvlJc w:val="left"/>
      <w:pPr>
        <w:ind w:left="5397" w:hanging="360"/>
      </w:pPr>
      <w:rPr>
        <w:rFonts w:ascii="Symbol" w:hAnsi="Symbol" w:hint="default"/>
      </w:rPr>
    </w:lvl>
    <w:lvl w:ilvl="7" w:tplc="04090003">
      <w:start w:val="1"/>
      <w:numFmt w:val="bullet"/>
      <w:lvlText w:val="o"/>
      <w:lvlJc w:val="left"/>
      <w:pPr>
        <w:ind w:left="6117" w:hanging="360"/>
      </w:pPr>
      <w:rPr>
        <w:rFonts w:ascii="Courier New" w:hAnsi="Courier New" w:cs="Courier New" w:hint="default"/>
      </w:rPr>
    </w:lvl>
    <w:lvl w:ilvl="8" w:tplc="04090005">
      <w:start w:val="1"/>
      <w:numFmt w:val="bullet"/>
      <w:lvlText w:val=""/>
      <w:lvlJc w:val="left"/>
      <w:pPr>
        <w:ind w:left="6837" w:hanging="360"/>
      </w:pPr>
      <w:rPr>
        <w:rFonts w:ascii="Wingdings" w:hAnsi="Wingdings" w:hint="default"/>
      </w:rPr>
    </w:lvl>
  </w:abstractNum>
  <w:abstractNum w:abstractNumId="10" w15:restartNumberingAfterBreak="0">
    <w:nsid w:val="4E321928"/>
    <w:multiLevelType w:val="hybridMultilevel"/>
    <w:tmpl w:val="7D3273FE"/>
    <w:lvl w:ilvl="0" w:tplc="04090005">
      <w:start w:val="1"/>
      <w:numFmt w:val="bullet"/>
      <w:lvlText w:val=""/>
      <w:lvlJc w:val="left"/>
      <w:pPr>
        <w:ind w:left="1797" w:hanging="360"/>
      </w:pPr>
      <w:rPr>
        <w:rFonts w:ascii="Wingdings" w:hAnsi="Wingdings" w:hint="default"/>
      </w:rPr>
    </w:lvl>
    <w:lvl w:ilvl="1" w:tplc="04090003">
      <w:start w:val="1"/>
      <w:numFmt w:val="bullet"/>
      <w:lvlText w:val="o"/>
      <w:lvlJc w:val="left"/>
      <w:pPr>
        <w:ind w:left="2517" w:hanging="360"/>
      </w:pPr>
      <w:rPr>
        <w:rFonts w:ascii="Courier New" w:hAnsi="Courier New" w:cs="Courier New" w:hint="default"/>
      </w:rPr>
    </w:lvl>
    <w:lvl w:ilvl="2" w:tplc="04090005">
      <w:start w:val="1"/>
      <w:numFmt w:val="bullet"/>
      <w:lvlText w:val=""/>
      <w:lvlJc w:val="left"/>
      <w:pPr>
        <w:ind w:left="3237" w:hanging="360"/>
      </w:pPr>
      <w:rPr>
        <w:rFonts w:ascii="Wingdings" w:hAnsi="Wingdings" w:hint="default"/>
      </w:rPr>
    </w:lvl>
    <w:lvl w:ilvl="3" w:tplc="04090001">
      <w:start w:val="1"/>
      <w:numFmt w:val="bullet"/>
      <w:lvlText w:val=""/>
      <w:lvlJc w:val="left"/>
      <w:pPr>
        <w:ind w:left="3957" w:hanging="360"/>
      </w:pPr>
      <w:rPr>
        <w:rFonts w:ascii="Symbol" w:hAnsi="Symbol" w:hint="default"/>
      </w:rPr>
    </w:lvl>
    <w:lvl w:ilvl="4" w:tplc="04090003">
      <w:start w:val="1"/>
      <w:numFmt w:val="bullet"/>
      <w:lvlText w:val="o"/>
      <w:lvlJc w:val="left"/>
      <w:pPr>
        <w:ind w:left="4677" w:hanging="360"/>
      </w:pPr>
      <w:rPr>
        <w:rFonts w:ascii="Courier New" w:hAnsi="Courier New" w:cs="Courier New" w:hint="default"/>
      </w:rPr>
    </w:lvl>
    <w:lvl w:ilvl="5" w:tplc="04090005">
      <w:start w:val="1"/>
      <w:numFmt w:val="bullet"/>
      <w:lvlText w:val=""/>
      <w:lvlJc w:val="left"/>
      <w:pPr>
        <w:ind w:left="5397" w:hanging="360"/>
      </w:pPr>
      <w:rPr>
        <w:rFonts w:ascii="Wingdings" w:hAnsi="Wingdings" w:hint="default"/>
      </w:rPr>
    </w:lvl>
    <w:lvl w:ilvl="6" w:tplc="04090001">
      <w:start w:val="1"/>
      <w:numFmt w:val="bullet"/>
      <w:lvlText w:val=""/>
      <w:lvlJc w:val="left"/>
      <w:pPr>
        <w:ind w:left="6117" w:hanging="360"/>
      </w:pPr>
      <w:rPr>
        <w:rFonts w:ascii="Symbol" w:hAnsi="Symbol" w:hint="default"/>
      </w:rPr>
    </w:lvl>
    <w:lvl w:ilvl="7" w:tplc="04090003">
      <w:start w:val="1"/>
      <w:numFmt w:val="bullet"/>
      <w:lvlText w:val="o"/>
      <w:lvlJc w:val="left"/>
      <w:pPr>
        <w:ind w:left="6837" w:hanging="360"/>
      </w:pPr>
      <w:rPr>
        <w:rFonts w:ascii="Courier New" w:hAnsi="Courier New" w:cs="Courier New" w:hint="default"/>
      </w:rPr>
    </w:lvl>
    <w:lvl w:ilvl="8" w:tplc="04090005">
      <w:start w:val="1"/>
      <w:numFmt w:val="bullet"/>
      <w:lvlText w:val=""/>
      <w:lvlJc w:val="left"/>
      <w:pPr>
        <w:ind w:left="7557" w:hanging="360"/>
      </w:pPr>
      <w:rPr>
        <w:rFonts w:ascii="Wingdings" w:hAnsi="Wingdings" w:hint="default"/>
      </w:rPr>
    </w:lvl>
  </w:abstractNum>
  <w:abstractNum w:abstractNumId="11" w15:restartNumberingAfterBreak="0">
    <w:nsid w:val="54592C15"/>
    <w:multiLevelType w:val="hybridMultilevel"/>
    <w:tmpl w:val="CC3CD6FE"/>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C003055"/>
    <w:multiLevelType w:val="hybridMultilevel"/>
    <w:tmpl w:val="DB8ACF72"/>
    <w:lvl w:ilvl="0" w:tplc="04090005">
      <w:start w:val="1"/>
      <w:numFmt w:val="bullet"/>
      <w:lvlText w:val=""/>
      <w:lvlJc w:val="left"/>
      <w:pPr>
        <w:ind w:left="720" w:hanging="360"/>
      </w:pPr>
      <w:rPr>
        <w:rFonts w:ascii="Wingdings" w:hAnsi="Wingdings" w:hint="default"/>
      </w:rPr>
    </w:lvl>
    <w:lvl w:ilvl="1" w:tplc="CE94C130">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A75434"/>
    <w:multiLevelType w:val="hybridMultilevel"/>
    <w:tmpl w:val="1F682A8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F667808"/>
    <w:multiLevelType w:val="hybridMultilevel"/>
    <w:tmpl w:val="38E0640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430566"/>
    <w:multiLevelType w:val="hybridMultilevel"/>
    <w:tmpl w:val="8BBC2D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44B4078"/>
    <w:multiLevelType w:val="hybridMultilevel"/>
    <w:tmpl w:val="E1122C1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B74E8F"/>
    <w:multiLevelType w:val="hybridMultilevel"/>
    <w:tmpl w:val="335221A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78869C2"/>
    <w:multiLevelType w:val="hybridMultilevel"/>
    <w:tmpl w:val="F64093A4"/>
    <w:lvl w:ilvl="0" w:tplc="04090005">
      <w:start w:val="1"/>
      <w:numFmt w:val="bullet"/>
      <w:lvlText w:val=""/>
      <w:lvlJc w:val="left"/>
      <w:pPr>
        <w:ind w:left="720" w:hanging="360"/>
      </w:pPr>
      <w:rPr>
        <w:rFonts w:ascii="Wingdings" w:hAnsi="Wingdings" w:hint="default"/>
      </w:rPr>
    </w:lvl>
    <w:lvl w:ilvl="1" w:tplc="8828E634">
      <w:start w:val="6"/>
      <w:numFmt w:val="bullet"/>
      <w:lvlText w:val="•"/>
      <w:lvlJc w:val="left"/>
      <w:pPr>
        <w:ind w:left="1440" w:hanging="360"/>
      </w:pPr>
      <w:rPr>
        <w:rFonts w:ascii="Calibri" w:eastAsiaTheme="minorHAnsi" w:hAnsi="Calibri" w:cs="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39210962">
    <w:abstractNumId w:val="3"/>
  </w:num>
  <w:num w:numId="2" w16cid:durableId="1236357450">
    <w:abstractNumId w:val="9"/>
  </w:num>
  <w:num w:numId="3" w16cid:durableId="1734622673">
    <w:abstractNumId w:val="10"/>
  </w:num>
  <w:num w:numId="4" w16cid:durableId="272591608">
    <w:abstractNumId w:val="15"/>
  </w:num>
  <w:num w:numId="5" w16cid:durableId="1592085408">
    <w:abstractNumId w:val="7"/>
  </w:num>
  <w:num w:numId="6" w16cid:durableId="768695665">
    <w:abstractNumId w:val="18"/>
  </w:num>
  <w:num w:numId="7" w16cid:durableId="14236631">
    <w:abstractNumId w:val="6"/>
  </w:num>
  <w:num w:numId="8" w16cid:durableId="1331718495">
    <w:abstractNumId w:val="12"/>
  </w:num>
  <w:num w:numId="9" w16cid:durableId="2089573929">
    <w:abstractNumId w:val="17"/>
  </w:num>
  <w:num w:numId="10" w16cid:durableId="1009259067">
    <w:abstractNumId w:val="11"/>
  </w:num>
  <w:num w:numId="11" w16cid:durableId="1535534521">
    <w:abstractNumId w:val="14"/>
  </w:num>
  <w:num w:numId="12" w16cid:durableId="541404739">
    <w:abstractNumId w:val="16"/>
  </w:num>
  <w:num w:numId="13" w16cid:durableId="2105223530">
    <w:abstractNumId w:val="5"/>
  </w:num>
  <w:num w:numId="14" w16cid:durableId="657005008">
    <w:abstractNumId w:val="13"/>
  </w:num>
  <w:num w:numId="15" w16cid:durableId="1526940334">
    <w:abstractNumId w:val="0"/>
  </w:num>
  <w:num w:numId="16" w16cid:durableId="1171531180">
    <w:abstractNumId w:val="1"/>
  </w:num>
  <w:num w:numId="17" w16cid:durableId="964892304">
    <w:abstractNumId w:val="2"/>
  </w:num>
  <w:num w:numId="18" w16cid:durableId="1705864564">
    <w:abstractNumId w:val="8"/>
  </w:num>
  <w:num w:numId="19" w16cid:durableId="1186485545">
    <w:abstractNumId w:val="4"/>
  </w:num>
  <w:num w:numId="20" w16cid:durableId="21443506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QzMTS2sDAxNzYwM7RU0lEKTi0uzszPAykwrQUAdftuaCwAAAA="/>
  </w:docVars>
  <w:rsids>
    <w:rsidRoot w:val="00570694"/>
    <w:rsid w:val="00000738"/>
    <w:rsid w:val="000024E4"/>
    <w:rsid w:val="0000395A"/>
    <w:rsid w:val="00005A98"/>
    <w:rsid w:val="00005B4B"/>
    <w:rsid w:val="000070D4"/>
    <w:rsid w:val="00007166"/>
    <w:rsid w:val="00007450"/>
    <w:rsid w:val="00007DCD"/>
    <w:rsid w:val="0001031F"/>
    <w:rsid w:val="0001068B"/>
    <w:rsid w:val="00010C73"/>
    <w:rsid w:val="00011441"/>
    <w:rsid w:val="00011F40"/>
    <w:rsid w:val="00012A00"/>
    <w:rsid w:val="000137D6"/>
    <w:rsid w:val="0001436A"/>
    <w:rsid w:val="0001456F"/>
    <w:rsid w:val="000146BD"/>
    <w:rsid w:val="0001479F"/>
    <w:rsid w:val="00014BF7"/>
    <w:rsid w:val="0001518F"/>
    <w:rsid w:val="00015AF3"/>
    <w:rsid w:val="00016599"/>
    <w:rsid w:val="000176BA"/>
    <w:rsid w:val="00017CE7"/>
    <w:rsid w:val="00017FEA"/>
    <w:rsid w:val="00020F32"/>
    <w:rsid w:val="00022178"/>
    <w:rsid w:val="0002394D"/>
    <w:rsid w:val="00023CAD"/>
    <w:rsid w:val="00024B73"/>
    <w:rsid w:val="00025B30"/>
    <w:rsid w:val="00025DEA"/>
    <w:rsid w:val="00026799"/>
    <w:rsid w:val="000276AD"/>
    <w:rsid w:val="00030428"/>
    <w:rsid w:val="00030ED7"/>
    <w:rsid w:val="00031215"/>
    <w:rsid w:val="000312CC"/>
    <w:rsid w:val="0003151D"/>
    <w:rsid w:val="0003267D"/>
    <w:rsid w:val="00032ABE"/>
    <w:rsid w:val="00033236"/>
    <w:rsid w:val="00033788"/>
    <w:rsid w:val="0003520F"/>
    <w:rsid w:val="00035ABD"/>
    <w:rsid w:val="00036174"/>
    <w:rsid w:val="00036E39"/>
    <w:rsid w:val="000373BC"/>
    <w:rsid w:val="000378CD"/>
    <w:rsid w:val="0004043F"/>
    <w:rsid w:val="000405CF"/>
    <w:rsid w:val="00040667"/>
    <w:rsid w:val="00040A56"/>
    <w:rsid w:val="00040D82"/>
    <w:rsid w:val="00040FBC"/>
    <w:rsid w:val="0004265A"/>
    <w:rsid w:val="00043D88"/>
    <w:rsid w:val="0004446C"/>
    <w:rsid w:val="00044F53"/>
    <w:rsid w:val="000455A1"/>
    <w:rsid w:val="0004786A"/>
    <w:rsid w:val="00047F55"/>
    <w:rsid w:val="00050D40"/>
    <w:rsid w:val="00050E4C"/>
    <w:rsid w:val="00051446"/>
    <w:rsid w:val="00051E16"/>
    <w:rsid w:val="000520C7"/>
    <w:rsid w:val="0005265C"/>
    <w:rsid w:val="000526AB"/>
    <w:rsid w:val="00052880"/>
    <w:rsid w:val="00053791"/>
    <w:rsid w:val="00053E30"/>
    <w:rsid w:val="00053E87"/>
    <w:rsid w:val="00054089"/>
    <w:rsid w:val="000544FF"/>
    <w:rsid w:val="00054623"/>
    <w:rsid w:val="00054A7A"/>
    <w:rsid w:val="00055075"/>
    <w:rsid w:val="000554B1"/>
    <w:rsid w:val="00055FE2"/>
    <w:rsid w:val="00057424"/>
    <w:rsid w:val="000579BB"/>
    <w:rsid w:val="00060248"/>
    <w:rsid w:val="00061EA4"/>
    <w:rsid w:val="000623F6"/>
    <w:rsid w:val="000628F2"/>
    <w:rsid w:val="00063299"/>
    <w:rsid w:val="00063E59"/>
    <w:rsid w:val="0006488B"/>
    <w:rsid w:val="000662DC"/>
    <w:rsid w:val="000676C7"/>
    <w:rsid w:val="00067B90"/>
    <w:rsid w:val="0007074F"/>
    <w:rsid w:val="00071043"/>
    <w:rsid w:val="000718C2"/>
    <w:rsid w:val="0007246A"/>
    <w:rsid w:val="000727B2"/>
    <w:rsid w:val="00073179"/>
    <w:rsid w:val="00073336"/>
    <w:rsid w:val="00074664"/>
    <w:rsid w:val="000766DD"/>
    <w:rsid w:val="00076EF0"/>
    <w:rsid w:val="00076F01"/>
    <w:rsid w:val="000771A0"/>
    <w:rsid w:val="000771A3"/>
    <w:rsid w:val="00077230"/>
    <w:rsid w:val="00077663"/>
    <w:rsid w:val="00077711"/>
    <w:rsid w:val="00080CB4"/>
    <w:rsid w:val="000814C2"/>
    <w:rsid w:val="00081C1E"/>
    <w:rsid w:val="00082B03"/>
    <w:rsid w:val="000836F4"/>
    <w:rsid w:val="00085D4A"/>
    <w:rsid w:val="00085ECE"/>
    <w:rsid w:val="00086B41"/>
    <w:rsid w:val="0008731A"/>
    <w:rsid w:val="00087CD9"/>
    <w:rsid w:val="00091211"/>
    <w:rsid w:val="000919A1"/>
    <w:rsid w:val="00092123"/>
    <w:rsid w:val="000931AB"/>
    <w:rsid w:val="000933A1"/>
    <w:rsid w:val="00094ACF"/>
    <w:rsid w:val="00095B36"/>
    <w:rsid w:val="00095C15"/>
    <w:rsid w:val="000964C9"/>
    <w:rsid w:val="000966AF"/>
    <w:rsid w:val="000A00D2"/>
    <w:rsid w:val="000A125C"/>
    <w:rsid w:val="000A357F"/>
    <w:rsid w:val="000A3BA4"/>
    <w:rsid w:val="000A3DA9"/>
    <w:rsid w:val="000A46FE"/>
    <w:rsid w:val="000A47A1"/>
    <w:rsid w:val="000A55CF"/>
    <w:rsid w:val="000A5C49"/>
    <w:rsid w:val="000A72D6"/>
    <w:rsid w:val="000A772F"/>
    <w:rsid w:val="000A7AA9"/>
    <w:rsid w:val="000A7CCE"/>
    <w:rsid w:val="000B062E"/>
    <w:rsid w:val="000B24C5"/>
    <w:rsid w:val="000B282B"/>
    <w:rsid w:val="000B2BAB"/>
    <w:rsid w:val="000B2BFC"/>
    <w:rsid w:val="000B3520"/>
    <w:rsid w:val="000B3E5D"/>
    <w:rsid w:val="000B4386"/>
    <w:rsid w:val="000B43F5"/>
    <w:rsid w:val="000B44BA"/>
    <w:rsid w:val="000B4B5F"/>
    <w:rsid w:val="000C08A1"/>
    <w:rsid w:val="000C20F5"/>
    <w:rsid w:val="000C255B"/>
    <w:rsid w:val="000C2568"/>
    <w:rsid w:val="000C433F"/>
    <w:rsid w:val="000C4E9D"/>
    <w:rsid w:val="000C5477"/>
    <w:rsid w:val="000C5A76"/>
    <w:rsid w:val="000C7AEF"/>
    <w:rsid w:val="000C7D6F"/>
    <w:rsid w:val="000D0A45"/>
    <w:rsid w:val="000D1073"/>
    <w:rsid w:val="000D2FC6"/>
    <w:rsid w:val="000D35C5"/>
    <w:rsid w:val="000D3688"/>
    <w:rsid w:val="000D36FD"/>
    <w:rsid w:val="000D3B88"/>
    <w:rsid w:val="000D408C"/>
    <w:rsid w:val="000D477E"/>
    <w:rsid w:val="000D5A02"/>
    <w:rsid w:val="000D63DF"/>
    <w:rsid w:val="000D6511"/>
    <w:rsid w:val="000D6FF5"/>
    <w:rsid w:val="000E05E0"/>
    <w:rsid w:val="000E1901"/>
    <w:rsid w:val="000E1A99"/>
    <w:rsid w:val="000E2AEF"/>
    <w:rsid w:val="000E2C4E"/>
    <w:rsid w:val="000E2FE9"/>
    <w:rsid w:val="000E3344"/>
    <w:rsid w:val="000E343C"/>
    <w:rsid w:val="000E376B"/>
    <w:rsid w:val="000E4558"/>
    <w:rsid w:val="000E5961"/>
    <w:rsid w:val="000E608D"/>
    <w:rsid w:val="000E61F4"/>
    <w:rsid w:val="000E651E"/>
    <w:rsid w:val="000E72F0"/>
    <w:rsid w:val="000F0F1A"/>
    <w:rsid w:val="000F1CF3"/>
    <w:rsid w:val="000F1EB4"/>
    <w:rsid w:val="000F33F8"/>
    <w:rsid w:val="000F3E46"/>
    <w:rsid w:val="000F4ACE"/>
    <w:rsid w:val="000F4BFA"/>
    <w:rsid w:val="000F4E58"/>
    <w:rsid w:val="000F4F17"/>
    <w:rsid w:val="000F58B5"/>
    <w:rsid w:val="000F6048"/>
    <w:rsid w:val="000F6BDA"/>
    <w:rsid w:val="00100B11"/>
    <w:rsid w:val="00101649"/>
    <w:rsid w:val="00102071"/>
    <w:rsid w:val="00103847"/>
    <w:rsid w:val="001043FD"/>
    <w:rsid w:val="00105FA7"/>
    <w:rsid w:val="00107CFA"/>
    <w:rsid w:val="00107E08"/>
    <w:rsid w:val="00110235"/>
    <w:rsid w:val="00111810"/>
    <w:rsid w:val="00111833"/>
    <w:rsid w:val="00111DAF"/>
    <w:rsid w:val="0011303A"/>
    <w:rsid w:val="00113062"/>
    <w:rsid w:val="00113079"/>
    <w:rsid w:val="00114519"/>
    <w:rsid w:val="0011480F"/>
    <w:rsid w:val="001152C5"/>
    <w:rsid w:val="00116920"/>
    <w:rsid w:val="00117192"/>
    <w:rsid w:val="001175E0"/>
    <w:rsid w:val="00117933"/>
    <w:rsid w:val="001200FD"/>
    <w:rsid w:val="00120DA0"/>
    <w:rsid w:val="00122265"/>
    <w:rsid w:val="0012307B"/>
    <w:rsid w:val="00123E26"/>
    <w:rsid w:val="001259A9"/>
    <w:rsid w:val="0012727A"/>
    <w:rsid w:val="001275CF"/>
    <w:rsid w:val="0012767A"/>
    <w:rsid w:val="001315A6"/>
    <w:rsid w:val="00131C9F"/>
    <w:rsid w:val="00132FA9"/>
    <w:rsid w:val="00133AB2"/>
    <w:rsid w:val="00133CD9"/>
    <w:rsid w:val="00133D9B"/>
    <w:rsid w:val="00134145"/>
    <w:rsid w:val="001359FB"/>
    <w:rsid w:val="00135A8B"/>
    <w:rsid w:val="00135AAB"/>
    <w:rsid w:val="001367C0"/>
    <w:rsid w:val="001371F1"/>
    <w:rsid w:val="00137CAB"/>
    <w:rsid w:val="00140BC2"/>
    <w:rsid w:val="00140BCF"/>
    <w:rsid w:val="00140F69"/>
    <w:rsid w:val="00141A18"/>
    <w:rsid w:val="00142BB2"/>
    <w:rsid w:val="0014307F"/>
    <w:rsid w:val="001441C8"/>
    <w:rsid w:val="00144472"/>
    <w:rsid w:val="00144545"/>
    <w:rsid w:val="00144917"/>
    <w:rsid w:val="00144C44"/>
    <w:rsid w:val="0014561B"/>
    <w:rsid w:val="00146101"/>
    <w:rsid w:val="00146506"/>
    <w:rsid w:val="001476C8"/>
    <w:rsid w:val="00147925"/>
    <w:rsid w:val="00147C55"/>
    <w:rsid w:val="0015014A"/>
    <w:rsid w:val="00150351"/>
    <w:rsid w:val="00150B26"/>
    <w:rsid w:val="00151DA1"/>
    <w:rsid w:val="001527EE"/>
    <w:rsid w:val="0015290B"/>
    <w:rsid w:val="00152FE9"/>
    <w:rsid w:val="00153636"/>
    <w:rsid w:val="0015484A"/>
    <w:rsid w:val="00154CBB"/>
    <w:rsid w:val="00155570"/>
    <w:rsid w:val="00156088"/>
    <w:rsid w:val="00156BFA"/>
    <w:rsid w:val="001604B9"/>
    <w:rsid w:val="00161001"/>
    <w:rsid w:val="00162A08"/>
    <w:rsid w:val="00163ABC"/>
    <w:rsid w:val="00164283"/>
    <w:rsid w:val="0016494D"/>
    <w:rsid w:val="001654B4"/>
    <w:rsid w:val="001658DB"/>
    <w:rsid w:val="00165B27"/>
    <w:rsid w:val="00166017"/>
    <w:rsid w:val="00166653"/>
    <w:rsid w:val="0017035F"/>
    <w:rsid w:val="0017081B"/>
    <w:rsid w:val="0017154C"/>
    <w:rsid w:val="00171E52"/>
    <w:rsid w:val="00172947"/>
    <w:rsid w:val="00173CF3"/>
    <w:rsid w:val="001748A7"/>
    <w:rsid w:val="00175A72"/>
    <w:rsid w:val="00176F75"/>
    <w:rsid w:val="001773CD"/>
    <w:rsid w:val="00177D0A"/>
    <w:rsid w:val="00180DF6"/>
    <w:rsid w:val="0018145E"/>
    <w:rsid w:val="00181BDB"/>
    <w:rsid w:val="00182173"/>
    <w:rsid w:val="001829CE"/>
    <w:rsid w:val="00182A86"/>
    <w:rsid w:val="00183A2A"/>
    <w:rsid w:val="00183C60"/>
    <w:rsid w:val="00184007"/>
    <w:rsid w:val="00187838"/>
    <w:rsid w:val="001901A5"/>
    <w:rsid w:val="001901FC"/>
    <w:rsid w:val="00190616"/>
    <w:rsid w:val="00190661"/>
    <w:rsid w:val="0019112F"/>
    <w:rsid w:val="00191645"/>
    <w:rsid w:val="001940DA"/>
    <w:rsid w:val="00194321"/>
    <w:rsid w:val="00194A17"/>
    <w:rsid w:val="00195054"/>
    <w:rsid w:val="00195D34"/>
    <w:rsid w:val="00195EED"/>
    <w:rsid w:val="0019659D"/>
    <w:rsid w:val="00196FF3"/>
    <w:rsid w:val="00197D5B"/>
    <w:rsid w:val="001A0255"/>
    <w:rsid w:val="001A0449"/>
    <w:rsid w:val="001A06AE"/>
    <w:rsid w:val="001A108B"/>
    <w:rsid w:val="001A25EA"/>
    <w:rsid w:val="001A2C4E"/>
    <w:rsid w:val="001A342B"/>
    <w:rsid w:val="001A35AD"/>
    <w:rsid w:val="001A4391"/>
    <w:rsid w:val="001A4FAD"/>
    <w:rsid w:val="001A57BB"/>
    <w:rsid w:val="001A7C3B"/>
    <w:rsid w:val="001B0D1E"/>
    <w:rsid w:val="001B0E94"/>
    <w:rsid w:val="001B200E"/>
    <w:rsid w:val="001B2B9F"/>
    <w:rsid w:val="001B3294"/>
    <w:rsid w:val="001B39B1"/>
    <w:rsid w:val="001B3F5A"/>
    <w:rsid w:val="001B4899"/>
    <w:rsid w:val="001B5A30"/>
    <w:rsid w:val="001B5D92"/>
    <w:rsid w:val="001B6CF0"/>
    <w:rsid w:val="001B7B6D"/>
    <w:rsid w:val="001C31E8"/>
    <w:rsid w:val="001C37C3"/>
    <w:rsid w:val="001C3EB8"/>
    <w:rsid w:val="001C5986"/>
    <w:rsid w:val="001C5C26"/>
    <w:rsid w:val="001C5E46"/>
    <w:rsid w:val="001C624A"/>
    <w:rsid w:val="001C6D5F"/>
    <w:rsid w:val="001C7486"/>
    <w:rsid w:val="001C7596"/>
    <w:rsid w:val="001C7944"/>
    <w:rsid w:val="001D12AA"/>
    <w:rsid w:val="001D138B"/>
    <w:rsid w:val="001D1BC3"/>
    <w:rsid w:val="001D254C"/>
    <w:rsid w:val="001D2764"/>
    <w:rsid w:val="001D3241"/>
    <w:rsid w:val="001D3262"/>
    <w:rsid w:val="001D3316"/>
    <w:rsid w:val="001D3A04"/>
    <w:rsid w:val="001D528E"/>
    <w:rsid w:val="001D52A6"/>
    <w:rsid w:val="001D530B"/>
    <w:rsid w:val="001D589E"/>
    <w:rsid w:val="001D5B47"/>
    <w:rsid w:val="001D5B59"/>
    <w:rsid w:val="001D6890"/>
    <w:rsid w:val="001D6BAB"/>
    <w:rsid w:val="001D6C6B"/>
    <w:rsid w:val="001D7587"/>
    <w:rsid w:val="001D79AB"/>
    <w:rsid w:val="001E0313"/>
    <w:rsid w:val="001E1EFD"/>
    <w:rsid w:val="001E3C08"/>
    <w:rsid w:val="001E43C2"/>
    <w:rsid w:val="001E499B"/>
    <w:rsid w:val="001E56E1"/>
    <w:rsid w:val="001E5B42"/>
    <w:rsid w:val="001E71AB"/>
    <w:rsid w:val="001F0A52"/>
    <w:rsid w:val="001F1F84"/>
    <w:rsid w:val="001F4750"/>
    <w:rsid w:val="001F4A1C"/>
    <w:rsid w:val="001F4FBB"/>
    <w:rsid w:val="001F52FB"/>
    <w:rsid w:val="001F5414"/>
    <w:rsid w:val="001F5CF6"/>
    <w:rsid w:val="001F5D30"/>
    <w:rsid w:val="001F6AEA"/>
    <w:rsid w:val="001F72DE"/>
    <w:rsid w:val="001F796C"/>
    <w:rsid w:val="00201099"/>
    <w:rsid w:val="00201586"/>
    <w:rsid w:val="0020165D"/>
    <w:rsid w:val="002016D9"/>
    <w:rsid w:val="00201771"/>
    <w:rsid w:val="002027E9"/>
    <w:rsid w:val="00203391"/>
    <w:rsid w:val="0020373B"/>
    <w:rsid w:val="002048DF"/>
    <w:rsid w:val="00204F22"/>
    <w:rsid w:val="00205098"/>
    <w:rsid w:val="00205636"/>
    <w:rsid w:val="00206FBA"/>
    <w:rsid w:val="0020757D"/>
    <w:rsid w:val="0020784A"/>
    <w:rsid w:val="0021016A"/>
    <w:rsid w:val="00210270"/>
    <w:rsid w:val="00212AA8"/>
    <w:rsid w:val="00213C53"/>
    <w:rsid w:val="00214CFC"/>
    <w:rsid w:val="002152C6"/>
    <w:rsid w:val="0021538A"/>
    <w:rsid w:val="00215A20"/>
    <w:rsid w:val="002165A3"/>
    <w:rsid w:val="002166F8"/>
    <w:rsid w:val="00220291"/>
    <w:rsid w:val="00220B7B"/>
    <w:rsid w:val="00220F3F"/>
    <w:rsid w:val="00222C42"/>
    <w:rsid w:val="00223A45"/>
    <w:rsid w:val="00223E15"/>
    <w:rsid w:val="00224E76"/>
    <w:rsid w:val="0022573C"/>
    <w:rsid w:val="00225A4E"/>
    <w:rsid w:val="0022630A"/>
    <w:rsid w:val="0022672A"/>
    <w:rsid w:val="00227B00"/>
    <w:rsid w:val="00227CB2"/>
    <w:rsid w:val="0023004A"/>
    <w:rsid w:val="00230F86"/>
    <w:rsid w:val="00231623"/>
    <w:rsid w:val="00231D59"/>
    <w:rsid w:val="0023268B"/>
    <w:rsid w:val="00232965"/>
    <w:rsid w:val="00236619"/>
    <w:rsid w:val="0023793B"/>
    <w:rsid w:val="0024018B"/>
    <w:rsid w:val="002406BD"/>
    <w:rsid w:val="002408F9"/>
    <w:rsid w:val="00240E2E"/>
    <w:rsid w:val="00242481"/>
    <w:rsid w:val="00242716"/>
    <w:rsid w:val="00242C1B"/>
    <w:rsid w:val="00244274"/>
    <w:rsid w:val="002478B5"/>
    <w:rsid w:val="00250469"/>
    <w:rsid w:val="002514DB"/>
    <w:rsid w:val="0025163B"/>
    <w:rsid w:val="00252092"/>
    <w:rsid w:val="002520BF"/>
    <w:rsid w:val="002520F2"/>
    <w:rsid w:val="00253BCE"/>
    <w:rsid w:val="00253CF6"/>
    <w:rsid w:val="002541F8"/>
    <w:rsid w:val="00254447"/>
    <w:rsid w:val="002545C4"/>
    <w:rsid w:val="002556EE"/>
    <w:rsid w:val="00255D7F"/>
    <w:rsid w:val="00256274"/>
    <w:rsid w:val="002567C7"/>
    <w:rsid w:val="00256C5B"/>
    <w:rsid w:val="00260796"/>
    <w:rsid w:val="002607ED"/>
    <w:rsid w:val="002608D1"/>
    <w:rsid w:val="00260C97"/>
    <w:rsid w:val="00261423"/>
    <w:rsid w:val="0026168D"/>
    <w:rsid w:val="0026272F"/>
    <w:rsid w:val="002646A6"/>
    <w:rsid w:val="00264858"/>
    <w:rsid w:val="00265394"/>
    <w:rsid w:val="002654A4"/>
    <w:rsid w:val="00266355"/>
    <w:rsid w:val="00267FEF"/>
    <w:rsid w:val="00270566"/>
    <w:rsid w:val="00273106"/>
    <w:rsid w:val="00273E35"/>
    <w:rsid w:val="0027402D"/>
    <w:rsid w:val="002745EB"/>
    <w:rsid w:val="002754E6"/>
    <w:rsid w:val="00276744"/>
    <w:rsid w:val="00276DEA"/>
    <w:rsid w:val="00276FCA"/>
    <w:rsid w:val="00277E7D"/>
    <w:rsid w:val="00280B97"/>
    <w:rsid w:val="00282348"/>
    <w:rsid w:val="00282BAA"/>
    <w:rsid w:val="0028344D"/>
    <w:rsid w:val="00285087"/>
    <w:rsid w:val="00285491"/>
    <w:rsid w:val="00285CFC"/>
    <w:rsid w:val="002864D9"/>
    <w:rsid w:val="00287721"/>
    <w:rsid w:val="00291A64"/>
    <w:rsid w:val="00291CA6"/>
    <w:rsid w:val="00291ED0"/>
    <w:rsid w:val="00292465"/>
    <w:rsid w:val="00292A4F"/>
    <w:rsid w:val="002931F2"/>
    <w:rsid w:val="00293770"/>
    <w:rsid w:val="002944BB"/>
    <w:rsid w:val="00297111"/>
    <w:rsid w:val="002976D7"/>
    <w:rsid w:val="002A0D22"/>
    <w:rsid w:val="002A11EE"/>
    <w:rsid w:val="002A2849"/>
    <w:rsid w:val="002A3DF9"/>
    <w:rsid w:val="002A4AC6"/>
    <w:rsid w:val="002A5107"/>
    <w:rsid w:val="002A5D8B"/>
    <w:rsid w:val="002A65F6"/>
    <w:rsid w:val="002A7D0E"/>
    <w:rsid w:val="002B0A81"/>
    <w:rsid w:val="002B0D7A"/>
    <w:rsid w:val="002B161B"/>
    <w:rsid w:val="002B1A52"/>
    <w:rsid w:val="002B373F"/>
    <w:rsid w:val="002B46CB"/>
    <w:rsid w:val="002B60EF"/>
    <w:rsid w:val="002B644D"/>
    <w:rsid w:val="002B7144"/>
    <w:rsid w:val="002C0021"/>
    <w:rsid w:val="002C13B8"/>
    <w:rsid w:val="002C1D90"/>
    <w:rsid w:val="002C1FBC"/>
    <w:rsid w:val="002C216B"/>
    <w:rsid w:val="002C3192"/>
    <w:rsid w:val="002C3568"/>
    <w:rsid w:val="002C4D04"/>
    <w:rsid w:val="002C5CC6"/>
    <w:rsid w:val="002C675F"/>
    <w:rsid w:val="002D0316"/>
    <w:rsid w:val="002D0A04"/>
    <w:rsid w:val="002D0E7B"/>
    <w:rsid w:val="002D1432"/>
    <w:rsid w:val="002D29FF"/>
    <w:rsid w:val="002D37F1"/>
    <w:rsid w:val="002D5C73"/>
    <w:rsid w:val="002D6257"/>
    <w:rsid w:val="002D6307"/>
    <w:rsid w:val="002D65A5"/>
    <w:rsid w:val="002D6E55"/>
    <w:rsid w:val="002D7900"/>
    <w:rsid w:val="002D7C40"/>
    <w:rsid w:val="002E1402"/>
    <w:rsid w:val="002E15A1"/>
    <w:rsid w:val="002E1612"/>
    <w:rsid w:val="002E197B"/>
    <w:rsid w:val="002E320D"/>
    <w:rsid w:val="002E34F0"/>
    <w:rsid w:val="002E3A44"/>
    <w:rsid w:val="002E4487"/>
    <w:rsid w:val="002E4662"/>
    <w:rsid w:val="002E4759"/>
    <w:rsid w:val="002E47F1"/>
    <w:rsid w:val="002E4A8C"/>
    <w:rsid w:val="002E4BCE"/>
    <w:rsid w:val="002E51AD"/>
    <w:rsid w:val="002E527B"/>
    <w:rsid w:val="002E52CA"/>
    <w:rsid w:val="002E58F2"/>
    <w:rsid w:val="002E5BAB"/>
    <w:rsid w:val="002E61D1"/>
    <w:rsid w:val="002E6657"/>
    <w:rsid w:val="002E6AEF"/>
    <w:rsid w:val="002E6EF0"/>
    <w:rsid w:val="002E7C10"/>
    <w:rsid w:val="002E7E1E"/>
    <w:rsid w:val="002F02EE"/>
    <w:rsid w:val="002F0472"/>
    <w:rsid w:val="002F2261"/>
    <w:rsid w:val="002F3901"/>
    <w:rsid w:val="002F3CE6"/>
    <w:rsid w:val="002F42FE"/>
    <w:rsid w:val="002F451B"/>
    <w:rsid w:val="002F558D"/>
    <w:rsid w:val="002F5833"/>
    <w:rsid w:val="002F5CFE"/>
    <w:rsid w:val="002F6732"/>
    <w:rsid w:val="002F6B52"/>
    <w:rsid w:val="002F7235"/>
    <w:rsid w:val="002F7460"/>
    <w:rsid w:val="00300901"/>
    <w:rsid w:val="00302ADE"/>
    <w:rsid w:val="00302B46"/>
    <w:rsid w:val="00302E90"/>
    <w:rsid w:val="00303B83"/>
    <w:rsid w:val="00303C2E"/>
    <w:rsid w:val="00303D95"/>
    <w:rsid w:val="00304ECA"/>
    <w:rsid w:val="003050C6"/>
    <w:rsid w:val="00305241"/>
    <w:rsid w:val="003058D5"/>
    <w:rsid w:val="00306BE8"/>
    <w:rsid w:val="00307F73"/>
    <w:rsid w:val="00310B9F"/>
    <w:rsid w:val="00311430"/>
    <w:rsid w:val="00311ADB"/>
    <w:rsid w:val="00312646"/>
    <w:rsid w:val="003126F7"/>
    <w:rsid w:val="003128B5"/>
    <w:rsid w:val="00313A94"/>
    <w:rsid w:val="00314629"/>
    <w:rsid w:val="00314A83"/>
    <w:rsid w:val="00315856"/>
    <w:rsid w:val="00315D1D"/>
    <w:rsid w:val="00316892"/>
    <w:rsid w:val="00316FEE"/>
    <w:rsid w:val="003170C0"/>
    <w:rsid w:val="003171D3"/>
    <w:rsid w:val="003207C4"/>
    <w:rsid w:val="00320855"/>
    <w:rsid w:val="003213AE"/>
    <w:rsid w:val="003214DF"/>
    <w:rsid w:val="00321BDF"/>
    <w:rsid w:val="00323A26"/>
    <w:rsid w:val="00324DF0"/>
    <w:rsid w:val="00324EBE"/>
    <w:rsid w:val="00326508"/>
    <w:rsid w:val="00326551"/>
    <w:rsid w:val="00327FC8"/>
    <w:rsid w:val="00330B52"/>
    <w:rsid w:val="003313B5"/>
    <w:rsid w:val="00331854"/>
    <w:rsid w:val="00332897"/>
    <w:rsid w:val="00332E3E"/>
    <w:rsid w:val="0033359D"/>
    <w:rsid w:val="00333942"/>
    <w:rsid w:val="00333B2E"/>
    <w:rsid w:val="003340AC"/>
    <w:rsid w:val="00335B68"/>
    <w:rsid w:val="00336934"/>
    <w:rsid w:val="00337862"/>
    <w:rsid w:val="003378A9"/>
    <w:rsid w:val="00341069"/>
    <w:rsid w:val="00341D14"/>
    <w:rsid w:val="00342910"/>
    <w:rsid w:val="00342D1C"/>
    <w:rsid w:val="00343872"/>
    <w:rsid w:val="003438A0"/>
    <w:rsid w:val="00343A94"/>
    <w:rsid w:val="00344AF8"/>
    <w:rsid w:val="00345423"/>
    <w:rsid w:val="00346311"/>
    <w:rsid w:val="003468C9"/>
    <w:rsid w:val="00346BFD"/>
    <w:rsid w:val="003472D1"/>
    <w:rsid w:val="00350002"/>
    <w:rsid w:val="00350B37"/>
    <w:rsid w:val="0035103D"/>
    <w:rsid w:val="003524B2"/>
    <w:rsid w:val="003528CF"/>
    <w:rsid w:val="00352961"/>
    <w:rsid w:val="00354453"/>
    <w:rsid w:val="00354DC3"/>
    <w:rsid w:val="003557B9"/>
    <w:rsid w:val="0035610A"/>
    <w:rsid w:val="00356647"/>
    <w:rsid w:val="003567E9"/>
    <w:rsid w:val="003568B1"/>
    <w:rsid w:val="00357300"/>
    <w:rsid w:val="003609A6"/>
    <w:rsid w:val="00361C29"/>
    <w:rsid w:val="00361F64"/>
    <w:rsid w:val="0036237E"/>
    <w:rsid w:val="00362E17"/>
    <w:rsid w:val="00363ACB"/>
    <w:rsid w:val="00363FDA"/>
    <w:rsid w:val="00363FE4"/>
    <w:rsid w:val="00365A06"/>
    <w:rsid w:val="00365A0C"/>
    <w:rsid w:val="00367B4C"/>
    <w:rsid w:val="00370F51"/>
    <w:rsid w:val="00371E4D"/>
    <w:rsid w:val="00372639"/>
    <w:rsid w:val="0037429D"/>
    <w:rsid w:val="00374B60"/>
    <w:rsid w:val="003755DE"/>
    <w:rsid w:val="0037637C"/>
    <w:rsid w:val="003763EB"/>
    <w:rsid w:val="00376D86"/>
    <w:rsid w:val="00377BFC"/>
    <w:rsid w:val="003805B7"/>
    <w:rsid w:val="003811C4"/>
    <w:rsid w:val="003825BA"/>
    <w:rsid w:val="0038330F"/>
    <w:rsid w:val="003848B5"/>
    <w:rsid w:val="00384EC9"/>
    <w:rsid w:val="003851DF"/>
    <w:rsid w:val="0038706A"/>
    <w:rsid w:val="003875C2"/>
    <w:rsid w:val="003901E7"/>
    <w:rsid w:val="003902AD"/>
    <w:rsid w:val="0039057A"/>
    <w:rsid w:val="003906A5"/>
    <w:rsid w:val="0039113B"/>
    <w:rsid w:val="0039118D"/>
    <w:rsid w:val="003911D0"/>
    <w:rsid w:val="0039350E"/>
    <w:rsid w:val="00393534"/>
    <w:rsid w:val="00395E09"/>
    <w:rsid w:val="00395F56"/>
    <w:rsid w:val="0039685A"/>
    <w:rsid w:val="0039693A"/>
    <w:rsid w:val="00397D63"/>
    <w:rsid w:val="003A1553"/>
    <w:rsid w:val="003A1B75"/>
    <w:rsid w:val="003A3457"/>
    <w:rsid w:val="003A3F4B"/>
    <w:rsid w:val="003A3F7F"/>
    <w:rsid w:val="003A4087"/>
    <w:rsid w:val="003A4697"/>
    <w:rsid w:val="003A4D4B"/>
    <w:rsid w:val="003A4F0F"/>
    <w:rsid w:val="003A4FB0"/>
    <w:rsid w:val="003A5A50"/>
    <w:rsid w:val="003A5BB2"/>
    <w:rsid w:val="003A75B2"/>
    <w:rsid w:val="003B0E3D"/>
    <w:rsid w:val="003B1963"/>
    <w:rsid w:val="003B2341"/>
    <w:rsid w:val="003B31C0"/>
    <w:rsid w:val="003B33D2"/>
    <w:rsid w:val="003B3426"/>
    <w:rsid w:val="003B3DC1"/>
    <w:rsid w:val="003B46C2"/>
    <w:rsid w:val="003B4A2C"/>
    <w:rsid w:val="003B4C3D"/>
    <w:rsid w:val="003B7D18"/>
    <w:rsid w:val="003C1760"/>
    <w:rsid w:val="003C1E44"/>
    <w:rsid w:val="003C2754"/>
    <w:rsid w:val="003C325A"/>
    <w:rsid w:val="003C3685"/>
    <w:rsid w:val="003C6192"/>
    <w:rsid w:val="003C61F2"/>
    <w:rsid w:val="003C66D7"/>
    <w:rsid w:val="003C6B14"/>
    <w:rsid w:val="003C7D26"/>
    <w:rsid w:val="003D0615"/>
    <w:rsid w:val="003D0AB3"/>
    <w:rsid w:val="003D2059"/>
    <w:rsid w:val="003D21F5"/>
    <w:rsid w:val="003D2901"/>
    <w:rsid w:val="003D3667"/>
    <w:rsid w:val="003D402A"/>
    <w:rsid w:val="003D4203"/>
    <w:rsid w:val="003D6EFD"/>
    <w:rsid w:val="003D7413"/>
    <w:rsid w:val="003E09E6"/>
    <w:rsid w:val="003E10D3"/>
    <w:rsid w:val="003E166B"/>
    <w:rsid w:val="003E2525"/>
    <w:rsid w:val="003E2EFC"/>
    <w:rsid w:val="003E4AB1"/>
    <w:rsid w:val="003E7579"/>
    <w:rsid w:val="003E7703"/>
    <w:rsid w:val="003F04D6"/>
    <w:rsid w:val="003F04FE"/>
    <w:rsid w:val="003F128E"/>
    <w:rsid w:val="003F1AC5"/>
    <w:rsid w:val="003F1D6A"/>
    <w:rsid w:val="003F1F8C"/>
    <w:rsid w:val="003F22C0"/>
    <w:rsid w:val="003F3BF5"/>
    <w:rsid w:val="003F3C4D"/>
    <w:rsid w:val="003F3CA3"/>
    <w:rsid w:val="003F4967"/>
    <w:rsid w:val="003F4E09"/>
    <w:rsid w:val="003F5542"/>
    <w:rsid w:val="003F5F46"/>
    <w:rsid w:val="003F7B20"/>
    <w:rsid w:val="00400E19"/>
    <w:rsid w:val="00402E3B"/>
    <w:rsid w:val="00404068"/>
    <w:rsid w:val="004044DC"/>
    <w:rsid w:val="0040477D"/>
    <w:rsid w:val="004047FA"/>
    <w:rsid w:val="00404B0E"/>
    <w:rsid w:val="00405B9F"/>
    <w:rsid w:val="00406314"/>
    <w:rsid w:val="0040647C"/>
    <w:rsid w:val="004065FD"/>
    <w:rsid w:val="00407313"/>
    <w:rsid w:val="00410830"/>
    <w:rsid w:val="00411215"/>
    <w:rsid w:val="004121B6"/>
    <w:rsid w:val="004127CC"/>
    <w:rsid w:val="00412E79"/>
    <w:rsid w:val="004134F8"/>
    <w:rsid w:val="004138CA"/>
    <w:rsid w:val="00415C19"/>
    <w:rsid w:val="00416B5D"/>
    <w:rsid w:val="00416E7C"/>
    <w:rsid w:val="004173FC"/>
    <w:rsid w:val="00417419"/>
    <w:rsid w:val="004200F6"/>
    <w:rsid w:val="004201B0"/>
    <w:rsid w:val="004209B8"/>
    <w:rsid w:val="00420B23"/>
    <w:rsid w:val="00422B7E"/>
    <w:rsid w:val="00422D28"/>
    <w:rsid w:val="00423472"/>
    <w:rsid w:val="0042379E"/>
    <w:rsid w:val="004243B9"/>
    <w:rsid w:val="0042607B"/>
    <w:rsid w:val="00427276"/>
    <w:rsid w:val="004273B8"/>
    <w:rsid w:val="004275BE"/>
    <w:rsid w:val="00427786"/>
    <w:rsid w:val="00427829"/>
    <w:rsid w:val="00430AB5"/>
    <w:rsid w:val="00433D97"/>
    <w:rsid w:val="00434194"/>
    <w:rsid w:val="00434A28"/>
    <w:rsid w:val="00434D42"/>
    <w:rsid w:val="00434D5D"/>
    <w:rsid w:val="00435184"/>
    <w:rsid w:val="0043564D"/>
    <w:rsid w:val="00436726"/>
    <w:rsid w:val="00436A9B"/>
    <w:rsid w:val="00437576"/>
    <w:rsid w:val="004376E1"/>
    <w:rsid w:val="00437E7E"/>
    <w:rsid w:val="00440D31"/>
    <w:rsid w:val="00440F0C"/>
    <w:rsid w:val="00441BAD"/>
    <w:rsid w:val="00441C39"/>
    <w:rsid w:val="004437A3"/>
    <w:rsid w:val="00443C0C"/>
    <w:rsid w:val="00443E1E"/>
    <w:rsid w:val="00444572"/>
    <w:rsid w:val="00444A1A"/>
    <w:rsid w:val="00445557"/>
    <w:rsid w:val="00446736"/>
    <w:rsid w:val="00446FCF"/>
    <w:rsid w:val="00447320"/>
    <w:rsid w:val="00447340"/>
    <w:rsid w:val="004478A8"/>
    <w:rsid w:val="00447A83"/>
    <w:rsid w:val="00447C3A"/>
    <w:rsid w:val="0045088D"/>
    <w:rsid w:val="00451097"/>
    <w:rsid w:val="00451DCA"/>
    <w:rsid w:val="004523FE"/>
    <w:rsid w:val="0045264B"/>
    <w:rsid w:val="00453DB6"/>
    <w:rsid w:val="004543DA"/>
    <w:rsid w:val="0045496D"/>
    <w:rsid w:val="00454B55"/>
    <w:rsid w:val="00455783"/>
    <w:rsid w:val="0045597B"/>
    <w:rsid w:val="00455EB5"/>
    <w:rsid w:val="004562C1"/>
    <w:rsid w:val="0045670B"/>
    <w:rsid w:val="00457864"/>
    <w:rsid w:val="0046074A"/>
    <w:rsid w:val="00460E02"/>
    <w:rsid w:val="00460E5A"/>
    <w:rsid w:val="004614F8"/>
    <w:rsid w:val="0046277F"/>
    <w:rsid w:val="00462A3F"/>
    <w:rsid w:val="00462CF3"/>
    <w:rsid w:val="00463868"/>
    <w:rsid w:val="0046394A"/>
    <w:rsid w:val="00464617"/>
    <w:rsid w:val="00465410"/>
    <w:rsid w:val="00465E4D"/>
    <w:rsid w:val="00465F14"/>
    <w:rsid w:val="00465FE6"/>
    <w:rsid w:val="004662E0"/>
    <w:rsid w:val="00467107"/>
    <w:rsid w:val="004671E9"/>
    <w:rsid w:val="0047251C"/>
    <w:rsid w:val="00472FF1"/>
    <w:rsid w:val="0047345F"/>
    <w:rsid w:val="004743A7"/>
    <w:rsid w:val="00474B98"/>
    <w:rsid w:val="00474C78"/>
    <w:rsid w:val="00474C81"/>
    <w:rsid w:val="00474FB7"/>
    <w:rsid w:val="00476DFD"/>
    <w:rsid w:val="004773C3"/>
    <w:rsid w:val="00480402"/>
    <w:rsid w:val="00481258"/>
    <w:rsid w:val="00481D90"/>
    <w:rsid w:val="0048215F"/>
    <w:rsid w:val="00482D55"/>
    <w:rsid w:val="00483CA8"/>
    <w:rsid w:val="0048453A"/>
    <w:rsid w:val="00485369"/>
    <w:rsid w:val="00485382"/>
    <w:rsid w:val="00485670"/>
    <w:rsid w:val="00485CEA"/>
    <w:rsid w:val="00486102"/>
    <w:rsid w:val="00486812"/>
    <w:rsid w:val="00486A4A"/>
    <w:rsid w:val="00486C6D"/>
    <w:rsid w:val="00487177"/>
    <w:rsid w:val="00487392"/>
    <w:rsid w:val="004877B6"/>
    <w:rsid w:val="00487A72"/>
    <w:rsid w:val="00487F67"/>
    <w:rsid w:val="00490293"/>
    <w:rsid w:val="00490411"/>
    <w:rsid w:val="004905BA"/>
    <w:rsid w:val="00490D10"/>
    <w:rsid w:val="004920E0"/>
    <w:rsid w:val="00492511"/>
    <w:rsid w:val="004931BE"/>
    <w:rsid w:val="00493500"/>
    <w:rsid w:val="0049459A"/>
    <w:rsid w:val="00494D28"/>
    <w:rsid w:val="00495319"/>
    <w:rsid w:val="00495C4D"/>
    <w:rsid w:val="004966D7"/>
    <w:rsid w:val="00496856"/>
    <w:rsid w:val="00496AB9"/>
    <w:rsid w:val="00497252"/>
    <w:rsid w:val="00497F7C"/>
    <w:rsid w:val="004A0011"/>
    <w:rsid w:val="004A0713"/>
    <w:rsid w:val="004A0B95"/>
    <w:rsid w:val="004A3CBD"/>
    <w:rsid w:val="004A3F6C"/>
    <w:rsid w:val="004A615F"/>
    <w:rsid w:val="004A66E3"/>
    <w:rsid w:val="004A6826"/>
    <w:rsid w:val="004A715B"/>
    <w:rsid w:val="004A74E7"/>
    <w:rsid w:val="004B073E"/>
    <w:rsid w:val="004B1180"/>
    <w:rsid w:val="004B175D"/>
    <w:rsid w:val="004B192B"/>
    <w:rsid w:val="004B197B"/>
    <w:rsid w:val="004B1AEE"/>
    <w:rsid w:val="004B28B5"/>
    <w:rsid w:val="004B2AEA"/>
    <w:rsid w:val="004B3BC2"/>
    <w:rsid w:val="004B3FB4"/>
    <w:rsid w:val="004B49D5"/>
    <w:rsid w:val="004B56B4"/>
    <w:rsid w:val="004B61AD"/>
    <w:rsid w:val="004B69DB"/>
    <w:rsid w:val="004B7C27"/>
    <w:rsid w:val="004B7F82"/>
    <w:rsid w:val="004B7FB2"/>
    <w:rsid w:val="004C0ACF"/>
    <w:rsid w:val="004C0EDB"/>
    <w:rsid w:val="004C206D"/>
    <w:rsid w:val="004C3E16"/>
    <w:rsid w:val="004C4667"/>
    <w:rsid w:val="004C58CF"/>
    <w:rsid w:val="004C77F5"/>
    <w:rsid w:val="004D0C9A"/>
    <w:rsid w:val="004D14CE"/>
    <w:rsid w:val="004D25B1"/>
    <w:rsid w:val="004D26BF"/>
    <w:rsid w:val="004D4748"/>
    <w:rsid w:val="004D4B24"/>
    <w:rsid w:val="004D51A8"/>
    <w:rsid w:val="004D52F8"/>
    <w:rsid w:val="004D5CF1"/>
    <w:rsid w:val="004D694B"/>
    <w:rsid w:val="004D72FF"/>
    <w:rsid w:val="004D75A3"/>
    <w:rsid w:val="004E030B"/>
    <w:rsid w:val="004E0E6B"/>
    <w:rsid w:val="004E0F92"/>
    <w:rsid w:val="004E1EC6"/>
    <w:rsid w:val="004E3106"/>
    <w:rsid w:val="004E3225"/>
    <w:rsid w:val="004E3705"/>
    <w:rsid w:val="004E3C3C"/>
    <w:rsid w:val="004E4676"/>
    <w:rsid w:val="004E46D6"/>
    <w:rsid w:val="004E4814"/>
    <w:rsid w:val="004E4EE4"/>
    <w:rsid w:val="004E58FD"/>
    <w:rsid w:val="004E661B"/>
    <w:rsid w:val="004E66CD"/>
    <w:rsid w:val="004E707B"/>
    <w:rsid w:val="004E76C7"/>
    <w:rsid w:val="004E7959"/>
    <w:rsid w:val="004F010E"/>
    <w:rsid w:val="004F073A"/>
    <w:rsid w:val="004F0E01"/>
    <w:rsid w:val="004F2238"/>
    <w:rsid w:val="004F3356"/>
    <w:rsid w:val="004F3761"/>
    <w:rsid w:val="004F41C7"/>
    <w:rsid w:val="004F4B48"/>
    <w:rsid w:val="004F4E32"/>
    <w:rsid w:val="004F4F5A"/>
    <w:rsid w:val="004F5279"/>
    <w:rsid w:val="004F7089"/>
    <w:rsid w:val="004F72C4"/>
    <w:rsid w:val="0050086D"/>
    <w:rsid w:val="0050096A"/>
    <w:rsid w:val="0050101D"/>
    <w:rsid w:val="00502DA2"/>
    <w:rsid w:val="00503015"/>
    <w:rsid w:val="00503173"/>
    <w:rsid w:val="00504364"/>
    <w:rsid w:val="00504B69"/>
    <w:rsid w:val="00504BBD"/>
    <w:rsid w:val="00506397"/>
    <w:rsid w:val="00507709"/>
    <w:rsid w:val="005106B7"/>
    <w:rsid w:val="005106D7"/>
    <w:rsid w:val="00510D82"/>
    <w:rsid w:val="005111A6"/>
    <w:rsid w:val="00511A02"/>
    <w:rsid w:val="00511A74"/>
    <w:rsid w:val="0051301A"/>
    <w:rsid w:val="005158F5"/>
    <w:rsid w:val="0051621D"/>
    <w:rsid w:val="005162BA"/>
    <w:rsid w:val="00516843"/>
    <w:rsid w:val="0051790E"/>
    <w:rsid w:val="00517C76"/>
    <w:rsid w:val="00520856"/>
    <w:rsid w:val="00521A99"/>
    <w:rsid w:val="0052313D"/>
    <w:rsid w:val="00523867"/>
    <w:rsid w:val="005238EC"/>
    <w:rsid w:val="00523B7B"/>
    <w:rsid w:val="00523F2B"/>
    <w:rsid w:val="005242EC"/>
    <w:rsid w:val="00524F75"/>
    <w:rsid w:val="005255CB"/>
    <w:rsid w:val="00525761"/>
    <w:rsid w:val="00525A10"/>
    <w:rsid w:val="0053001A"/>
    <w:rsid w:val="005300AF"/>
    <w:rsid w:val="00530698"/>
    <w:rsid w:val="00530706"/>
    <w:rsid w:val="00530ACA"/>
    <w:rsid w:val="005311D2"/>
    <w:rsid w:val="00531681"/>
    <w:rsid w:val="005329B5"/>
    <w:rsid w:val="00533625"/>
    <w:rsid w:val="00533F12"/>
    <w:rsid w:val="005340DC"/>
    <w:rsid w:val="00534E19"/>
    <w:rsid w:val="00535017"/>
    <w:rsid w:val="00535489"/>
    <w:rsid w:val="0053608E"/>
    <w:rsid w:val="005368CB"/>
    <w:rsid w:val="00536D6B"/>
    <w:rsid w:val="00540213"/>
    <w:rsid w:val="005403FC"/>
    <w:rsid w:val="00542CA2"/>
    <w:rsid w:val="00542E6D"/>
    <w:rsid w:val="00543BEB"/>
    <w:rsid w:val="00544704"/>
    <w:rsid w:val="005459CF"/>
    <w:rsid w:val="005469A1"/>
    <w:rsid w:val="00550482"/>
    <w:rsid w:val="005516BC"/>
    <w:rsid w:val="005518F3"/>
    <w:rsid w:val="00551C37"/>
    <w:rsid w:val="0055482B"/>
    <w:rsid w:val="005556DC"/>
    <w:rsid w:val="0055757E"/>
    <w:rsid w:val="0055787A"/>
    <w:rsid w:val="00560132"/>
    <w:rsid w:val="00560817"/>
    <w:rsid w:val="00561164"/>
    <w:rsid w:val="00561D71"/>
    <w:rsid w:val="00562159"/>
    <w:rsid w:val="005621B8"/>
    <w:rsid w:val="005623C1"/>
    <w:rsid w:val="0056244A"/>
    <w:rsid w:val="00562681"/>
    <w:rsid w:val="00562F03"/>
    <w:rsid w:val="005652FE"/>
    <w:rsid w:val="00565F27"/>
    <w:rsid w:val="0056605A"/>
    <w:rsid w:val="005671BE"/>
    <w:rsid w:val="0056783C"/>
    <w:rsid w:val="00567BB6"/>
    <w:rsid w:val="005701A2"/>
    <w:rsid w:val="0057022A"/>
    <w:rsid w:val="00570694"/>
    <w:rsid w:val="00570B3E"/>
    <w:rsid w:val="00571A05"/>
    <w:rsid w:val="005726C0"/>
    <w:rsid w:val="00573995"/>
    <w:rsid w:val="005739B1"/>
    <w:rsid w:val="00574642"/>
    <w:rsid w:val="00574B37"/>
    <w:rsid w:val="00574B64"/>
    <w:rsid w:val="005756EA"/>
    <w:rsid w:val="0057670C"/>
    <w:rsid w:val="00577A3B"/>
    <w:rsid w:val="00580DE1"/>
    <w:rsid w:val="00581D29"/>
    <w:rsid w:val="00582122"/>
    <w:rsid w:val="00582D52"/>
    <w:rsid w:val="0058317B"/>
    <w:rsid w:val="005833E6"/>
    <w:rsid w:val="005845FD"/>
    <w:rsid w:val="00584EBD"/>
    <w:rsid w:val="0058502B"/>
    <w:rsid w:val="0058512D"/>
    <w:rsid w:val="00585281"/>
    <w:rsid w:val="00585AB5"/>
    <w:rsid w:val="00586765"/>
    <w:rsid w:val="00587B1C"/>
    <w:rsid w:val="00591A00"/>
    <w:rsid w:val="00592092"/>
    <w:rsid w:val="005933F9"/>
    <w:rsid w:val="00593E7B"/>
    <w:rsid w:val="00594BCB"/>
    <w:rsid w:val="00595E68"/>
    <w:rsid w:val="00595FF9"/>
    <w:rsid w:val="005965A5"/>
    <w:rsid w:val="005A0A68"/>
    <w:rsid w:val="005A0EB4"/>
    <w:rsid w:val="005A184B"/>
    <w:rsid w:val="005A20B3"/>
    <w:rsid w:val="005A24CD"/>
    <w:rsid w:val="005A3CA5"/>
    <w:rsid w:val="005A4A41"/>
    <w:rsid w:val="005A4AFC"/>
    <w:rsid w:val="005A5D3D"/>
    <w:rsid w:val="005A64A7"/>
    <w:rsid w:val="005B00AD"/>
    <w:rsid w:val="005B01D9"/>
    <w:rsid w:val="005B043E"/>
    <w:rsid w:val="005B04E0"/>
    <w:rsid w:val="005B1B23"/>
    <w:rsid w:val="005B378B"/>
    <w:rsid w:val="005B5934"/>
    <w:rsid w:val="005B5B2A"/>
    <w:rsid w:val="005B6B35"/>
    <w:rsid w:val="005B6DB4"/>
    <w:rsid w:val="005B7570"/>
    <w:rsid w:val="005B7B61"/>
    <w:rsid w:val="005C051A"/>
    <w:rsid w:val="005C0A05"/>
    <w:rsid w:val="005C10E6"/>
    <w:rsid w:val="005C17AD"/>
    <w:rsid w:val="005C1814"/>
    <w:rsid w:val="005C2D35"/>
    <w:rsid w:val="005C34A0"/>
    <w:rsid w:val="005C3A15"/>
    <w:rsid w:val="005C421C"/>
    <w:rsid w:val="005C475C"/>
    <w:rsid w:val="005C67D4"/>
    <w:rsid w:val="005C6DCF"/>
    <w:rsid w:val="005D0D9E"/>
    <w:rsid w:val="005D135B"/>
    <w:rsid w:val="005D1410"/>
    <w:rsid w:val="005D1F22"/>
    <w:rsid w:val="005D3372"/>
    <w:rsid w:val="005D3E3F"/>
    <w:rsid w:val="005D4150"/>
    <w:rsid w:val="005D42AC"/>
    <w:rsid w:val="005D471C"/>
    <w:rsid w:val="005D635E"/>
    <w:rsid w:val="005D70C3"/>
    <w:rsid w:val="005D75CD"/>
    <w:rsid w:val="005D7980"/>
    <w:rsid w:val="005E009B"/>
    <w:rsid w:val="005E01E3"/>
    <w:rsid w:val="005E055D"/>
    <w:rsid w:val="005E0E99"/>
    <w:rsid w:val="005E111A"/>
    <w:rsid w:val="005E1AB4"/>
    <w:rsid w:val="005E209A"/>
    <w:rsid w:val="005E37A7"/>
    <w:rsid w:val="005E3C9F"/>
    <w:rsid w:val="005E46AC"/>
    <w:rsid w:val="005E54B2"/>
    <w:rsid w:val="005E5FBA"/>
    <w:rsid w:val="005E63AA"/>
    <w:rsid w:val="005E663F"/>
    <w:rsid w:val="005F3096"/>
    <w:rsid w:val="005F391A"/>
    <w:rsid w:val="005F572E"/>
    <w:rsid w:val="005F5F71"/>
    <w:rsid w:val="005F5FB2"/>
    <w:rsid w:val="005F6FCC"/>
    <w:rsid w:val="005F74AF"/>
    <w:rsid w:val="0060082B"/>
    <w:rsid w:val="00601314"/>
    <w:rsid w:val="00601E97"/>
    <w:rsid w:val="00602707"/>
    <w:rsid w:val="006047AC"/>
    <w:rsid w:val="006069C0"/>
    <w:rsid w:val="00606F2B"/>
    <w:rsid w:val="00607233"/>
    <w:rsid w:val="00607829"/>
    <w:rsid w:val="00611243"/>
    <w:rsid w:val="00611407"/>
    <w:rsid w:val="006115E3"/>
    <w:rsid w:val="0061294E"/>
    <w:rsid w:val="00612984"/>
    <w:rsid w:val="00612ABB"/>
    <w:rsid w:val="00614D23"/>
    <w:rsid w:val="006152A4"/>
    <w:rsid w:val="006159C6"/>
    <w:rsid w:val="006163D6"/>
    <w:rsid w:val="0061663C"/>
    <w:rsid w:val="006211AD"/>
    <w:rsid w:val="0062189A"/>
    <w:rsid w:val="006223AC"/>
    <w:rsid w:val="00622743"/>
    <w:rsid w:val="006238CA"/>
    <w:rsid w:val="006239CC"/>
    <w:rsid w:val="006239F9"/>
    <w:rsid w:val="00623D63"/>
    <w:rsid w:val="00623E62"/>
    <w:rsid w:val="00624634"/>
    <w:rsid w:val="00624A1C"/>
    <w:rsid w:val="0062573C"/>
    <w:rsid w:val="0062653B"/>
    <w:rsid w:val="00626E7B"/>
    <w:rsid w:val="00630A49"/>
    <w:rsid w:val="00630A81"/>
    <w:rsid w:val="006323F3"/>
    <w:rsid w:val="0063254A"/>
    <w:rsid w:val="00632B1B"/>
    <w:rsid w:val="00632B8E"/>
    <w:rsid w:val="00632DDC"/>
    <w:rsid w:val="00633E59"/>
    <w:rsid w:val="00635D55"/>
    <w:rsid w:val="00635FB8"/>
    <w:rsid w:val="00637897"/>
    <w:rsid w:val="0064006B"/>
    <w:rsid w:val="00640813"/>
    <w:rsid w:val="00640C2E"/>
    <w:rsid w:val="00641D83"/>
    <w:rsid w:val="00642143"/>
    <w:rsid w:val="00642D38"/>
    <w:rsid w:val="00642DA6"/>
    <w:rsid w:val="00643204"/>
    <w:rsid w:val="0064418F"/>
    <w:rsid w:val="00644B03"/>
    <w:rsid w:val="006451A0"/>
    <w:rsid w:val="006459B9"/>
    <w:rsid w:val="006459CC"/>
    <w:rsid w:val="00645A77"/>
    <w:rsid w:val="00646358"/>
    <w:rsid w:val="00646BC4"/>
    <w:rsid w:val="00647469"/>
    <w:rsid w:val="00647661"/>
    <w:rsid w:val="0065080C"/>
    <w:rsid w:val="006539A1"/>
    <w:rsid w:val="00653A8B"/>
    <w:rsid w:val="00653CBF"/>
    <w:rsid w:val="00653D81"/>
    <w:rsid w:val="00654C94"/>
    <w:rsid w:val="00654D69"/>
    <w:rsid w:val="00655402"/>
    <w:rsid w:val="0065552D"/>
    <w:rsid w:val="00655667"/>
    <w:rsid w:val="00656716"/>
    <w:rsid w:val="00656774"/>
    <w:rsid w:val="00657F55"/>
    <w:rsid w:val="00661CA0"/>
    <w:rsid w:val="00662A2F"/>
    <w:rsid w:val="006636DA"/>
    <w:rsid w:val="00663DA8"/>
    <w:rsid w:val="00663DB0"/>
    <w:rsid w:val="0066425F"/>
    <w:rsid w:val="00664623"/>
    <w:rsid w:val="0066483F"/>
    <w:rsid w:val="00664EEB"/>
    <w:rsid w:val="006652B3"/>
    <w:rsid w:val="00665AE5"/>
    <w:rsid w:val="00665C9F"/>
    <w:rsid w:val="00667DE7"/>
    <w:rsid w:val="00670AA4"/>
    <w:rsid w:val="00671A44"/>
    <w:rsid w:val="00671BBD"/>
    <w:rsid w:val="00671CEB"/>
    <w:rsid w:val="00671DF9"/>
    <w:rsid w:val="00671F5D"/>
    <w:rsid w:val="0067261A"/>
    <w:rsid w:val="006731F0"/>
    <w:rsid w:val="00676527"/>
    <w:rsid w:val="00676EF0"/>
    <w:rsid w:val="00681648"/>
    <w:rsid w:val="006827A9"/>
    <w:rsid w:val="00683313"/>
    <w:rsid w:val="0068345D"/>
    <w:rsid w:val="00684083"/>
    <w:rsid w:val="00684329"/>
    <w:rsid w:val="006845F5"/>
    <w:rsid w:val="006848C1"/>
    <w:rsid w:val="0068496E"/>
    <w:rsid w:val="006854A8"/>
    <w:rsid w:val="006858DE"/>
    <w:rsid w:val="00687377"/>
    <w:rsid w:val="006873BE"/>
    <w:rsid w:val="0069037E"/>
    <w:rsid w:val="00690953"/>
    <w:rsid w:val="00691521"/>
    <w:rsid w:val="00692290"/>
    <w:rsid w:val="00692557"/>
    <w:rsid w:val="006937C7"/>
    <w:rsid w:val="00693B83"/>
    <w:rsid w:val="00693CD4"/>
    <w:rsid w:val="00694B47"/>
    <w:rsid w:val="006950DE"/>
    <w:rsid w:val="00695460"/>
    <w:rsid w:val="006959FA"/>
    <w:rsid w:val="00695D98"/>
    <w:rsid w:val="00696B61"/>
    <w:rsid w:val="0069782B"/>
    <w:rsid w:val="00697C00"/>
    <w:rsid w:val="006A090A"/>
    <w:rsid w:val="006A0D22"/>
    <w:rsid w:val="006A0FAB"/>
    <w:rsid w:val="006A12BC"/>
    <w:rsid w:val="006A2834"/>
    <w:rsid w:val="006A3282"/>
    <w:rsid w:val="006A3DC2"/>
    <w:rsid w:val="006A3E66"/>
    <w:rsid w:val="006A4FE4"/>
    <w:rsid w:val="006A5680"/>
    <w:rsid w:val="006A5824"/>
    <w:rsid w:val="006A6230"/>
    <w:rsid w:val="006A6AE5"/>
    <w:rsid w:val="006A7574"/>
    <w:rsid w:val="006A76EC"/>
    <w:rsid w:val="006B0391"/>
    <w:rsid w:val="006B09DC"/>
    <w:rsid w:val="006B1CF8"/>
    <w:rsid w:val="006B230B"/>
    <w:rsid w:val="006B4AB1"/>
    <w:rsid w:val="006B5528"/>
    <w:rsid w:val="006B5D72"/>
    <w:rsid w:val="006B6229"/>
    <w:rsid w:val="006B68DD"/>
    <w:rsid w:val="006B7258"/>
    <w:rsid w:val="006C0018"/>
    <w:rsid w:val="006C0D02"/>
    <w:rsid w:val="006C1036"/>
    <w:rsid w:val="006C1A3D"/>
    <w:rsid w:val="006C1A59"/>
    <w:rsid w:val="006C1E48"/>
    <w:rsid w:val="006C3A7E"/>
    <w:rsid w:val="006C45A5"/>
    <w:rsid w:val="006C47DD"/>
    <w:rsid w:val="006C48AD"/>
    <w:rsid w:val="006C57DB"/>
    <w:rsid w:val="006C6F5F"/>
    <w:rsid w:val="006D045B"/>
    <w:rsid w:val="006D0DA9"/>
    <w:rsid w:val="006D2F2E"/>
    <w:rsid w:val="006D322D"/>
    <w:rsid w:val="006D356B"/>
    <w:rsid w:val="006D361A"/>
    <w:rsid w:val="006D3788"/>
    <w:rsid w:val="006D3B69"/>
    <w:rsid w:val="006D3FE2"/>
    <w:rsid w:val="006D4A78"/>
    <w:rsid w:val="006D4B54"/>
    <w:rsid w:val="006D5C20"/>
    <w:rsid w:val="006D662B"/>
    <w:rsid w:val="006D6C9D"/>
    <w:rsid w:val="006D7F9D"/>
    <w:rsid w:val="006E037B"/>
    <w:rsid w:val="006E22C0"/>
    <w:rsid w:val="006E2422"/>
    <w:rsid w:val="006E3102"/>
    <w:rsid w:val="006E3720"/>
    <w:rsid w:val="006E3D4E"/>
    <w:rsid w:val="006E480E"/>
    <w:rsid w:val="006E4FB8"/>
    <w:rsid w:val="006E5C68"/>
    <w:rsid w:val="006E5F7A"/>
    <w:rsid w:val="006F0448"/>
    <w:rsid w:val="006F0487"/>
    <w:rsid w:val="006F069A"/>
    <w:rsid w:val="006F09FD"/>
    <w:rsid w:val="006F0A45"/>
    <w:rsid w:val="006F0C50"/>
    <w:rsid w:val="006F331C"/>
    <w:rsid w:val="006F363F"/>
    <w:rsid w:val="006F6A0B"/>
    <w:rsid w:val="00701330"/>
    <w:rsid w:val="007017B2"/>
    <w:rsid w:val="00701A80"/>
    <w:rsid w:val="00702E9C"/>
    <w:rsid w:val="00702FDB"/>
    <w:rsid w:val="00706142"/>
    <w:rsid w:val="00706309"/>
    <w:rsid w:val="00706CBD"/>
    <w:rsid w:val="0070727F"/>
    <w:rsid w:val="007077DE"/>
    <w:rsid w:val="00707E65"/>
    <w:rsid w:val="007103B3"/>
    <w:rsid w:val="00710858"/>
    <w:rsid w:val="00711E47"/>
    <w:rsid w:val="0071314A"/>
    <w:rsid w:val="007136A7"/>
    <w:rsid w:val="00713FFE"/>
    <w:rsid w:val="0071446C"/>
    <w:rsid w:val="007154E3"/>
    <w:rsid w:val="007167C1"/>
    <w:rsid w:val="00717295"/>
    <w:rsid w:val="00717FCD"/>
    <w:rsid w:val="0072011A"/>
    <w:rsid w:val="00720593"/>
    <w:rsid w:val="0072065C"/>
    <w:rsid w:val="00721BBE"/>
    <w:rsid w:val="007221D9"/>
    <w:rsid w:val="00722D01"/>
    <w:rsid w:val="00724228"/>
    <w:rsid w:val="00724A41"/>
    <w:rsid w:val="00724BF6"/>
    <w:rsid w:val="00724CE5"/>
    <w:rsid w:val="00725470"/>
    <w:rsid w:val="00725FF8"/>
    <w:rsid w:val="007270EC"/>
    <w:rsid w:val="00727646"/>
    <w:rsid w:val="00730036"/>
    <w:rsid w:val="007301C2"/>
    <w:rsid w:val="00730FF2"/>
    <w:rsid w:val="00731670"/>
    <w:rsid w:val="00731BA1"/>
    <w:rsid w:val="00731D79"/>
    <w:rsid w:val="007327FF"/>
    <w:rsid w:val="00732E56"/>
    <w:rsid w:val="00732E8C"/>
    <w:rsid w:val="00733476"/>
    <w:rsid w:val="00735A07"/>
    <w:rsid w:val="00737168"/>
    <w:rsid w:val="00737E1F"/>
    <w:rsid w:val="00740460"/>
    <w:rsid w:val="0074062C"/>
    <w:rsid w:val="00740854"/>
    <w:rsid w:val="00742999"/>
    <w:rsid w:val="00742B39"/>
    <w:rsid w:val="00743774"/>
    <w:rsid w:val="007437EA"/>
    <w:rsid w:val="00744077"/>
    <w:rsid w:val="007451D1"/>
    <w:rsid w:val="00745F06"/>
    <w:rsid w:val="007465D2"/>
    <w:rsid w:val="00746699"/>
    <w:rsid w:val="0074685C"/>
    <w:rsid w:val="00747061"/>
    <w:rsid w:val="007470C3"/>
    <w:rsid w:val="007474AD"/>
    <w:rsid w:val="007474FE"/>
    <w:rsid w:val="00751929"/>
    <w:rsid w:val="007521EA"/>
    <w:rsid w:val="007568A5"/>
    <w:rsid w:val="00757680"/>
    <w:rsid w:val="007603D5"/>
    <w:rsid w:val="0076040A"/>
    <w:rsid w:val="007607C7"/>
    <w:rsid w:val="00760A36"/>
    <w:rsid w:val="007611EF"/>
    <w:rsid w:val="007619D0"/>
    <w:rsid w:val="00762304"/>
    <w:rsid w:val="0076301D"/>
    <w:rsid w:val="007635E3"/>
    <w:rsid w:val="0076376F"/>
    <w:rsid w:val="00765266"/>
    <w:rsid w:val="00765F8D"/>
    <w:rsid w:val="00766984"/>
    <w:rsid w:val="00766A90"/>
    <w:rsid w:val="00767483"/>
    <w:rsid w:val="00767491"/>
    <w:rsid w:val="00767598"/>
    <w:rsid w:val="00773406"/>
    <w:rsid w:val="00773C84"/>
    <w:rsid w:val="007744FC"/>
    <w:rsid w:val="00774F69"/>
    <w:rsid w:val="00775205"/>
    <w:rsid w:val="00775DB0"/>
    <w:rsid w:val="00776442"/>
    <w:rsid w:val="00776AA7"/>
    <w:rsid w:val="00776E13"/>
    <w:rsid w:val="00777619"/>
    <w:rsid w:val="00783759"/>
    <w:rsid w:val="00783F09"/>
    <w:rsid w:val="0078423E"/>
    <w:rsid w:val="00784307"/>
    <w:rsid w:val="00784D33"/>
    <w:rsid w:val="0078544E"/>
    <w:rsid w:val="00785BB0"/>
    <w:rsid w:val="00785ED4"/>
    <w:rsid w:val="00786E90"/>
    <w:rsid w:val="0078739F"/>
    <w:rsid w:val="007873F7"/>
    <w:rsid w:val="007912B6"/>
    <w:rsid w:val="00791B25"/>
    <w:rsid w:val="00791D58"/>
    <w:rsid w:val="00792EA4"/>
    <w:rsid w:val="00792F54"/>
    <w:rsid w:val="00793EB9"/>
    <w:rsid w:val="00795506"/>
    <w:rsid w:val="007A0432"/>
    <w:rsid w:val="007A04B3"/>
    <w:rsid w:val="007A09DE"/>
    <w:rsid w:val="007A1C93"/>
    <w:rsid w:val="007A273A"/>
    <w:rsid w:val="007A2CD8"/>
    <w:rsid w:val="007A323B"/>
    <w:rsid w:val="007A379E"/>
    <w:rsid w:val="007A3B29"/>
    <w:rsid w:val="007A3DAD"/>
    <w:rsid w:val="007A3DE8"/>
    <w:rsid w:val="007A46F8"/>
    <w:rsid w:val="007A4CE6"/>
    <w:rsid w:val="007A4CEB"/>
    <w:rsid w:val="007A529E"/>
    <w:rsid w:val="007A5583"/>
    <w:rsid w:val="007A583B"/>
    <w:rsid w:val="007A5B91"/>
    <w:rsid w:val="007A62CE"/>
    <w:rsid w:val="007A6302"/>
    <w:rsid w:val="007A67B0"/>
    <w:rsid w:val="007A68D3"/>
    <w:rsid w:val="007A6FFE"/>
    <w:rsid w:val="007A737C"/>
    <w:rsid w:val="007A77AC"/>
    <w:rsid w:val="007A7960"/>
    <w:rsid w:val="007B1BB4"/>
    <w:rsid w:val="007B4E4F"/>
    <w:rsid w:val="007B54B7"/>
    <w:rsid w:val="007B5F3B"/>
    <w:rsid w:val="007B6265"/>
    <w:rsid w:val="007B65C0"/>
    <w:rsid w:val="007B6E26"/>
    <w:rsid w:val="007B6EAB"/>
    <w:rsid w:val="007B7D06"/>
    <w:rsid w:val="007C066B"/>
    <w:rsid w:val="007C1DF7"/>
    <w:rsid w:val="007C3499"/>
    <w:rsid w:val="007C5B63"/>
    <w:rsid w:val="007C73FF"/>
    <w:rsid w:val="007D0989"/>
    <w:rsid w:val="007D155C"/>
    <w:rsid w:val="007D2189"/>
    <w:rsid w:val="007D2BE3"/>
    <w:rsid w:val="007D2CAE"/>
    <w:rsid w:val="007D3E9D"/>
    <w:rsid w:val="007D4AE5"/>
    <w:rsid w:val="007D4CA5"/>
    <w:rsid w:val="007D5EE6"/>
    <w:rsid w:val="007D6891"/>
    <w:rsid w:val="007D6C1B"/>
    <w:rsid w:val="007D6E53"/>
    <w:rsid w:val="007D6F8E"/>
    <w:rsid w:val="007D7182"/>
    <w:rsid w:val="007D723C"/>
    <w:rsid w:val="007D7F91"/>
    <w:rsid w:val="007E0255"/>
    <w:rsid w:val="007E0A53"/>
    <w:rsid w:val="007E131A"/>
    <w:rsid w:val="007E1689"/>
    <w:rsid w:val="007E1AAF"/>
    <w:rsid w:val="007E1ACF"/>
    <w:rsid w:val="007E34FF"/>
    <w:rsid w:val="007E384A"/>
    <w:rsid w:val="007E42E9"/>
    <w:rsid w:val="007E5189"/>
    <w:rsid w:val="007E6465"/>
    <w:rsid w:val="007E66F5"/>
    <w:rsid w:val="007E6A5F"/>
    <w:rsid w:val="007E6EA3"/>
    <w:rsid w:val="007E701F"/>
    <w:rsid w:val="007E753D"/>
    <w:rsid w:val="007E770D"/>
    <w:rsid w:val="007F031C"/>
    <w:rsid w:val="007F0C01"/>
    <w:rsid w:val="007F1E4F"/>
    <w:rsid w:val="007F240C"/>
    <w:rsid w:val="007F2AE5"/>
    <w:rsid w:val="007F6DAC"/>
    <w:rsid w:val="007F785E"/>
    <w:rsid w:val="007F7B66"/>
    <w:rsid w:val="008003FB"/>
    <w:rsid w:val="00801026"/>
    <w:rsid w:val="008023DB"/>
    <w:rsid w:val="0080289C"/>
    <w:rsid w:val="00802C14"/>
    <w:rsid w:val="008041DE"/>
    <w:rsid w:val="00804269"/>
    <w:rsid w:val="00805949"/>
    <w:rsid w:val="0080628E"/>
    <w:rsid w:val="008066BE"/>
    <w:rsid w:val="008069CF"/>
    <w:rsid w:val="00807B2F"/>
    <w:rsid w:val="00807FC3"/>
    <w:rsid w:val="008110F6"/>
    <w:rsid w:val="00811807"/>
    <w:rsid w:val="00812637"/>
    <w:rsid w:val="00812BAA"/>
    <w:rsid w:val="00812EE2"/>
    <w:rsid w:val="00813312"/>
    <w:rsid w:val="008133E9"/>
    <w:rsid w:val="008139CB"/>
    <w:rsid w:val="00813A2C"/>
    <w:rsid w:val="00815831"/>
    <w:rsid w:val="00815C8F"/>
    <w:rsid w:val="00815CC2"/>
    <w:rsid w:val="00821663"/>
    <w:rsid w:val="008217BC"/>
    <w:rsid w:val="008218E5"/>
    <w:rsid w:val="008221D2"/>
    <w:rsid w:val="00822BB3"/>
    <w:rsid w:val="00822F4C"/>
    <w:rsid w:val="008237F3"/>
    <w:rsid w:val="0082585E"/>
    <w:rsid w:val="008260FE"/>
    <w:rsid w:val="00826638"/>
    <w:rsid w:val="00826B52"/>
    <w:rsid w:val="00827961"/>
    <w:rsid w:val="0083046B"/>
    <w:rsid w:val="00830EFF"/>
    <w:rsid w:val="00831927"/>
    <w:rsid w:val="00832A91"/>
    <w:rsid w:val="008333A1"/>
    <w:rsid w:val="00833E90"/>
    <w:rsid w:val="008347B0"/>
    <w:rsid w:val="008351E2"/>
    <w:rsid w:val="008354FF"/>
    <w:rsid w:val="00835C79"/>
    <w:rsid w:val="00836657"/>
    <w:rsid w:val="008366FA"/>
    <w:rsid w:val="00836DC9"/>
    <w:rsid w:val="00837020"/>
    <w:rsid w:val="008370F9"/>
    <w:rsid w:val="00837B5C"/>
    <w:rsid w:val="00837C44"/>
    <w:rsid w:val="0084022E"/>
    <w:rsid w:val="00840C86"/>
    <w:rsid w:val="00840D0E"/>
    <w:rsid w:val="00840D9B"/>
    <w:rsid w:val="0084203C"/>
    <w:rsid w:val="008420D4"/>
    <w:rsid w:val="00842EE5"/>
    <w:rsid w:val="00842F07"/>
    <w:rsid w:val="0084419F"/>
    <w:rsid w:val="008443FC"/>
    <w:rsid w:val="00844DC9"/>
    <w:rsid w:val="0084671D"/>
    <w:rsid w:val="0084792D"/>
    <w:rsid w:val="00847F35"/>
    <w:rsid w:val="008519F8"/>
    <w:rsid w:val="00852421"/>
    <w:rsid w:val="00852767"/>
    <w:rsid w:val="008527D6"/>
    <w:rsid w:val="00852B88"/>
    <w:rsid w:val="00852FA3"/>
    <w:rsid w:val="00853EDC"/>
    <w:rsid w:val="008542E1"/>
    <w:rsid w:val="0085433B"/>
    <w:rsid w:val="00854A37"/>
    <w:rsid w:val="00854F1F"/>
    <w:rsid w:val="008558CE"/>
    <w:rsid w:val="00855D6C"/>
    <w:rsid w:val="00855EC9"/>
    <w:rsid w:val="0085631E"/>
    <w:rsid w:val="00856998"/>
    <w:rsid w:val="00856EF6"/>
    <w:rsid w:val="00860124"/>
    <w:rsid w:val="00860144"/>
    <w:rsid w:val="00860FBE"/>
    <w:rsid w:val="00862B04"/>
    <w:rsid w:val="00863E55"/>
    <w:rsid w:val="00864144"/>
    <w:rsid w:val="008641F6"/>
    <w:rsid w:val="00867B49"/>
    <w:rsid w:val="00867C77"/>
    <w:rsid w:val="00871445"/>
    <w:rsid w:val="00871703"/>
    <w:rsid w:val="00872EFD"/>
    <w:rsid w:val="00872FF0"/>
    <w:rsid w:val="00873228"/>
    <w:rsid w:val="00874A3E"/>
    <w:rsid w:val="00875AD1"/>
    <w:rsid w:val="00876A03"/>
    <w:rsid w:val="00876CF0"/>
    <w:rsid w:val="00876CFE"/>
    <w:rsid w:val="00876E75"/>
    <w:rsid w:val="0087767C"/>
    <w:rsid w:val="008816A0"/>
    <w:rsid w:val="008819B4"/>
    <w:rsid w:val="00882040"/>
    <w:rsid w:val="0088396E"/>
    <w:rsid w:val="0088477E"/>
    <w:rsid w:val="008848FE"/>
    <w:rsid w:val="00884956"/>
    <w:rsid w:val="0088756B"/>
    <w:rsid w:val="00887C06"/>
    <w:rsid w:val="00887F8A"/>
    <w:rsid w:val="00891280"/>
    <w:rsid w:val="008914B1"/>
    <w:rsid w:val="00891B6C"/>
    <w:rsid w:val="00893E8A"/>
    <w:rsid w:val="008946CE"/>
    <w:rsid w:val="008947B2"/>
    <w:rsid w:val="00895137"/>
    <w:rsid w:val="00895C1B"/>
    <w:rsid w:val="00895CD6"/>
    <w:rsid w:val="00895F64"/>
    <w:rsid w:val="008966FE"/>
    <w:rsid w:val="00896B97"/>
    <w:rsid w:val="008979D4"/>
    <w:rsid w:val="008A1568"/>
    <w:rsid w:val="008A20AD"/>
    <w:rsid w:val="008A2849"/>
    <w:rsid w:val="008A48AA"/>
    <w:rsid w:val="008A58C5"/>
    <w:rsid w:val="008A59AE"/>
    <w:rsid w:val="008A5B9A"/>
    <w:rsid w:val="008A6F70"/>
    <w:rsid w:val="008B0271"/>
    <w:rsid w:val="008B113D"/>
    <w:rsid w:val="008B1221"/>
    <w:rsid w:val="008B1F84"/>
    <w:rsid w:val="008B2E6D"/>
    <w:rsid w:val="008B3904"/>
    <w:rsid w:val="008B3B5E"/>
    <w:rsid w:val="008B4CB5"/>
    <w:rsid w:val="008B605A"/>
    <w:rsid w:val="008B6487"/>
    <w:rsid w:val="008B7387"/>
    <w:rsid w:val="008B7BCC"/>
    <w:rsid w:val="008B7C88"/>
    <w:rsid w:val="008C1951"/>
    <w:rsid w:val="008C2B7F"/>
    <w:rsid w:val="008C2C80"/>
    <w:rsid w:val="008C323E"/>
    <w:rsid w:val="008C36EA"/>
    <w:rsid w:val="008C5626"/>
    <w:rsid w:val="008C57F6"/>
    <w:rsid w:val="008C5CF2"/>
    <w:rsid w:val="008C6D92"/>
    <w:rsid w:val="008C74AD"/>
    <w:rsid w:val="008C7A01"/>
    <w:rsid w:val="008C7C0C"/>
    <w:rsid w:val="008D0230"/>
    <w:rsid w:val="008D05F1"/>
    <w:rsid w:val="008D1425"/>
    <w:rsid w:val="008D1D33"/>
    <w:rsid w:val="008D2DC7"/>
    <w:rsid w:val="008D3291"/>
    <w:rsid w:val="008D38D5"/>
    <w:rsid w:val="008D3DBC"/>
    <w:rsid w:val="008D436F"/>
    <w:rsid w:val="008D55A9"/>
    <w:rsid w:val="008D6ABE"/>
    <w:rsid w:val="008D6C4D"/>
    <w:rsid w:val="008D7495"/>
    <w:rsid w:val="008D7A2E"/>
    <w:rsid w:val="008E0382"/>
    <w:rsid w:val="008E0A5F"/>
    <w:rsid w:val="008E0CD7"/>
    <w:rsid w:val="008E1883"/>
    <w:rsid w:val="008E2003"/>
    <w:rsid w:val="008E219D"/>
    <w:rsid w:val="008E22B5"/>
    <w:rsid w:val="008E2FD8"/>
    <w:rsid w:val="008E368C"/>
    <w:rsid w:val="008E4992"/>
    <w:rsid w:val="008E563E"/>
    <w:rsid w:val="008E6192"/>
    <w:rsid w:val="008E61D1"/>
    <w:rsid w:val="008E65D2"/>
    <w:rsid w:val="008E6687"/>
    <w:rsid w:val="008E6892"/>
    <w:rsid w:val="008E7638"/>
    <w:rsid w:val="008E79FE"/>
    <w:rsid w:val="008E7C20"/>
    <w:rsid w:val="008F0290"/>
    <w:rsid w:val="008F072D"/>
    <w:rsid w:val="008F1546"/>
    <w:rsid w:val="008F16B8"/>
    <w:rsid w:val="008F3399"/>
    <w:rsid w:val="008F33BB"/>
    <w:rsid w:val="008F34BD"/>
    <w:rsid w:val="008F3628"/>
    <w:rsid w:val="008F3DD7"/>
    <w:rsid w:val="008F53F3"/>
    <w:rsid w:val="008F57E9"/>
    <w:rsid w:val="008F713F"/>
    <w:rsid w:val="008F72D8"/>
    <w:rsid w:val="008F73A2"/>
    <w:rsid w:val="008F78CD"/>
    <w:rsid w:val="008F7E2A"/>
    <w:rsid w:val="009001BF"/>
    <w:rsid w:val="00900799"/>
    <w:rsid w:val="00900D05"/>
    <w:rsid w:val="00902091"/>
    <w:rsid w:val="00904AAE"/>
    <w:rsid w:val="00904B17"/>
    <w:rsid w:val="009054D5"/>
    <w:rsid w:val="0090595D"/>
    <w:rsid w:val="00906895"/>
    <w:rsid w:val="00907B95"/>
    <w:rsid w:val="00907D91"/>
    <w:rsid w:val="00907E3F"/>
    <w:rsid w:val="00910058"/>
    <w:rsid w:val="00910525"/>
    <w:rsid w:val="009114FB"/>
    <w:rsid w:val="0091179A"/>
    <w:rsid w:val="00912C72"/>
    <w:rsid w:val="00912D11"/>
    <w:rsid w:val="009131FD"/>
    <w:rsid w:val="009132AA"/>
    <w:rsid w:val="00913AAF"/>
    <w:rsid w:val="00913D4E"/>
    <w:rsid w:val="0091487A"/>
    <w:rsid w:val="009162BC"/>
    <w:rsid w:val="009162E2"/>
    <w:rsid w:val="00916A0F"/>
    <w:rsid w:val="009201A2"/>
    <w:rsid w:val="00920496"/>
    <w:rsid w:val="00920524"/>
    <w:rsid w:val="00920720"/>
    <w:rsid w:val="00921E8D"/>
    <w:rsid w:val="00922B97"/>
    <w:rsid w:val="00923503"/>
    <w:rsid w:val="0092374B"/>
    <w:rsid w:val="00923BB8"/>
    <w:rsid w:val="009241A2"/>
    <w:rsid w:val="00924878"/>
    <w:rsid w:val="00925821"/>
    <w:rsid w:val="00926217"/>
    <w:rsid w:val="0092764D"/>
    <w:rsid w:val="00927CB1"/>
    <w:rsid w:val="00927D23"/>
    <w:rsid w:val="0093003A"/>
    <w:rsid w:val="0093197D"/>
    <w:rsid w:val="00931E50"/>
    <w:rsid w:val="00932185"/>
    <w:rsid w:val="00932E21"/>
    <w:rsid w:val="00933B8E"/>
    <w:rsid w:val="00934A7D"/>
    <w:rsid w:val="009360D0"/>
    <w:rsid w:val="00936480"/>
    <w:rsid w:val="009365E3"/>
    <w:rsid w:val="009377F8"/>
    <w:rsid w:val="00940807"/>
    <w:rsid w:val="0094136A"/>
    <w:rsid w:val="00943C8F"/>
    <w:rsid w:val="00944DC6"/>
    <w:rsid w:val="009453BD"/>
    <w:rsid w:val="00945653"/>
    <w:rsid w:val="00945CF8"/>
    <w:rsid w:val="009469E5"/>
    <w:rsid w:val="0094755B"/>
    <w:rsid w:val="00947AD8"/>
    <w:rsid w:val="009504B3"/>
    <w:rsid w:val="009505B3"/>
    <w:rsid w:val="00952128"/>
    <w:rsid w:val="00952193"/>
    <w:rsid w:val="00952A15"/>
    <w:rsid w:val="00952B58"/>
    <w:rsid w:val="0095323F"/>
    <w:rsid w:val="00953528"/>
    <w:rsid w:val="009540E2"/>
    <w:rsid w:val="00954105"/>
    <w:rsid w:val="00954D55"/>
    <w:rsid w:val="0095673A"/>
    <w:rsid w:val="00956BB3"/>
    <w:rsid w:val="00956C60"/>
    <w:rsid w:val="00956D43"/>
    <w:rsid w:val="00956E09"/>
    <w:rsid w:val="009602A3"/>
    <w:rsid w:val="00960ADC"/>
    <w:rsid w:val="009617DC"/>
    <w:rsid w:val="00963021"/>
    <w:rsid w:val="0096352B"/>
    <w:rsid w:val="00964F8A"/>
    <w:rsid w:val="00966211"/>
    <w:rsid w:val="00967BDF"/>
    <w:rsid w:val="009706A1"/>
    <w:rsid w:val="00970CA4"/>
    <w:rsid w:val="00970CE7"/>
    <w:rsid w:val="00971F57"/>
    <w:rsid w:val="0097203A"/>
    <w:rsid w:val="00972218"/>
    <w:rsid w:val="00972B18"/>
    <w:rsid w:val="00972D75"/>
    <w:rsid w:val="00972DF4"/>
    <w:rsid w:val="00973929"/>
    <w:rsid w:val="00973CA1"/>
    <w:rsid w:val="00973E12"/>
    <w:rsid w:val="00976057"/>
    <w:rsid w:val="00976097"/>
    <w:rsid w:val="009803F8"/>
    <w:rsid w:val="00981195"/>
    <w:rsid w:val="009812BD"/>
    <w:rsid w:val="00982156"/>
    <w:rsid w:val="0098403A"/>
    <w:rsid w:val="0098426E"/>
    <w:rsid w:val="00984686"/>
    <w:rsid w:val="00984DBE"/>
    <w:rsid w:val="00985E62"/>
    <w:rsid w:val="00986E5E"/>
    <w:rsid w:val="009877EB"/>
    <w:rsid w:val="00987AEE"/>
    <w:rsid w:val="00987DE9"/>
    <w:rsid w:val="00990EF6"/>
    <w:rsid w:val="009910DA"/>
    <w:rsid w:val="00992B5F"/>
    <w:rsid w:val="0099348C"/>
    <w:rsid w:val="00993B30"/>
    <w:rsid w:val="009946BC"/>
    <w:rsid w:val="00994909"/>
    <w:rsid w:val="00994ADD"/>
    <w:rsid w:val="00995B7D"/>
    <w:rsid w:val="009962BC"/>
    <w:rsid w:val="00996939"/>
    <w:rsid w:val="00997720"/>
    <w:rsid w:val="00997D8D"/>
    <w:rsid w:val="009A0267"/>
    <w:rsid w:val="009A090E"/>
    <w:rsid w:val="009A0A99"/>
    <w:rsid w:val="009A192D"/>
    <w:rsid w:val="009A1B2D"/>
    <w:rsid w:val="009A1FF2"/>
    <w:rsid w:val="009A206D"/>
    <w:rsid w:val="009A23CE"/>
    <w:rsid w:val="009A2C4D"/>
    <w:rsid w:val="009A3B60"/>
    <w:rsid w:val="009A3F7A"/>
    <w:rsid w:val="009A40C3"/>
    <w:rsid w:val="009A4AA4"/>
    <w:rsid w:val="009A65C8"/>
    <w:rsid w:val="009A6C9A"/>
    <w:rsid w:val="009A6F5E"/>
    <w:rsid w:val="009A7ADC"/>
    <w:rsid w:val="009B051B"/>
    <w:rsid w:val="009B1086"/>
    <w:rsid w:val="009B1BE0"/>
    <w:rsid w:val="009B1EA0"/>
    <w:rsid w:val="009B204E"/>
    <w:rsid w:val="009B22D2"/>
    <w:rsid w:val="009B360E"/>
    <w:rsid w:val="009B39AA"/>
    <w:rsid w:val="009B45EF"/>
    <w:rsid w:val="009B483C"/>
    <w:rsid w:val="009B49C0"/>
    <w:rsid w:val="009B647D"/>
    <w:rsid w:val="009C1683"/>
    <w:rsid w:val="009C1F5E"/>
    <w:rsid w:val="009C2085"/>
    <w:rsid w:val="009C2D22"/>
    <w:rsid w:val="009C40DA"/>
    <w:rsid w:val="009C486B"/>
    <w:rsid w:val="009C670A"/>
    <w:rsid w:val="009C77E9"/>
    <w:rsid w:val="009C7C9B"/>
    <w:rsid w:val="009D147F"/>
    <w:rsid w:val="009D3478"/>
    <w:rsid w:val="009D3A37"/>
    <w:rsid w:val="009D3C98"/>
    <w:rsid w:val="009D3F76"/>
    <w:rsid w:val="009D41B7"/>
    <w:rsid w:val="009D465B"/>
    <w:rsid w:val="009D4D6D"/>
    <w:rsid w:val="009D52B2"/>
    <w:rsid w:val="009D547D"/>
    <w:rsid w:val="009D5693"/>
    <w:rsid w:val="009D5857"/>
    <w:rsid w:val="009D593B"/>
    <w:rsid w:val="009E22A8"/>
    <w:rsid w:val="009E35F4"/>
    <w:rsid w:val="009E3D35"/>
    <w:rsid w:val="009E44FD"/>
    <w:rsid w:val="009E4B86"/>
    <w:rsid w:val="009E51A6"/>
    <w:rsid w:val="009E5850"/>
    <w:rsid w:val="009E600C"/>
    <w:rsid w:val="009E7041"/>
    <w:rsid w:val="009E7246"/>
    <w:rsid w:val="009E7254"/>
    <w:rsid w:val="009E765D"/>
    <w:rsid w:val="009E7D75"/>
    <w:rsid w:val="009E7F1D"/>
    <w:rsid w:val="009E7F52"/>
    <w:rsid w:val="009F13C7"/>
    <w:rsid w:val="009F1610"/>
    <w:rsid w:val="009F1BA1"/>
    <w:rsid w:val="009F206A"/>
    <w:rsid w:val="009F3697"/>
    <w:rsid w:val="009F3B0F"/>
    <w:rsid w:val="009F4652"/>
    <w:rsid w:val="009F4789"/>
    <w:rsid w:val="009F48B0"/>
    <w:rsid w:val="009F4E44"/>
    <w:rsid w:val="009F5EDD"/>
    <w:rsid w:val="009F6514"/>
    <w:rsid w:val="00A008E1"/>
    <w:rsid w:val="00A015AB"/>
    <w:rsid w:val="00A01BD8"/>
    <w:rsid w:val="00A02687"/>
    <w:rsid w:val="00A02EFC"/>
    <w:rsid w:val="00A03BD3"/>
    <w:rsid w:val="00A050D4"/>
    <w:rsid w:val="00A05517"/>
    <w:rsid w:val="00A05730"/>
    <w:rsid w:val="00A06FA2"/>
    <w:rsid w:val="00A07B49"/>
    <w:rsid w:val="00A12984"/>
    <w:rsid w:val="00A13517"/>
    <w:rsid w:val="00A14E12"/>
    <w:rsid w:val="00A153B6"/>
    <w:rsid w:val="00A1564C"/>
    <w:rsid w:val="00A15D80"/>
    <w:rsid w:val="00A16649"/>
    <w:rsid w:val="00A17140"/>
    <w:rsid w:val="00A17907"/>
    <w:rsid w:val="00A20456"/>
    <w:rsid w:val="00A21E4E"/>
    <w:rsid w:val="00A224F8"/>
    <w:rsid w:val="00A22B97"/>
    <w:rsid w:val="00A236FE"/>
    <w:rsid w:val="00A241C0"/>
    <w:rsid w:val="00A24DCE"/>
    <w:rsid w:val="00A251B9"/>
    <w:rsid w:val="00A25F3C"/>
    <w:rsid w:val="00A263AF"/>
    <w:rsid w:val="00A26403"/>
    <w:rsid w:val="00A26E4D"/>
    <w:rsid w:val="00A270A5"/>
    <w:rsid w:val="00A2781D"/>
    <w:rsid w:val="00A30822"/>
    <w:rsid w:val="00A31540"/>
    <w:rsid w:val="00A320E3"/>
    <w:rsid w:val="00A33525"/>
    <w:rsid w:val="00A33573"/>
    <w:rsid w:val="00A33807"/>
    <w:rsid w:val="00A33AAE"/>
    <w:rsid w:val="00A34710"/>
    <w:rsid w:val="00A34AB0"/>
    <w:rsid w:val="00A3611E"/>
    <w:rsid w:val="00A378A8"/>
    <w:rsid w:val="00A37BCE"/>
    <w:rsid w:val="00A37C16"/>
    <w:rsid w:val="00A401B9"/>
    <w:rsid w:val="00A40733"/>
    <w:rsid w:val="00A40744"/>
    <w:rsid w:val="00A40811"/>
    <w:rsid w:val="00A42249"/>
    <w:rsid w:val="00A42944"/>
    <w:rsid w:val="00A45365"/>
    <w:rsid w:val="00A473B0"/>
    <w:rsid w:val="00A50A5E"/>
    <w:rsid w:val="00A51122"/>
    <w:rsid w:val="00A5233F"/>
    <w:rsid w:val="00A52661"/>
    <w:rsid w:val="00A526EE"/>
    <w:rsid w:val="00A52BF9"/>
    <w:rsid w:val="00A52C17"/>
    <w:rsid w:val="00A53E5E"/>
    <w:rsid w:val="00A54D8F"/>
    <w:rsid w:val="00A556AA"/>
    <w:rsid w:val="00A5591C"/>
    <w:rsid w:val="00A57372"/>
    <w:rsid w:val="00A60628"/>
    <w:rsid w:val="00A60DEC"/>
    <w:rsid w:val="00A61232"/>
    <w:rsid w:val="00A619D1"/>
    <w:rsid w:val="00A635CC"/>
    <w:rsid w:val="00A63FD1"/>
    <w:rsid w:val="00A6479F"/>
    <w:rsid w:val="00A64BCA"/>
    <w:rsid w:val="00A64EDF"/>
    <w:rsid w:val="00A65D7B"/>
    <w:rsid w:val="00A65E79"/>
    <w:rsid w:val="00A66FEC"/>
    <w:rsid w:val="00A676A2"/>
    <w:rsid w:val="00A67938"/>
    <w:rsid w:val="00A67B04"/>
    <w:rsid w:val="00A70B02"/>
    <w:rsid w:val="00A70B7A"/>
    <w:rsid w:val="00A70E96"/>
    <w:rsid w:val="00A70EA3"/>
    <w:rsid w:val="00A70F3C"/>
    <w:rsid w:val="00A72FBB"/>
    <w:rsid w:val="00A74C07"/>
    <w:rsid w:val="00A77B61"/>
    <w:rsid w:val="00A81BE5"/>
    <w:rsid w:val="00A8223D"/>
    <w:rsid w:val="00A84B71"/>
    <w:rsid w:val="00A85589"/>
    <w:rsid w:val="00A8574E"/>
    <w:rsid w:val="00A86002"/>
    <w:rsid w:val="00A87248"/>
    <w:rsid w:val="00A87A10"/>
    <w:rsid w:val="00A87F2C"/>
    <w:rsid w:val="00A87FC1"/>
    <w:rsid w:val="00A928E6"/>
    <w:rsid w:val="00A930E5"/>
    <w:rsid w:val="00A940CE"/>
    <w:rsid w:val="00A963A9"/>
    <w:rsid w:val="00A96B13"/>
    <w:rsid w:val="00A9779E"/>
    <w:rsid w:val="00AA01E6"/>
    <w:rsid w:val="00AA09DD"/>
    <w:rsid w:val="00AA0D20"/>
    <w:rsid w:val="00AA1305"/>
    <w:rsid w:val="00AA16B3"/>
    <w:rsid w:val="00AA20D5"/>
    <w:rsid w:val="00AA2483"/>
    <w:rsid w:val="00AA2A85"/>
    <w:rsid w:val="00AA31B1"/>
    <w:rsid w:val="00AA41EA"/>
    <w:rsid w:val="00AA497B"/>
    <w:rsid w:val="00AA49D0"/>
    <w:rsid w:val="00AA4A6E"/>
    <w:rsid w:val="00AA6AA2"/>
    <w:rsid w:val="00AA6CD0"/>
    <w:rsid w:val="00AA78BD"/>
    <w:rsid w:val="00AB0E2B"/>
    <w:rsid w:val="00AB121A"/>
    <w:rsid w:val="00AB1EFC"/>
    <w:rsid w:val="00AB22E0"/>
    <w:rsid w:val="00AB398B"/>
    <w:rsid w:val="00AB40B6"/>
    <w:rsid w:val="00AB437C"/>
    <w:rsid w:val="00AB56C1"/>
    <w:rsid w:val="00AB5B72"/>
    <w:rsid w:val="00AB5D49"/>
    <w:rsid w:val="00AB67D0"/>
    <w:rsid w:val="00AB6DB4"/>
    <w:rsid w:val="00AC0C40"/>
    <w:rsid w:val="00AC0C4C"/>
    <w:rsid w:val="00AC0CDE"/>
    <w:rsid w:val="00AC0D52"/>
    <w:rsid w:val="00AC132D"/>
    <w:rsid w:val="00AC146A"/>
    <w:rsid w:val="00AC1733"/>
    <w:rsid w:val="00AC2E73"/>
    <w:rsid w:val="00AC368C"/>
    <w:rsid w:val="00AC55D2"/>
    <w:rsid w:val="00AC64E3"/>
    <w:rsid w:val="00AC7510"/>
    <w:rsid w:val="00AC7BB7"/>
    <w:rsid w:val="00AD039C"/>
    <w:rsid w:val="00AD1F20"/>
    <w:rsid w:val="00AD3773"/>
    <w:rsid w:val="00AD3F52"/>
    <w:rsid w:val="00AD4C8C"/>
    <w:rsid w:val="00AD4CDC"/>
    <w:rsid w:val="00AD61FD"/>
    <w:rsid w:val="00AD63EE"/>
    <w:rsid w:val="00AD66EF"/>
    <w:rsid w:val="00AD67C7"/>
    <w:rsid w:val="00AD6DF6"/>
    <w:rsid w:val="00AD7E5B"/>
    <w:rsid w:val="00AE096F"/>
    <w:rsid w:val="00AE1420"/>
    <w:rsid w:val="00AE15F8"/>
    <w:rsid w:val="00AE21CB"/>
    <w:rsid w:val="00AE36BD"/>
    <w:rsid w:val="00AE40EB"/>
    <w:rsid w:val="00AE54A9"/>
    <w:rsid w:val="00AE598F"/>
    <w:rsid w:val="00AE606D"/>
    <w:rsid w:val="00AE7163"/>
    <w:rsid w:val="00AE73D8"/>
    <w:rsid w:val="00AE74B3"/>
    <w:rsid w:val="00AE7A6B"/>
    <w:rsid w:val="00AE7CB3"/>
    <w:rsid w:val="00AF04C2"/>
    <w:rsid w:val="00AF0C6F"/>
    <w:rsid w:val="00AF1122"/>
    <w:rsid w:val="00AF1BC1"/>
    <w:rsid w:val="00AF1FC9"/>
    <w:rsid w:val="00AF2359"/>
    <w:rsid w:val="00AF2675"/>
    <w:rsid w:val="00AF308D"/>
    <w:rsid w:val="00AF4F3C"/>
    <w:rsid w:val="00AF5081"/>
    <w:rsid w:val="00AF678F"/>
    <w:rsid w:val="00AF7050"/>
    <w:rsid w:val="00AF78EE"/>
    <w:rsid w:val="00B0046D"/>
    <w:rsid w:val="00B0099C"/>
    <w:rsid w:val="00B00EDC"/>
    <w:rsid w:val="00B01111"/>
    <w:rsid w:val="00B011E6"/>
    <w:rsid w:val="00B02B0F"/>
    <w:rsid w:val="00B02C5F"/>
    <w:rsid w:val="00B0570D"/>
    <w:rsid w:val="00B0714F"/>
    <w:rsid w:val="00B0755E"/>
    <w:rsid w:val="00B077CC"/>
    <w:rsid w:val="00B10C05"/>
    <w:rsid w:val="00B11BCB"/>
    <w:rsid w:val="00B11D45"/>
    <w:rsid w:val="00B124AB"/>
    <w:rsid w:val="00B13181"/>
    <w:rsid w:val="00B1439F"/>
    <w:rsid w:val="00B1479C"/>
    <w:rsid w:val="00B14FC0"/>
    <w:rsid w:val="00B1524D"/>
    <w:rsid w:val="00B152F3"/>
    <w:rsid w:val="00B15566"/>
    <w:rsid w:val="00B1706D"/>
    <w:rsid w:val="00B170A3"/>
    <w:rsid w:val="00B21399"/>
    <w:rsid w:val="00B23340"/>
    <w:rsid w:val="00B23906"/>
    <w:rsid w:val="00B2422D"/>
    <w:rsid w:val="00B24E69"/>
    <w:rsid w:val="00B25928"/>
    <w:rsid w:val="00B27036"/>
    <w:rsid w:val="00B2727E"/>
    <w:rsid w:val="00B278FE"/>
    <w:rsid w:val="00B2799F"/>
    <w:rsid w:val="00B279C9"/>
    <w:rsid w:val="00B27DF3"/>
    <w:rsid w:val="00B27E30"/>
    <w:rsid w:val="00B300AD"/>
    <w:rsid w:val="00B30199"/>
    <w:rsid w:val="00B30851"/>
    <w:rsid w:val="00B32115"/>
    <w:rsid w:val="00B32FA0"/>
    <w:rsid w:val="00B33189"/>
    <w:rsid w:val="00B331AE"/>
    <w:rsid w:val="00B33A92"/>
    <w:rsid w:val="00B349BB"/>
    <w:rsid w:val="00B349CD"/>
    <w:rsid w:val="00B3546C"/>
    <w:rsid w:val="00B35610"/>
    <w:rsid w:val="00B35E95"/>
    <w:rsid w:val="00B36623"/>
    <w:rsid w:val="00B37C46"/>
    <w:rsid w:val="00B37FDB"/>
    <w:rsid w:val="00B4009D"/>
    <w:rsid w:val="00B4026E"/>
    <w:rsid w:val="00B40628"/>
    <w:rsid w:val="00B40EFB"/>
    <w:rsid w:val="00B4201B"/>
    <w:rsid w:val="00B42AD2"/>
    <w:rsid w:val="00B435B3"/>
    <w:rsid w:val="00B43A2E"/>
    <w:rsid w:val="00B442C0"/>
    <w:rsid w:val="00B44908"/>
    <w:rsid w:val="00B45B3E"/>
    <w:rsid w:val="00B45E32"/>
    <w:rsid w:val="00B46CA9"/>
    <w:rsid w:val="00B470F9"/>
    <w:rsid w:val="00B51E6D"/>
    <w:rsid w:val="00B51F2D"/>
    <w:rsid w:val="00B529E6"/>
    <w:rsid w:val="00B52C64"/>
    <w:rsid w:val="00B535CB"/>
    <w:rsid w:val="00B536DB"/>
    <w:rsid w:val="00B53CDE"/>
    <w:rsid w:val="00B5476F"/>
    <w:rsid w:val="00B5481C"/>
    <w:rsid w:val="00B54C6C"/>
    <w:rsid w:val="00B56F57"/>
    <w:rsid w:val="00B575D0"/>
    <w:rsid w:val="00B57A13"/>
    <w:rsid w:val="00B6053B"/>
    <w:rsid w:val="00B60CC1"/>
    <w:rsid w:val="00B61357"/>
    <w:rsid w:val="00B632B1"/>
    <w:rsid w:val="00B64F63"/>
    <w:rsid w:val="00B6529E"/>
    <w:rsid w:val="00B653E2"/>
    <w:rsid w:val="00B65F4B"/>
    <w:rsid w:val="00B66238"/>
    <w:rsid w:val="00B66C4B"/>
    <w:rsid w:val="00B67081"/>
    <w:rsid w:val="00B67B22"/>
    <w:rsid w:val="00B71C13"/>
    <w:rsid w:val="00B72AEE"/>
    <w:rsid w:val="00B7310E"/>
    <w:rsid w:val="00B73348"/>
    <w:rsid w:val="00B73646"/>
    <w:rsid w:val="00B73D17"/>
    <w:rsid w:val="00B7401C"/>
    <w:rsid w:val="00B74952"/>
    <w:rsid w:val="00B756F5"/>
    <w:rsid w:val="00B7647C"/>
    <w:rsid w:val="00B77299"/>
    <w:rsid w:val="00B77CBA"/>
    <w:rsid w:val="00B80A5E"/>
    <w:rsid w:val="00B80E26"/>
    <w:rsid w:val="00B80F13"/>
    <w:rsid w:val="00B81A62"/>
    <w:rsid w:val="00B81C1D"/>
    <w:rsid w:val="00B81DC6"/>
    <w:rsid w:val="00B82DD3"/>
    <w:rsid w:val="00B83321"/>
    <w:rsid w:val="00B84377"/>
    <w:rsid w:val="00B846C6"/>
    <w:rsid w:val="00B8484B"/>
    <w:rsid w:val="00B8517C"/>
    <w:rsid w:val="00B85C6C"/>
    <w:rsid w:val="00B85F20"/>
    <w:rsid w:val="00B9124A"/>
    <w:rsid w:val="00B93132"/>
    <w:rsid w:val="00B93D6A"/>
    <w:rsid w:val="00B9480A"/>
    <w:rsid w:val="00B94BFF"/>
    <w:rsid w:val="00B956C4"/>
    <w:rsid w:val="00B95B0A"/>
    <w:rsid w:val="00B95D3B"/>
    <w:rsid w:val="00B96271"/>
    <w:rsid w:val="00B97167"/>
    <w:rsid w:val="00BA0A39"/>
    <w:rsid w:val="00BA17A6"/>
    <w:rsid w:val="00BA2D2B"/>
    <w:rsid w:val="00BA36F0"/>
    <w:rsid w:val="00BA3D6D"/>
    <w:rsid w:val="00BA4876"/>
    <w:rsid w:val="00BA51E3"/>
    <w:rsid w:val="00BA5C3A"/>
    <w:rsid w:val="00BA5C82"/>
    <w:rsid w:val="00BA5FB6"/>
    <w:rsid w:val="00BA64E6"/>
    <w:rsid w:val="00BA6EB3"/>
    <w:rsid w:val="00BA7E4B"/>
    <w:rsid w:val="00BB1858"/>
    <w:rsid w:val="00BB1E30"/>
    <w:rsid w:val="00BB224C"/>
    <w:rsid w:val="00BB2349"/>
    <w:rsid w:val="00BB2735"/>
    <w:rsid w:val="00BB2F03"/>
    <w:rsid w:val="00BB4494"/>
    <w:rsid w:val="00BB4715"/>
    <w:rsid w:val="00BB590E"/>
    <w:rsid w:val="00BB64CB"/>
    <w:rsid w:val="00BB65B2"/>
    <w:rsid w:val="00BB6B70"/>
    <w:rsid w:val="00BB6CCF"/>
    <w:rsid w:val="00BB777A"/>
    <w:rsid w:val="00BB7A04"/>
    <w:rsid w:val="00BC09A4"/>
    <w:rsid w:val="00BC1466"/>
    <w:rsid w:val="00BC1484"/>
    <w:rsid w:val="00BC1CFA"/>
    <w:rsid w:val="00BC240C"/>
    <w:rsid w:val="00BC2B30"/>
    <w:rsid w:val="00BC3094"/>
    <w:rsid w:val="00BC321E"/>
    <w:rsid w:val="00BC32EA"/>
    <w:rsid w:val="00BC3903"/>
    <w:rsid w:val="00BC44DF"/>
    <w:rsid w:val="00BC4B2A"/>
    <w:rsid w:val="00BC5031"/>
    <w:rsid w:val="00BC5E34"/>
    <w:rsid w:val="00BC62C2"/>
    <w:rsid w:val="00BC6743"/>
    <w:rsid w:val="00BC799A"/>
    <w:rsid w:val="00BD0754"/>
    <w:rsid w:val="00BD2004"/>
    <w:rsid w:val="00BD265C"/>
    <w:rsid w:val="00BD29E3"/>
    <w:rsid w:val="00BD3524"/>
    <w:rsid w:val="00BD39DE"/>
    <w:rsid w:val="00BD40A4"/>
    <w:rsid w:val="00BD45D8"/>
    <w:rsid w:val="00BD46B9"/>
    <w:rsid w:val="00BD47AD"/>
    <w:rsid w:val="00BD4A38"/>
    <w:rsid w:val="00BD4D7E"/>
    <w:rsid w:val="00BD5BBC"/>
    <w:rsid w:val="00BD5E18"/>
    <w:rsid w:val="00BD5E95"/>
    <w:rsid w:val="00BD7244"/>
    <w:rsid w:val="00BD7452"/>
    <w:rsid w:val="00BD7EB6"/>
    <w:rsid w:val="00BE055C"/>
    <w:rsid w:val="00BE0D5F"/>
    <w:rsid w:val="00BE1556"/>
    <w:rsid w:val="00BE2995"/>
    <w:rsid w:val="00BE35B4"/>
    <w:rsid w:val="00BE35CA"/>
    <w:rsid w:val="00BE3C8A"/>
    <w:rsid w:val="00BE451C"/>
    <w:rsid w:val="00BE49BE"/>
    <w:rsid w:val="00BE69F5"/>
    <w:rsid w:val="00BE75BF"/>
    <w:rsid w:val="00BF0517"/>
    <w:rsid w:val="00BF1118"/>
    <w:rsid w:val="00BF1392"/>
    <w:rsid w:val="00BF2027"/>
    <w:rsid w:val="00BF2053"/>
    <w:rsid w:val="00BF218E"/>
    <w:rsid w:val="00BF2E2E"/>
    <w:rsid w:val="00BF3B45"/>
    <w:rsid w:val="00BF42E7"/>
    <w:rsid w:val="00BF51D5"/>
    <w:rsid w:val="00BF6F8B"/>
    <w:rsid w:val="00BF6FDD"/>
    <w:rsid w:val="00BF7F6A"/>
    <w:rsid w:val="00C0023B"/>
    <w:rsid w:val="00C00783"/>
    <w:rsid w:val="00C008C1"/>
    <w:rsid w:val="00C01844"/>
    <w:rsid w:val="00C0288F"/>
    <w:rsid w:val="00C029A2"/>
    <w:rsid w:val="00C02BA3"/>
    <w:rsid w:val="00C02FAA"/>
    <w:rsid w:val="00C030A9"/>
    <w:rsid w:val="00C03134"/>
    <w:rsid w:val="00C034AB"/>
    <w:rsid w:val="00C047C1"/>
    <w:rsid w:val="00C04A4A"/>
    <w:rsid w:val="00C0540C"/>
    <w:rsid w:val="00C0619C"/>
    <w:rsid w:val="00C0668A"/>
    <w:rsid w:val="00C066A9"/>
    <w:rsid w:val="00C07D7A"/>
    <w:rsid w:val="00C10FA7"/>
    <w:rsid w:val="00C11337"/>
    <w:rsid w:val="00C11DD0"/>
    <w:rsid w:val="00C13014"/>
    <w:rsid w:val="00C130D2"/>
    <w:rsid w:val="00C137CE"/>
    <w:rsid w:val="00C13936"/>
    <w:rsid w:val="00C14421"/>
    <w:rsid w:val="00C17198"/>
    <w:rsid w:val="00C171B0"/>
    <w:rsid w:val="00C17567"/>
    <w:rsid w:val="00C17601"/>
    <w:rsid w:val="00C201E0"/>
    <w:rsid w:val="00C2076F"/>
    <w:rsid w:val="00C2087D"/>
    <w:rsid w:val="00C20C6B"/>
    <w:rsid w:val="00C237FC"/>
    <w:rsid w:val="00C23DE3"/>
    <w:rsid w:val="00C23F5B"/>
    <w:rsid w:val="00C247C3"/>
    <w:rsid w:val="00C24A3E"/>
    <w:rsid w:val="00C25505"/>
    <w:rsid w:val="00C26107"/>
    <w:rsid w:val="00C2662C"/>
    <w:rsid w:val="00C26685"/>
    <w:rsid w:val="00C26AD1"/>
    <w:rsid w:val="00C26DE3"/>
    <w:rsid w:val="00C2704A"/>
    <w:rsid w:val="00C31201"/>
    <w:rsid w:val="00C31377"/>
    <w:rsid w:val="00C32098"/>
    <w:rsid w:val="00C32435"/>
    <w:rsid w:val="00C32463"/>
    <w:rsid w:val="00C32486"/>
    <w:rsid w:val="00C32AA6"/>
    <w:rsid w:val="00C32CA0"/>
    <w:rsid w:val="00C336AD"/>
    <w:rsid w:val="00C33A91"/>
    <w:rsid w:val="00C33F97"/>
    <w:rsid w:val="00C42357"/>
    <w:rsid w:val="00C429A1"/>
    <w:rsid w:val="00C42A65"/>
    <w:rsid w:val="00C42D47"/>
    <w:rsid w:val="00C42FBD"/>
    <w:rsid w:val="00C43860"/>
    <w:rsid w:val="00C43D75"/>
    <w:rsid w:val="00C43FA1"/>
    <w:rsid w:val="00C444BE"/>
    <w:rsid w:val="00C44C7D"/>
    <w:rsid w:val="00C45BBF"/>
    <w:rsid w:val="00C46A53"/>
    <w:rsid w:val="00C47897"/>
    <w:rsid w:val="00C5008A"/>
    <w:rsid w:val="00C50FB0"/>
    <w:rsid w:val="00C52A43"/>
    <w:rsid w:val="00C52C45"/>
    <w:rsid w:val="00C54307"/>
    <w:rsid w:val="00C55095"/>
    <w:rsid w:val="00C55154"/>
    <w:rsid w:val="00C55CE3"/>
    <w:rsid w:val="00C56AD0"/>
    <w:rsid w:val="00C57089"/>
    <w:rsid w:val="00C57AFE"/>
    <w:rsid w:val="00C57D99"/>
    <w:rsid w:val="00C601A3"/>
    <w:rsid w:val="00C6059C"/>
    <w:rsid w:val="00C60BFB"/>
    <w:rsid w:val="00C60D74"/>
    <w:rsid w:val="00C60E5A"/>
    <w:rsid w:val="00C6115D"/>
    <w:rsid w:val="00C6140D"/>
    <w:rsid w:val="00C622FA"/>
    <w:rsid w:val="00C62BAB"/>
    <w:rsid w:val="00C640A5"/>
    <w:rsid w:val="00C64A61"/>
    <w:rsid w:val="00C64ED7"/>
    <w:rsid w:val="00C66BA8"/>
    <w:rsid w:val="00C66F1F"/>
    <w:rsid w:val="00C674F2"/>
    <w:rsid w:val="00C712E3"/>
    <w:rsid w:val="00C72230"/>
    <w:rsid w:val="00C73719"/>
    <w:rsid w:val="00C738D2"/>
    <w:rsid w:val="00C73DDF"/>
    <w:rsid w:val="00C73DEE"/>
    <w:rsid w:val="00C749E7"/>
    <w:rsid w:val="00C74C70"/>
    <w:rsid w:val="00C74EFE"/>
    <w:rsid w:val="00C7569D"/>
    <w:rsid w:val="00C759CE"/>
    <w:rsid w:val="00C75B41"/>
    <w:rsid w:val="00C75D50"/>
    <w:rsid w:val="00C75F7E"/>
    <w:rsid w:val="00C76469"/>
    <w:rsid w:val="00C76578"/>
    <w:rsid w:val="00C7694A"/>
    <w:rsid w:val="00C76CE9"/>
    <w:rsid w:val="00C76EA5"/>
    <w:rsid w:val="00C76EEB"/>
    <w:rsid w:val="00C7758C"/>
    <w:rsid w:val="00C77659"/>
    <w:rsid w:val="00C7797A"/>
    <w:rsid w:val="00C77F6D"/>
    <w:rsid w:val="00C8212E"/>
    <w:rsid w:val="00C82842"/>
    <w:rsid w:val="00C82CD2"/>
    <w:rsid w:val="00C82D9F"/>
    <w:rsid w:val="00C85FD2"/>
    <w:rsid w:val="00C86F14"/>
    <w:rsid w:val="00C911A1"/>
    <w:rsid w:val="00C91F83"/>
    <w:rsid w:val="00C92056"/>
    <w:rsid w:val="00C93D64"/>
    <w:rsid w:val="00C949DD"/>
    <w:rsid w:val="00C95098"/>
    <w:rsid w:val="00C952A7"/>
    <w:rsid w:val="00C95509"/>
    <w:rsid w:val="00C96220"/>
    <w:rsid w:val="00C96935"/>
    <w:rsid w:val="00C9706C"/>
    <w:rsid w:val="00C97381"/>
    <w:rsid w:val="00C97445"/>
    <w:rsid w:val="00CA022E"/>
    <w:rsid w:val="00CA2C93"/>
    <w:rsid w:val="00CA4461"/>
    <w:rsid w:val="00CA50BB"/>
    <w:rsid w:val="00CA56FB"/>
    <w:rsid w:val="00CA57D4"/>
    <w:rsid w:val="00CA5E4B"/>
    <w:rsid w:val="00CA6B41"/>
    <w:rsid w:val="00CA7442"/>
    <w:rsid w:val="00CB0452"/>
    <w:rsid w:val="00CB04CB"/>
    <w:rsid w:val="00CB04E0"/>
    <w:rsid w:val="00CB0D3F"/>
    <w:rsid w:val="00CB513F"/>
    <w:rsid w:val="00CB61B6"/>
    <w:rsid w:val="00CB75DF"/>
    <w:rsid w:val="00CB7D08"/>
    <w:rsid w:val="00CC08C9"/>
    <w:rsid w:val="00CC09B6"/>
    <w:rsid w:val="00CC108C"/>
    <w:rsid w:val="00CC11FD"/>
    <w:rsid w:val="00CC1323"/>
    <w:rsid w:val="00CC28F2"/>
    <w:rsid w:val="00CC2B43"/>
    <w:rsid w:val="00CC2DCA"/>
    <w:rsid w:val="00CC3655"/>
    <w:rsid w:val="00CC3B2C"/>
    <w:rsid w:val="00CC3B31"/>
    <w:rsid w:val="00CC4725"/>
    <w:rsid w:val="00CC4796"/>
    <w:rsid w:val="00CC55E7"/>
    <w:rsid w:val="00CC70D6"/>
    <w:rsid w:val="00CD0020"/>
    <w:rsid w:val="00CD0079"/>
    <w:rsid w:val="00CD148A"/>
    <w:rsid w:val="00CD1E0A"/>
    <w:rsid w:val="00CD2A79"/>
    <w:rsid w:val="00CD2DB6"/>
    <w:rsid w:val="00CD2E2C"/>
    <w:rsid w:val="00CD2FBD"/>
    <w:rsid w:val="00CD3257"/>
    <w:rsid w:val="00CD3D07"/>
    <w:rsid w:val="00CD42B7"/>
    <w:rsid w:val="00CD4F5E"/>
    <w:rsid w:val="00CD6077"/>
    <w:rsid w:val="00CD625C"/>
    <w:rsid w:val="00CD6AD4"/>
    <w:rsid w:val="00CD6E68"/>
    <w:rsid w:val="00CD7341"/>
    <w:rsid w:val="00CE02A2"/>
    <w:rsid w:val="00CE0486"/>
    <w:rsid w:val="00CE1168"/>
    <w:rsid w:val="00CE1358"/>
    <w:rsid w:val="00CE2DC7"/>
    <w:rsid w:val="00CE2F2F"/>
    <w:rsid w:val="00CE3564"/>
    <w:rsid w:val="00CE3659"/>
    <w:rsid w:val="00CE368A"/>
    <w:rsid w:val="00CE3E50"/>
    <w:rsid w:val="00CE52F1"/>
    <w:rsid w:val="00CE5657"/>
    <w:rsid w:val="00CE5D70"/>
    <w:rsid w:val="00CE5E55"/>
    <w:rsid w:val="00CE63BA"/>
    <w:rsid w:val="00CE6768"/>
    <w:rsid w:val="00CE729E"/>
    <w:rsid w:val="00CE7C14"/>
    <w:rsid w:val="00CF1542"/>
    <w:rsid w:val="00CF1AF1"/>
    <w:rsid w:val="00CF1B28"/>
    <w:rsid w:val="00CF2D04"/>
    <w:rsid w:val="00CF2EFE"/>
    <w:rsid w:val="00CF32B2"/>
    <w:rsid w:val="00CF3A3A"/>
    <w:rsid w:val="00CF3FE4"/>
    <w:rsid w:val="00CF4693"/>
    <w:rsid w:val="00CF4839"/>
    <w:rsid w:val="00CF5F95"/>
    <w:rsid w:val="00CF7226"/>
    <w:rsid w:val="00D0150C"/>
    <w:rsid w:val="00D01AB2"/>
    <w:rsid w:val="00D01F64"/>
    <w:rsid w:val="00D021EF"/>
    <w:rsid w:val="00D0271D"/>
    <w:rsid w:val="00D0369C"/>
    <w:rsid w:val="00D0416A"/>
    <w:rsid w:val="00D04799"/>
    <w:rsid w:val="00D0587E"/>
    <w:rsid w:val="00D05C6A"/>
    <w:rsid w:val="00D060F0"/>
    <w:rsid w:val="00D06333"/>
    <w:rsid w:val="00D06D24"/>
    <w:rsid w:val="00D10FE2"/>
    <w:rsid w:val="00D11DC6"/>
    <w:rsid w:val="00D17055"/>
    <w:rsid w:val="00D202B1"/>
    <w:rsid w:val="00D209DE"/>
    <w:rsid w:val="00D20C27"/>
    <w:rsid w:val="00D228E5"/>
    <w:rsid w:val="00D22C87"/>
    <w:rsid w:val="00D23514"/>
    <w:rsid w:val="00D237D8"/>
    <w:rsid w:val="00D239FA"/>
    <w:rsid w:val="00D23AD9"/>
    <w:rsid w:val="00D23BBE"/>
    <w:rsid w:val="00D24882"/>
    <w:rsid w:val="00D24C9F"/>
    <w:rsid w:val="00D24F09"/>
    <w:rsid w:val="00D263DF"/>
    <w:rsid w:val="00D267ED"/>
    <w:rsid w:val="00D268C4"/>
    <w:rsid w:val="00D268D0"/>
    <w:rsid w:val="00D26ACF"/>
    <w:rsid w:val="00D27547"/>
    <w:rsid w:val="00D31E71"/>
    <w:rsid w:val="00D3250D"/>
    <w:rsid w:val="00D334DC"/>
    <w:rsid w:val="00D33E5B"/>
    <w:rsid w:val="00D344A4"/>
    <w:rsid w:val="00D3554D"/>
    <w:rsid w:val="00D35692"/>
    <w:rsid w:val="00D36187"/>
    <w:rsid w:val="00D37C77"/>
    <w:rsid w:val="00D41142"/>
    <w:rsid w:val="00D41FCA"/>
    <w:rsid w:val="00D42008"/>
    <w:rsid w:val="00D42131"/>
    <w:rsid w:val="00D43E25"/>
    <w:rsid w:val="00D441CD"/>
    <w:rsid w:val="00D447B0"/>
    <w:rsid w:val="00D467D5"/>
    <w:rsid w:val="00D468AA"/>
    <w:rsid w:val="00D46B2B"/>
    <w:rsid w:val="00D47A71"/>
    <w:rsid w:val="00D50147"/>
    <w:rsid w:val="00D505DF"/>
    <w:rsid w:val="00D50E63"/>
    <w:rsid w:val="00D514CF"/>
    <w:rsid w:val="00D51D3D"/>
    <w:rsid w:val="00D520B2"/>
    <w:rsid w:val="00D525D5"/>
    <w:rsid w:val="00D527AC"/>
    <w:rsid w:val="00D5356D"/>
    <w:rsid w:val="00D53ACB"/>
    <w:rsid w:val="00D547CA"/>
    <w:rsid w:val="00D54EE4"/>
    <w:rsid w:val="00D55391"/>
    <w:rsid w:val="00D558B2"/>
    <w:rsid w:val="00D55D44"/>
    <w:rsid w:val="00D56871"/>
    <w:rsid w:val="00D577F2"/>
    <w:rsid w:val="00D57C14"/>
    <w:rsid w:val="00D60787"/>
    <w:rsid w:val="00D6165B"/>
    <w:rsid w:val="00D61867"/>
    <w:rsid w:val="00D61C0C"/>
    <w:rsid w:val="00D642C4"/>
    <w:rsid w:val="00D64586"/>
    <w:rsid w:val="00D65162"/>
    <w:rsid w:val="00D651FB"/>
    <w:rsid w:val="00D66705"/>
    <w:rsid w:val="00D6674C"/>
    <w:rsid w:val="00D66E1B"/>
    <w:rsid w:val="00D67037"/>
    <w:rsid w:val="00D670D2"/>
    <w:rsid w:val="00D67102"/>
    <w:rsid w:val="00D67794"/>
    <w:rsid w:val="00D67A02"/>
    <w:rsid w:val="00D71653"/>
    <w:rsid w:val="00D727F5"/>
    <w:rsid w:val="00D72D84"/>
    <w:rsid w:val="00D72FFB"/>
    <w:rsid w:val="00D734E6"/>
    <w:rsid w:val="00D73D3A"/>
    <w:rsid w:val="00D750A8"/>
    <w:rsid w:val="00D751D5"/>
    <w:rsid w:val="00D75319"/>
    <w:rsid w:val="00D7592C"/>
    <w:rsid w:val="00D76357"/>
    <w:rsid w:val="00D80BE9"/>
    <w:rsid w:val="00D81397"/>
    <w:rsid w:val="00D81866"/>
    <w:rsid w:val="00D81B9B"/>
    <w:rsid w:val="00D820AD"/>
    <w:rsid w:val="00D82375"/>
    <w:rsid w:val="00D82D2A"/>
    <w:rsid w:val="00D83AD5"/>
    <w:rsid w:val="00D843C2"/>
    <w:rsid w:val="00D852EC"/>
    <w:rsid w:val="00D854AD"/>
    <w:rsid w:val="00D85687"/>
    <w:rsid w:val="00D862DE"/>
    <w:rsid w:val="00D86352"/>
    <w:rsid w:val="00D86A77"/>
    <w:rsid w:val="00D8706A"/>
    <w:rsid w:val="00D87123"/>
    <w:rsid w:val="00D906C8"/>
    <w:rsid w:val="00D91A27"/>
    <w:rsid w:val="00D9391F"/>
    <w:rsid w:val="00D93B01"/>
    <w:rsid w:val="00D93BF4"/>
    <w:rsid w:val="00D93F19"/>
    <w:rsid w:val="00D9422E"/>
    <w:rsid w:val="00D9550A"/>
    <w:rsid w:val="00D9743C"/>
    <w:rsid w:val="00DA02AB"/>
    <w:rsid w:val="00DA2E40"/>
    <w:rsid w:val="00DA31B7"/>
    <w:rsid w:val="00DA3572"/>
    <w:rsid w:val="00DA383F"/>
    <w:rsid w:val="00DA3CD4"/>
    <w:rsid w:val="00DA51C2"/>
    <w:rsid w:val="00DA6459"/>
    <w:rsid w:val="00DA65F7"/>
    <w:rsid w:val="00DA6AEB"/>
    <w:rsid w:val="00DB0157"/>
    <w:rsid w:val="00DB0B29"/>
    <w:rsid w:val="00DB116D"/>
    <w:rsid w:val="00DB1200"/>
    <w:rsid w:val="00DB17B8"/>
    <w:rsid w:val="00DB1952"/>
    <w:rsid w:val="00DB229D"/>
    <w:rsid w:val="00DB2CF1"/>
    <w:rsid w:val="00DB2E00"/>
    <w:rsid w:val="00DB33E6"/>
    <w:rsid w:val="00DB3D79"/>
    <w:rsid w:val="00DB4B7A"/>
    <w:rsid w:val="00DB4DC3"/>
    <w:rsid w:val="00DB5AF3"/>
    <w:rsid w:val="00DB60FD"/>
    <w:rsid w:val="00DB77D7"/>
    <w:rsid w:val="00DC365B"/>
    <w:rsid w:val="00DC4BA2"/>
    <w:rsid w:val="00DC4FF0"/>
    <w:rsid w:val="00DC5118"/>
    <w:rsid w:val="00DC566C"/>
    <w:rsid w:val="00DC597F"/>
    <w:rsid w:val="00DC6AE3"/>
    <w:rsid w:val="00DC7950"/>
    <w:rsid w:val="00DD09A9"/>
    <w:rsid w:val="00DD1199"/>
    <w:rsid w:val="00DD1DA0"/>
    <w:rsid w:val="00DD235F"/>
    <w:rsid w:val="00DD37C8"/>
    <w:rsid w:val="00DD507F"/>
    <w:rsid w:val="00DD5C06"/>
    <w:rsid w:val="00DD6317"/>
    <w:rsid w:val="00DD6E0C"/>
    <w:rsid w:val="00DD704F"/>
    <w:rsid w:val="00DD74EA"/>
    <w:rsid w:val="00DE0202"/>
    <w:rsid w:val="00DE058F"/>
    <w:rsid w:val="00DE1CB6"/>
    <w:rsid w:val="00DE1D1F"/>
    <w:rsid w:val="00DE2856"/>
    <w:rsid w:val="00DE3BF8"/>
    <w:rsid w:val="00DE5999"/>
    <w:rsid w:val="00DE5A4C"/>
    <w:rsid w:val="00DE5B51"/>
    <w:rsid w:val="00DE698E"/>
    <w:rsid w:val="00DE6D95"/>
    <w:rsid w:val="00DE7487"/>
    <w:rsid w:val="00DE7A6C"/>
    <w:rsid w:val="00DE7B7C"/>
    <w:rsid w:val="00DF1264"/>
    <w:rsid w:val="00DF15A3"/>
    <w:rsid w:val="00DF1FDA"/>
    <w:rsid w:val="00DF232B"/>
    <w:rsid w:val="00DF34C0"/>
    <w:rsid w:val="00DF3579"/>
    <w:rsid w:val="00DF3AEC"/>
    <w:rsid w:val="00DF484C"/>
    <w:rsid w:val="00DF60D3"/>
    <w:rsid w:val="00DF792A"/>
    <w:rsid w:val="00E000CF"/>
    <w:rsid w:val="00E00D36"/>
    <w:rsid w:val="00E014C9"/>
    <w:rsid w:val="00E01654"/>
    <w:rsid w:val="00E028C9"/>
    <w:rsid w:val="00E02BB9"/>
    <w:rsid w:val="00E04D61"/>
    <w:rsid w:val="00E04E29"/>
    <w:rsid w:val="00E0500A"/>
    <w:rsid w:val="00E051E5"/>
    <w:rsid w:val="00E05893"/>
    <w:rsid w:val="00E07895"/>
    <w:rsid w:val="00E07FF8"/>
    <w:rsid w:val="00E108BA"/>
    <w:rsid w:val="00E10ABB"/>
    <w:rsid w:val="00E11391"/>
    <w:rsid w:val="00E11B34"/>
    <w:rsid w:val="00E124CF"/>
    <w:rsid w:val="00E12690"/>
    <w:rsid w:val="00E1281F"/>
    <w:rsid w:val="00E13781"/>
    <w:rsid w:val="00E13C52"/>
    <w:rsid w:val="00E148D3"/>
    <w:rsid w:val="00E1507C"/>
    <w:rsid w:val="00E1509E"/>
    <w:rsid w:val="00E16D9F"/>
    <w:rsid w:val="00E17809"/>
    <w:rsid w:val="00E21672"/>
    <w:rsid w:val="00E21806"/>
    <w:rsid w:val="00E22479"/>
    <w:rsid w:val="00E22C5F"/>
    <w:rsid w:val="00E23737"/>
    <w:rsid w:val="00E23BD1"/>
    <w:rsid w:val="00E23D3E"/>
    <w:rsid w:val="00E24A82"/>
    <w:rsid w:val="00E255B2"/>
    <w:rsid w:val="00E26389"/>
    <w:rsid w:val="00E2768F"/>
    <w:rsid w:val="00E276B2"/>
    <w:rsid w:val="00E2787D"/>
    <w:rsid w:val="00E30000"/>
    <w:rsid w:val="00E30197"/>
    <w:rsid w:val="00E3073F"/>
    <w:rsid w:val="00E30C61"/>
    <w:rsid w:val="00E314AF"/>
    <w:rsid w:val="00E3151F"/>
    <w:rsid w:val="00E319BF"/>
    <w:rsid w:val="00E31C39"/>
    <w:rsid w:val="00E32159"/>
    <w:rsid w:val="00E32B74"/>
    <w:rsid w:val="00E32DDD"/>
    <w:rsid w:val="00E33066"/>
    <w:rsid w:val="00E3353B"/>
    <w:rsid w:val="00E33648"/>
    <w:rsid w:val="00E336BD"/>
    <w:rsid w:val="00E33ACA"/>
    <w:rsid w:val="00E348E6"/>
    <w:rsid w:val="00E34EEC"/>
    <w:rsid w:val="00E35775"/>
    <w:rsid w:val="00E362BF"/>
    <w:rsid w:val="00E40545"/>
    <w:rsid w:val="00E41734"/>
    <w:rsid w:val="00E41D6A"/>
    <w:rsid w:val="00E428AA"/>
    <w:rsid w:val="00E4350D"/>
    <w:rsid w:val="00E43688"/>
    <w:rsid w:val="00E4396B"/>
    <w:rsid w:val="00E44599"/>
    <w:rsid w:val="00E452E8"/>
    <w:rsid w:val="00E457DE"/>
    <w:rsid w:val="00E4595A"/>
    <w:rsid w:val="00E4657F"/>
    <w:rsid w:val="00E47398"/>
    <w:rsid w:val="00E47606"/>
    <w:rsid w:val="00E516CD"/>
    <w:rsid w:val="00E519D4"/>
    <w:rsid w:val="00E51C06"/>
    <w:rsid w:val="00E51C12"/>
    <w:rsid w:val="00E51E4C"/>
    <w:rsid w:val="00E52AF2"/>
    <w:rsid w:val="00E52F21"/>
    <w:rsid w:val="00E53134"/>
    <w:rsid w:val="00E5330A"/>
    <w:rsid w:val="00E53AD7"/>
    <w:rsid w:val="00E53B6C"/>
    <w:rsid w:val="00E54821"/>
    <w:rsid w:val="00E54BF3"/>
    <w:rsid w:val="00E55A7C"/>
    <w:rsid w:val="00E56B4F"/>
    <w:rsid w:val="00E60CC1"/>
    <w:rsid w:val="00E62766"/>
    <w:rsid w:val="00E62D8D"/>
    <w:rsid w:val="00E631AF"/>
    <w:rsid w:val="00E643E2"/>
    <w:rsid w:val="00E64DA8"/>
    <w:rsid w:val="00E652B8"/>
    <w:rsid w:val="00E654B9"/>
    <w:rsid w:val="00E6728A"/>
    <w:rsid w:val="00E707D1"/>
    <w:rsid w:val="00E71FBC"/>
    <w:rsid w:val="00E72919"/>
    <w:rsid w:val="00E72936"/>
    <w:rsid w:val="00E72CA7"/>
    <w:rsid w:val="00E72D5F"/>
    <w:rsid w:val="00E73114"/>
    <w:rsid w:val="00E73771"/>
    <w:rsid w:val="00E73805"/>
    <w:rsid w:val="00E74834"/>
    <w:rsid w:val="00E7543E"/>
    <w:rsid w:val="00E75F0B"/>
    <w:rsid w:val="00E7608A"/>
    <w:rsid w:val="00E76426"/>
    <w:rsid w:val="00E76D57"/>
    <w:rsid w:val="00E803CD"/>
    <w:rsid w:val="00E8093F"/>
    <w:rsid w:val="00E81F81"/>
    <w:rsid w:val="00E8387D"/>
    <w:rsid w:val="00E83BB8"/>
    <w:rsid w:val="00E84443"/>
    <w:rsid w:val="00E84B40"/>
    <w:rsid w:val="00E85631"/>
    <w:rsid w:val="00E8602E"/>
    <w:rsid w:val="00E86608"/>
    <w:rsid w:val="00E86D14"/>
    <w:rsid w:val="00E87329"/>
    <w:rsid w:val="00E87C10"/>
    <w:rsid w:val="00E90149"/>
    <w:rsid w:val="00E909ED"/>
    <w:rsid w:val="00E91C21"/>
    <w:rsid w:val="00E92CC8"/>
    <w:rsid w:val="00E933E7"/>
    <w:rsid w:val="00E93A90"/>
    <w:rsid w:val="00E94CBF"/>
    <w:rsid w:val="00E94D44"/>
    <w:rsid w:val="00E96528"/>
    <w:rsid w:val="00E979D3"/>
    <w:rsid w:val="00EA01D7"/>
    <w:rsid w:val="00EA0D40"/>
    <w:rsid w:val="00EA3D8C"/>
    <w:rsid w:val="00EA4D3C"/>
    <w:rsid w:val="00EA4DDC"/>
    <w:rsid w:val="00EA5643"/>
    <w:rsid w:val="00EB0283"/>
    <w:rsid w:val="00EB0EE8"/>
    <w:rsid w:val="00EB2095"/>
    <w:rsid w:val="00EB248B"/>
    <w:rsid w:val="00EB2EDF"/>
    <w:rsid w:val="00EB38C7"/>
    <w:rsid w:val="00EB41E3"/>
    <w:rsid w:val="00EB570A"/>
    <w:rsid w:val="00EB5A84"/>
    <w:rsid w:val="00EB687C"/>
    <w:rsid w:val="00EB69FF"/>
    <w:rsid w:val="00EB7922"/>
    <w:rsid w:val="00EC2645"/>
    <w:rsid w:val="00EC2C1F"/>
    <w:rsid w:val="00EC31D7"/>
    <w:rsid w:val="00EC4017"/>
    <w:rsid w:val="00EC6D62"/>
    <w:rsid w:val="00EC773A"/>
    <w:rsid w:val="00EC79AA"/>
    <w:rsid w:val="00ED04EC"/>
    <w:rsid w:val="00ED15C2"/>
    <w:rsid w:val="00ED1C92"/>
    <w:rsid w:val="00ED2F0A"/>
    <w:rsid w:val="00ED375E"/>
    <w:rsid w:val="00ED375F"/>
    <w:rsid w:val="00ED3B05"/>
    <w:rsid w:val="00ED4F56"/>
    <w:rsid w:val="00ED5804"/>
    <w:rsid w:val="00ED5ED3"/>
    <w:rsid w:val="00ED6702"/>
    <w:rsid w:val="00ED77D1"/>
    <w:rsid w:val="00ED7D2D"/>
    <w:rsid w:val="00EE04EB"/>
    <w:rsid w:val="00EE0E40"/>
    <w:rsid w:val="00EE0F03"/>
    <w:rsid w:val="00EE1C2C"/>
    <w:rsid w:val="00EE2866"/>
    <w:rsid w:val="00EE3634"/>
    <w:rsid w:val="00EE3744"/>
    <w:rsid w:val="00EE38ED"/>
    <w:rsid w:val="00EE3DDF"/>
    <w:rsid w:val="00EE495C"/>
    <w:rsid w:val="00EE501A"/>
    <w:rsid w:val="00EE56DE"/>
    <w:rsid w:val="00EE6744"/>
    <w:rsid w:val="00EE6C26"/>
    <w:rsid w:val="00EE6CD2"/>
    <w:rsid w:val="00EE71E1"/>
    <w:rsid w:val="00EE7FB0"/>
    <w:rsid w:val="00EF0AAB"/>
    <w:rsid w:val="00EF0ECC"/>
    <w:rsid w:val="00EF1C87"/>
    <w:rsid w:val="00EF1E95"/>
    <w:rsid w:val="00EF221B"/>
    <w:rsid w:val="00EF4564"/>
    <w:rsid w:val="00EF4A13"/>
    <w:rsid w:val="00EF4AB0"/>
    <w:rsid w:val="00EF4D52"/>
    <w:rsid w:val="00EF5691"/>
    <w:rsid w:val="00EF5E2D"/>
    <w:rsid w:val="00EF60A0"/>
    <w:rsid w:val="00EF61DC"/>
    <w:rsid w:val="00EF6B75"/>
    <w:rsid w:val="00EF71A6"/>
    <w:rsid w:val="00F00D3B"/>
    <w:rsid w:val="00F010DE"/>
    <w:rsid w:val="00F018EC"/>
    <w:rsid w:val="00F01D65"/>
    <w:rsid w:val="00F01D73"/>
    <w:rsid w:val="00F0394A"/>
    <w:rsid w:val="00F03C70"/>
    <w:rsid w:val="00F041B4"/>
    <w:rsid w:val="00F04347"/>
    <w:rsid w:val="00F04469"/>
    <w:rsid w:val="00F0453E"/>
    <w:rsid w:val="00F066E1"/>
    <w:rsid w:val="00F0714C"/>
    <w:rsid w:val="00F07EA2"/>
    <w:rsid w:val="00F1115F"/>
    <w:rsid w:val="00F11336"/>
    <w:rsid w:val="00F11524"/>
    <w:rsid w:val="00F11600"/>
    <w:rsid w:val="00F1181B"/>
    <w:rsid w:val="00F11B6A"/>
    <w:rsid w:val="00F12252"/>
    <w:rsid w:val="00F128EE"/>
    <w:rsid w:val="00F12E24"/>
    <w:rsid w:val="00F14084"/>
    <w:rsid w:val="00F169CC"/>
    <w:rsid w:val="00F204BD"/>
    <w:rsid w:val="00F20588"/>
    <w:rsid w:val="00F20AFD"/>
    <w:rsid w:val="00F25290"/>
    <w:rsid w:val="00F25390"/>
    <w:rsid w:val="00F2558D"/>
    <w:rsid w:val="00F25CBE"/>
    <w:rsid w:val="00F2633C"/>
    <w:rsid w:val="00F26567"/>
    <w:rsid w:val="00F26D56"/>
    <w:rsid w:val="00F272DD"/>
    <w:rsid w:val="00F2755C"/>
    <w:rsid w:val="00F30775"/>
    <w:rsid w:val="00F315B9"/>
    <w:rsid w:val="00F31747"/>
    <w:rsid w:val="00F31F94"/>
    <w:rsid w:val="00F321C4"/>
    <w:rsid w:val="00F3355D"/>
    <w:rsid w:val="00F3364A"/>
    <w:rsid w:val="00F337C4"/>
    <w:rsid w:val="00F34A4E"/>
    <w:rsid w:val="00F355AE"/>
    <w:rsid w:val="00F35602"/>
    <w:rsid w:val="00F35B57"/>
    <w:rsid w:val="00F37874"/>
    <w:rsid w:val="00F40B20"/>
    <w:rsid w:val="00F41E5C"/>
    <w:rsid w:val="00F42091"/>
    <w:rsid w:val="00F43C62"/>
    <w:rsid w:val="00F43E07"/>
    <w:rsid w:val="00F44A95"/>
    <w:rsid w:val="00F44DE0"/>
    <w:rsid w:val="00F44EDB"/>
    <w:rsid w:val="00F45B3B"/>
    <w:rsid w:val="00F469BF"/>
    <w:rsid w:val="00F5182D"/>
    <w:rsid w:val="00F51AA9"/>
    <w:rsid w:val="00F53B85"/>
    <w:rsid w:val="00F54279"/>
    <w:rsid w:val="00F54B92"/>
    <w:rsid w:val="00F55D35"/>
    <w:rsid w:val="00F564A2"/>
    <w:rsid w:val="00F56C18"/>
    <w:rsid w:val="00F56DD2"/>
    <w:rsid w:val="00F57649"/>
    <w:rsid w:val="00F57BF1"/>
    <w:rsid w:val="00F57FC3"/>
    <w:rsid w:val="00F60154"/>
    <w:rsid w:val="00F61E02"/>
    <w:rsid w:val="00F63B89"/>
    <w:rsid w:val="00F643AF"/>
    <w:rsid w:val="00F6479E"/>
    <w:rsid w:val="00F6575E"/>
    <w:rsid w:val="00F66419"/>
    <w:rsid w:val="00F71D5C"/>
    <w:rsid w:val="00F725A2"/>
    <w:rsid w:val="00F72984"/>
    <w:rsid w:val="00F729B4"/>
    <w:rsid w:val="00F7377B"/>
    <w:rsid w:val="00F73789"/>
    <w:rsid w:val="00F73B9F"/>
    <w:rsid w:val="00F74091"/>
    <w:rsid w:val="00F74220"/>
    <w:rsid w:val="00F757A5"/>
    <w:rsid w:val="00F762CA"/>
    <w:rsid w:val="00F76559"/>
    <w:rsid w:val="00F81495"/>
    <w:rsid w:val="00F81C6A"/>
    <w:rsid w:val="00F826DA"/>
    <w:rsid w:val="00F82BA9"/>
    <w:rsid w:val="00F84C7D"/>
    <w:rsid w:val="00F859CB"/>
    <w:rsid w:val="00F86A8B"/>
    <w:rsid w:val="00F86B87"/>
    <w:rsid w:val="00F86F4D"/>
    <w:rsid w:val="00F87025"/>
    <w:rsid w:val="00F9039D"/>
    <w:rsid w:val="00F92649"/>
    <w:rsid w:val="00F92A0F"/>
    <w:rsid w:val="00F94C4A"/>
    <w:rsid w:val="00F962DA"/>
    <w:rsid w:val="00F967BE"/>
    <w:rsid w:val="00F9683A"/>
    <w:rsid w:val="00F96DF2"/>
    <w:rsid w:val="00F96E64"/>
    <w:rsid w:val="00F9711F"/>
    <w:rsid w:val="00F97319"/>
    <w:rsid w:val="00F97457"/>
    <w:rsid w:val="00FA0995"/>
    <w:rsid w:val="00FA1604"/>
    <w:rsid w:val="00FA1F2E"/>
    <w:rsid w:val="00FA2005"/>
    <w:rsid w:val="00FA47F2"/>
    <w:rsid w:val="00FA616C"/>
    <w:rsid w:val="00FA6506"/>
    <w:rsid w:val="00FA6649"/>
    <w:rsid w:val="00FA6BD0"/>
    <w:rsid w:val="00FA6C2A"/>
    <w:rsid w:val="00FA74AA"/>
    <w:rsid w:val="00FB0103"/>
    <w:rsid w:val="00FB04FB"/>
    <w:rsid w:val="00FB0595"/>
    <w:rsid w:val="00FB0E61"/>
    <w:rsid w:val="00FB1119"/>
    <w:rsid w:val="00FB1ACD"/>
    <w:rsid w:val="00FB2B42"/>
    <w:rsid w:val="00FB348B"/>
    <w:rsid w:val="00FB3615"/>
    <w:rsid w:val="00FB384A"/>
    <w:rsid w:val="00FB42E1"/>
    <w:rsid w:val="00FB47C0"/>
    <w:rsid w:val="00FB5FEF"/>
    <w:rsid w:val="00FB61AD"/>
    <w:rsid w:val="00FB6489"/>
    <w:rsid w:val="00FB6B61"/>
    <w:rsid w:val="00FB713A"/>
    <w:rsid w:val="00FB7907"/>
    <w:rsid w:val="00FB7FB1"/>
    <w:rsid w:val="00FC06B6"/>
    <w:rsid w:val="00FC0BE0"/>
    <w:rsid w:val="00FC1057"/>
    <w:rsid w:val="00FC15B2"/>
    <w:rsid w:val="00FC1C01"/>
    <w:rsid w:val="00FC240E"/>
    <w:rsid w:val="00FC2B71"/>
    <w:rsid w:val="00FC2B7C"/>
    <w:rsid w:val="00FC2EB6"/>
    <w:rsid w:val="00FC35A0"/>
    <w:rsid w:val="00FC421E"/>
    <w:rsid w:val="00FC54A1"/>
    <w:rsid w:val="00FC57F2"/>
    <w:rsid w:val="00FC60FA"/>
    <w:rsid w:val="00FC65BE"/>
    <w:rsid w:val="00FC692C"/>
    <w:rsid w:val="00FD0A8B"/>
    <w:rsid w:val="00FD0B2E"/>
    <w:rsid w:val="00FD102F"/>
    <w:rsid w:val="00FD171C"/>
    <w:rsid w:val="00FD1750"/>
    <w:rsid w:val="00FD1F33"/>
    <w:rsid w:val="00FD22BC"/>
    <w:rsid w:val="00FD3206"/>
    <w:rsid w:val="00FD372B"/>
    <w:rsid w:val="00FD39E7"/>
    <w:rsid w:val="00FD3AB9"/>
    <w:rsid w:val="00FD3F0B"/>
    <w:rsid w:val="00FD4376"/>
    <w:rsid w:val="00FD5678"/>
    <w:rsid w:val="00FD5735"/>
    <w:rsid w:val="00FD64D6"/>
    <w:rsid w:val="00FD6750"/>
    <w:rsid w:val="00FD6986"/>
    <w:rsid w:val="00FD782E"/>
    <w:rsid w:val="00FE01AE"/>
    <w:rsid w:val="00FE04CB"/>
    <w:rsid w:val="00FE07A7"/>
    <w:rsid w:val="00FE09EB"/>
    <w:rsid w:val="00FE1A26"/>
    <w:rsid w:val="00FE1B77"/>
    <w:rsid w:val="00FE28C0"/>
    <w:rsid w:val="00FE2D04"/>
    <w:rsid w:val="00FE2F05"/>
    <w:rsid w:val="00FE32E5"/>
    <w:rsid w:val="00FE4613"/>
    <w:rsid w:val="00FE47B2"/>
    <w:rsid w:val="00FE4DDC"/>
    <w:rsid w:val="00FE551E"/>
    <w:rsid w:val="00FE586F"/>
    <w:rsid w:val="00FE5A39"/>
    <w:rsid w:val="00FE6ADE"/>
    <w:rsid w:val="00FE6CC1"/>
    <w:rsid w:val="00FE723B"/>
    <w:rsid w:val="00FE774A"/>
    <w:rsid w:val="00FF040B"/>
    <w:rsid w:val="00FF0B4F"/>
    <w:rsid w:val="00FF12FC"/>
    <w:rsid w:val="00FF2460"/>
    <w:rsid w:val="00FF289A"/>
    <w:rsid w:val="00FF3142"/>
    <w:rsid w:val="00FF3B7E"/>
    <w:rsid w:val="00FF4ACF"/>
    <w:rsid w:val="00FF5668"/>
    <w:rsid w:val="00FF634E"/>
    <w:rsid w:val="00FF6648"/>
    <w:rsid w:val="00FF68AE"/>
    <w:rsid w:val="00FF7082"/>
    <w:rsid w:val="00FF7E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B0CF1"/>
  <w15:docId w15:val="{1816C4AC-141A-440B-9215-866A81459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046D"/>
    <w:pPr>
      <w:jc w:val="both"/>
    </w:pPr>
    <w:rPr>
      <w:color w:val="44546A" w:themeColor="text2"/>
      <w:sz w:val="20"/>
    </w:rPr>
  </w:style>
  <w:style w:type="paragraph" w:styleId="Heading1">
    <w:name w:val="heading 1"/>
    <w:basedOn w:val="Normal"/>
    <w:next w:val="Normal"/>
    <w:link w:val="Heading1Char"/>
    <w:uiPriority w:val="9"/>
    <w:qFormat/>
    <w:rsid w:val="00AF23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Podnaslov 2"/>
    <w:basedOn w:val="Normal"/>
    <w:next w:val="Normal"/>
    <w:link w:val="Heading2Char"/>
    <w:uiPriority w:val="9"/>
    <w:unhideWhenUsed/>
    <w:qFormat/>
    <w:rsid w:val="00AF2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70694"/>
    <w:pPr>
      <w:autoSpaceDE w:val="0"/>
      <w:autoSpaceDN w:val="0"/>
      <w:adjustRightInd w:val="0"/>
      <w:spacing w:after="0" w:line="240" w:lineRule="auto"/>
    </w:pPr>
    <w:rPr>
      <w:rFonts w:ascii="Cambria" w:hAnsi="Cambria" w:cs="Cambria"/>
      <w:color w:val="000000"/>
      <w:sz w:val="24"/>
      <w:szCs w:val="24"/>
    </w:rPr>
  </w:style>
  <w:style w:type="paragraph" w:styleId="Header">
    <w:name w:val="header"/>
    <w:basedOn w:val="Normal"/>
    <w:link w:val="HeaderChar"/>
    <w:uiPriority w:val="99"/>
    <w:unhideWhenUsed/>
    <w:rsid w:val="00BF7F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F6A"/>
  </w:style>
  <w:style w:type="paragraph" w:styleId="Footer">
    <w:name w:val="footer"/>
    <w:basedOn w:val="Normal"/>
    <w:link w:val="FooterChar"/>
    <w:uiPriority w:val="99"/>
    <w:unhideWhenUsed/>
    <w:rsid w:val="00BF7F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F6A"/>
  </w:style>
  <w:style w:type="character" w:customStyle="1" w:styleId="Heading1Char">
    <w:name w:val="Heading 1 Char"/>
    <w:basedOn w:val="DefaultParagraphFont"/>
    <w:link w:val="Heading1"/>
    <w:uiPriority w:val="9"/>
    <w:rsid w:val="00AF235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F2359"/>
    <w:pPr>
      <w:outlineLvl w:val="9"/>
    </w:pPr>
  </w:style>
  <w:style w:type="paragraph" w:styleId="TOC1">
    <w:name w:val="toc 1"/>
    <w:basedOn w:val="Normal"/>
    <w:next w:val="Normal"/>
    <w:autoRedefine/>
    <w:uiPriority w:val="39"/>
    <w:unhideWhenUsed/>
    <w:rsid w:val="005311D2"/>
    <w:pPr>
      <w:tabs>
        <w:tab w:val="left" w:pos="270"/>
        <w:tab w:val="right" w:leader="dot" w:pos="9350"/>
      </w:tabs>
      <w:spacing w:after="100"/>
      <w:ind w:firstLine="180"/>
    </w:pPr>
    <w:rPr>
      <w:rFonts w:cstheme="minorHAnsi"/>
      <w:b/>
      <w:bCs/>
      <w:noProof/>
      <w:szCs w:val="20"/>
      <w:lang w:val="sr-Cyrl-RS"/>
    </w:rPr>
  </w:style>
  <w:style w:type="character" w:styleId="Hyperlink">
    <w:name w:val="Hyperlink"/>
    <w:basedOn w:val="DefaultParagraphFont"/>
    <w:uiPriority w:val="99"/>
    <w:unhideWhenUsed/>
    <w:rsid w:val="00AF2359"/>
    <w:rPr>
      <w:color w:val="0563C1" w:themeColor="hyperlink"/>
      <w:u w:val="single"/>
    </w:rPr>
  </w:style>
  <w:style w:type="character" w:customStyle="1" w:styleId="Heading2Char">
    <w:name w:val="Heading 2 Char"/>
    <w:aliases w:val="Podnaslov 2 Char"/>
    <w:basedOn w:val="DefaultParagraphFont"/>
    <w:link w:val="Heading2"/>
    <w:uiPriority w:val="9"/>
    <w:rsid w:val="00AF2359"/>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AF7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72065C"/>
    <w:pPr>
      <w:tabs>
        <w:tab w:val="right" w:leader="dot" w:pos="9350"/>
      </w:tabs>
      <w:spacing w:after="100"/>
      <w:ind w:left="220"/>
    </w:pPr>
    <w:rPr>
      <w:rFonts w:eastAsia="MS PGothic" w:cstheme="minorHAnsi"/>
      <w:b/>
      <w:noProof/>
      <w:lang w:val="sr-Cyrl-RS" w:eastAsia="ja-JP"/>
    </w:rPr>
  </w:style>
  <w:style w:type="paragraph" w:styleId="FootnoteText">
    <w:name w:val="footnote text"/>
    <w:aliases w:val="Footnote Text Char Char Char,Footnote Text Char Char,single space,footnote text,fn,FOOTNOTES,ADB,Footnote Text Char Char Char Char Char,Footnote Text Char Char1,ft,Texto nota pie Car,ft Car,ft Car Car,Texto nota pie2,ft1,f,A,fn1"/>
    <w:basedOn w:val="Normal"/>
    <w:link w:val="FootnoteTextChar"/>
    <w:uiPriority w:val="99"/>
    <w:unhideWhenUsed/>
    <w:qFormat/>
    <w:rsid w:val="005556DC"/>
    <w:pPr>
      <w:spacing w:after="0" w:line="240" w:lineRule="auto"/>
    </w:pPr>
    <w:rPr>
      <w:szCs w:val="20"/>
    </w:rPr>
  </w:style>
  <w:style w:type="character" w:customStyle="1" w:styleId="FootnoteTextChar">
    <w:name w:val="Footnote Text Char"/>
    <w:aliases w:val="Footnote Text Char Char Char Char,Footnote Text Char Char Char1,single space Char,footnote text Char,fn Char,FOOTNOTES Char,ADB Char,Footnote Text Char Char Char Char Char Char,Footnote Text Char Char1 Char,ft Char,ft Car Char,f Char"/>
    <w:basedOn w:val="DefaultParagraphFont"/>
    <w:link w:val="FootnoteText"/>
    <w:uiPriority w:val="99"/>
    <w:qFormat/>
    <w:rsid w:val="005556DC"/>
    <w:rPr>
      <w:sz w:val="20"/>
      <w:szCs w:val="20"/>
    </w:rPr>
  </w:style>
  <w:style w:type="character" w:styleId="FootnoteReference">
    <w:name w:val="footnote reference"/>
    <w:aliases w:val="ftref,Normal + Font:9 Point,Superscript 3 Point Times,SUPERS,EN Footnote Reference,number,Char Char,BVI fnr,Footnote symbol,Footnote reference number,note TESI,ftref Char,BVI fnr Char,BVI fnr Car Char,Char Char Car Char,16 Point Char"/>
    <w:basedOn w:val="DefaultParagraphFont"/>
    <w:link w:val="NumPar1"/>
    <w:uiPriority w:val="99"/>
    <w:unhideWhenUsed/>
    <w:qFormat/>
    <w:rsid w:val="005556DC"/>
    <w:rPr>
      <w:vertAlign w:val="superscript"/>
    </w:rPr>
  </w:style>
  <w:style w:type="character" w:customStyle="1" w:styleId="Hyperlink1">
    <w:name w:val="Hyperlink1"/>
    <w:basedOn w:val="DefaultParagraphFont"/>
    <w:uiPriority w:val="99"/>
    <w:unhideWhenUsed/>
    <w:rsid w:val="005556DC"/>
    <w:rPr>
      <w:color w:val="0563C1"/>
      <w:u w:val="single"/>
    </w:rPr>
  </w:style>
  <w:style w:type="paragraph" w:styleId="Caption">
    <w:name w:val="caption"/>
    <w:basedOn w:val="Normal"/>
    <w:next w:val="Normal"/>
    <w:uiPriority w:val="35"/>
    <w:unhideWhenUsed/>
    <w:qFormat/>
    <w:rsid w:val="004B197B"/>
    <w:pPr>
      <w:jc w:val="center"/>
    </w:pPr>
    <w:rPr>
      <w:b/>
      <w:iCs/>
      <w:color w:val="002060"/>
      <w:szCs w:val="18"/>
    </w:rPr>
  </w:style>
  <w:style w:type="table" w:customStyle="1" w:styleId="GridTable5Dark-Accent51">
    <w:name w:val="Grid Table 5 Dark - Accent 51"/>
    <w:basedOn w:val="TableNormal"/>
    <w:uiPriority w:val="50"/>
    <w:rsid w:val="004351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
    <w:name w:val="Light Shading - Accent 333"/>
    <w:basedOn w:val="TableNormal"/>
    <w:next w:val="LightShading-Accent3"/>
    <w:uiPriority w:val="60"/>
    <w:rsid w:val="00CB0452"/>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3">
    <w:name w:val="Light Shading Accent 3"/>
    <w:basedOn w:val="TableNormal"/>
    <w:uiPriority w:val="60"/>
    <w:semiHidden/>
    <w:unhideWhenUsed/>
    <w:rsid w:val="00CB0452"/>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CommentReference">
    <w:name w:val="annotation reference"/>
    <w:basedOn w:val="DefaultParagraphFont"/>
    <w:uiPriority w:val="99"/>
    <w:semiHidden/>
    <w:unhideWhenUsed/>
    <w:rsid w:val="00CB0452"/>
    <w:rPr>
      <w:sz w:val="16"/>
      <w:szCs w:val="16"/>
    </w:rPr>
  </w:style>
  <w:style w:type="paragraph" w:styleId="CommentText">
    <w:name w:val="annotation text"/>
    <w:basedOn w:val="Normal"/>
    <w:link w:val="CommentTextChar"/>
    <w:uiPriority w:val="99"/>
    <w:unhideWhenUsed/>
    <w:rsid w:val="00CB0452"/>
    <w:pPr>
      <w:spacing w:line="240" w:lineRule="auto"/>
    </w:pPr>
    <w:rPr>
      <w:szCs w:val="20"/>
    </w:rPr>
  </w:style>
  <w:style w:type="character" w:customStyle="1" w:styleId="CommentTextChar">
    <w:name w:val="Comment Text Char"/>
    <w:basedOn w:val="DefaultParagraphFont"/>
    <w:link w:val="CommentText"/>
    <w:uiPriority w:val="99"/>
    <w:rsid w:val="00CB0452"/>
    <w:rPr>
      <w:sz w:val="20"/>
      <w:szCs w:val="20"/>
    </w:rPr>
  </w:style>
  <w:style w:type="paragraph" w:styleId="CommentSubject">
    <w:name w:val="annotation subject"/>
    <w:basedOn w:val="CommentText"/>
    <w:next w:val="CommentText"/>
    <w:link w:val="CommentSubjectChar"/>
    <w:uiPriority w:val="99"/>
    <w:semiHidden/>
    <w:unhideWhenUsed/>
    <w:rsid w:val="00CB0452"/>
    <w:rPr>
      <w:b/>
      <w:bCs/>
    </w:rPr>
  </w:style>
  <w:style w:type="character" w:customStyle="1" w:styleId="CommentSubjectChar">
    <w:name w:val="Comment Subject Char"/>
    <w:basedOn w:val="CommentTextChar"/>
    <w:link w:val="CommentSubject"/>
    <w:uiPriority w:val="99"/>
    <w:semiHidden/>
    <w:rsid w:val="00CB0452"/>
    <w:rPr>
      <w:b/>
      <w:bCs/>
      <w:sz w:val="20"/>
      <w:szCs w:val="20"/>
    </w:rPr>
  </w:style>
  <w:style w:type="paragraph" w:styleId="BalloonText">
    <w:name w:val="Balloon Text"/>
    <w:basedOn w:val="Normal"/>
    <w:link w:val="BalloonTextChar"/>
    <w:uiPriority w:val="99"/>
    <w:semiHidden/>
    <w:unhideWhenUsed/>
    <w:rsid w:val="00CB04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0452"/>
    <w:rPr>
      <w:rFonts w:ascii="Segoe UI" w:hAnsi="Segoe UI" w:cs="Segoe UI"/>
      <w:sz w:val="18"/>
      <w:szCs w:val="18"/>
    </w:rPr>
  </w:style>
  <w:style w:type="table" w:customStyle="1" w:styleId="TableGrid2">
    <w:name w:val="Table Grid2"/>
    <w:basedOn w:val="TableNormal"/>
    <w:next w:val="TableGrid"/>
    <w:uiPriority w:val="39"/>
    <w:rsid w:val="008E6892"/>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ListParagraph">
    <w:name w:val="List Paragraph"/>
    <w:basedOn w:val="Normal"/>
    <w:link w:val="ListParagraphChar"/>
    <w:uiPriority w:val="34"/>
    <w:qFormat/>
    <w:rsid w:val="0001456F"/>
    <w:pPr>
      <w:ind w:left="720"/>
      <w:contextualSpacing/>
    </w:pPr>
  </w:style>
  <w:style w:type="character" w:customStyle="1" w:styleId="UnresolvedMention1">
    <w:name w:val="Unresolved Mention1"/>
    <w:basedOn w:val="DefaultParagraphFont"/>
    <w:uiPriority w:val="99"/>
    <w:semiHidden/>
    <w:unhideWhenUsed/>
    <w:rsid w:val="002C1D90"/>
    <w:rPr>
      <w:color w:val="605E5C"/>
      <w:shd w:val="clear" w:color="auto" w:fill="E1DFDD"/>
    </w:rPr>
  </w:style>
  <w:style w:type="table" w:customStyle="1" w:styleId="LightShading-Accent335">
    <w:name w:val="Light Shading - Accent 335"/>
    <w:basedOn w:val="TableNormal"/>
    <w:next w:val="LightShading-Accent3"/>
    <w:uiPriority w:val="60"/>
    <w:rsid w:val="009877E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
    <w:name w:val="No List1"/>
    <w:next w:val="NoList"/>
    <w:uiPriority w:val="99"/>
    <w:semiHidden/>
    <w:unhideWhenUsed/>
    <w:rsid w:val="00BA4876"/>
  </w:style>
  <w:style w:type="table" w:customStyle="1" w:styleId="TableGrid1">
    <w:name w:val="Table Grid1"/>
    <w:basedOn w:val="TableNormal"/>
    <w:next w:val="TableGrid"/>
    <w:uiPriority w:val="59"/>
    <w:rsid w:val="00BA4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0">
    <w:name w:val="Grid Table 5 Dark - Accent 51"/>
    <w:basedOn w:val="TableNormal"/>
    <w:next w:val="GridTable5Dark-Accent51"/>
    <w:uiPriority w:val="50"/>
    <w:rsid w:val="00BA487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
    <w:name w:val="Light Shading - Accent 3331"/>
    <w:basedOn w:val="TableNormal"/>
    <w:next w:val="LightShading-Accent3"/>
    <w:uiPriority w:val="60"/>
    <w:rsid w:val="00BA4876"/>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
    <w:name w:val="Light Shading - Accent 31"/>
    <w:basedOn w:val="TableNormal"/>
    <w:next w:val="LightShading-Accent3"/>
    <w:uiPriority w:val="60"/>
    <w:semiHidden/>
    <w:unhideWhenUsed/>
    <w:rsid w:val="00BA4876"/>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
    <w:name w:val="Table Grid21"/>
    <w:basedOn w:val="TableNormal"/>
    <w:next w:val="TableGrid"/>
    <w:uiPriority w:val="39"/>
    <w:rsid w:val="00BA4876"/>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
    <w:name w:val="Light Shading - Accent 12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
    <w:name w:val="Light Shading - Accent 12"/>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Spacing">
    <w:name w:val="No Spacing"/>
    <w:aliases w:val="Uvodna rečenica"/>
    <w:uiPriority w:val="1"/>
    <w:qFormat/>
    <w:rsid w:val="00BA4876"/>
    <w:pPr>
      <w:spacing w:after="0" w:line="240" w:lineRule="auto"/>
      <w:jc w:val="both"/>
    </w:pPr>
    <w:rPr>
      <w:b/>
      <w:color w:val="2F5496" w:themeColor="accent1" w:themeShade="BF"/>
      <w:sz w:val="20"/>
    </w:rPr>
  </w:style>
  <w:style w:type="table" w:customStyle="1" w:styleId="LightShading-Accent3351">
    <w:name w:val="Light Shading - Accent 3351"/>
    <w:basedOn w:val="TableNormal"/>
    <w:next w:val="LightShading-Accent3"/>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
    <w:name w:val="Light Shading - Accent 1221"/>
    <w:basedOn w:val="TableNormal"/>
    <w:uiPriority w:val="60"/>
    <w:rsid w:val="00BA4876"/>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rmalWeb">
    <w:name w:val="Normal (Web)"/>
    <w:basedOn w:val="Normal"/>
    <w:uiPriority w:val="99"/>
    <w:semiHidden/>
    <w:unhideWhenUsed/>
    <w:rsid w:val="00BA48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locked/>
    <w:rsid w:val="00BA4876"/>
  </w:style>
  <w:style w:type="table" w:customStyle="1" w:styleId="LightShading-Accent1211">
    <w:name w:val="Light Shading - Accent 121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
    <w:name w:val="List Table 6 Colorful - Accent 61"/>
    <w:basedOn w:val="TableNormal"/>
    <w:uiPriority w:val="51"/>
    <w:rsid w:val="00BA487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BA4876"/>
    <w:rPr>
      <w:color w:val="0563C1"/>
      <w:u w:val="single"/>
    </w:rPr>
  </w:style>
  <w:style w:type="table" w:customStyle="1" w:styleId="ListTable1Light-Accent61">
    <w:name w:val="List Table 1 Light - Accent 61"/>
    <w:basedOn w:val="TableNormal"/>
    <w:uiPriority w:val="46"/>
    <w:rsid w:val="00BA4876"/>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
    <w:name w:val="Light Shading - Accent 336"/>
    <w:basedOn w:val="TableNormal"/>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2">
    <w:name w:val="Unresolved Mention2"/>
    <w:basedOn w:val="DefaultParagraphFont"/>
    <w:uiPriority w:val="99"/>
    <w:semiHidden/>
    <w:unhideWhenUsed/>
    <w:rsid w:val="00BA4876"/>
    <w:rPr>
      <w:color w:val="605E5C"/>
      <w:shd w:val="clear" w:color="auto" w:fill="E1DFDD"/>
    </w:rPr>
  </w:style>
  <w:style w:type="table" w:customStyle="1" w:styleId="LightShading-Accent337">
    <w:name w:val="Light Shading - Accent 337"/>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3">
    <w:name w:val="Unresolved Mention3"/>
    <w:basedOn w:val="DefaultParagraphFont"/>
    <w:uiPriority w:val="99"/>
    <w:semiHidden/>
    <w:unhideWhenUsed/>
    <w:rsid w:val="001E3C08"/>
    <w:rPr>
      <w:color w:val="605E5C"/>
      <w:shd w:val="clear" w:color="auto" w:fill="E1DFDD"/>
    </w:rPr>
  </w:style>
  <w:style w:type="table" w:customStyle="1" w:styleId="LightShading-Accent3371">
    <w:name w:val="Light Shading - Accent 337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
    <w:name w:val="No List2"/>
    <w:next w:val="NoList"/>
    <w:uiPriority w:val="99"/>
    <w:semiHidden/>
    <w:unhideWhenUsed/>
    <w:rsid w:val="005C34A0"/>
  </w:style>
  <w:style w:type="table" w:customStyle="1" w:styleId="TableGrid3">
    <w:name w:val="Table Grid3"/>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
    <w:name w:val="Grid Table 5 Dark - Accent 52"/>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
    <w:name w:val="Light Shading - Accent 3332"/>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
    <w:name w:val="Light Shading - Accent 32"/>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
    <w:name w:val="Table Grid22"/>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
    <w:name w:val="Light Shading - Accent 3352"/>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
    <w:name w:val="No List11"/>
    <w:next w:val="NoList"/>
    <w:uiPriority w:val="99"/>
    <w:semiHidden/>
    <w:unhideWhenUsed/>
    <w:rsid w:val="005C34A0"/>
  </w:style>
  <w:style w:type="table" w:customStyle="1" w:styleId="TableGrid11">
    <w:name w:val="Table Grid11"/>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
    <w:name w:val="Grid Table 5 Dark - Accent 511"/>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
    <w:name w:val="Light Shading - Accent 33311"/>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
    <w:name w:val="Light Shading - Accent 311"/>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
    <w:name w:val="Table Grid211"/>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
    <w:name w:val="Light Shading - Accent 121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
    <w:name w:val="Light Shading - Accent 12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
    <w:name w:val="Light Shading - Accent 33511"/>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
    <w:name w:val="Light Shading - Accent 12211"/>
    <w:basedOn w:val="TableNormal"/>
    <w:uiPriority w:val="60"/>
    <w:rsid w:val="005C34A0"/>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
    <w:name w:val="Light Shading - Accent 12111"/>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0">
    <w:name w:val="List Table 6 Colorful - Accent 61"/>
    <w:basedOn w:val="TableNormal"/>
    <w:next w:val="ListTable6Colorful-Accent61"/>
    <w:uiPriority w:val="51"/>
    <w:rsid w:val="005C34A0"/>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
    <w:name w:val="List Table 1 Light - Accent 611"/>
    <w:basedOn w:val="TableNormal"/>
    <w:uiPriority w:val="46"/>
    <w:rsid w:val="005C34A0"/>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
    <w:name w:val="Light Shading - Accent 336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
    <w:name w:val="Light Shading - Accent 3372"/>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
    <w:name w:val="Light Shading - Accent 338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
    <w:name w:val="Table Grid4"/>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51301A"/>
    <w:rPr>
      <w:b/>
      <w:bCs/>
    </w:rPr>
  </w:style>
  <w:style w:type="table" w:customStyle="1" w:styleId="PlainTable41">
    <w:name w:val="Plain Table 41"/>
    <w:basedOn w:val="TableNormal"/>
    <w:uiPriority w:val="44"/>
    <w:rsid w:val="001901F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5">
    <w:name w:val="Grid Table 5 Dark Accent 5"/>
    <w:basedOn w:val="TableNormal"/>
    <w:uiPriority w:val="50"/>
    <w:rsid w:val="00C2610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ListTable6Colorful-Accent6">
    <w:name w:val="List Table 6 Colorful Accent 6"/>
    <w:basedOn w:val="TableNormal"/>
    <w:uiPriority w:val="51"/>
    <w:rsid w:val="00C2610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jlqj4b">
    <w:name w:val="jlqj4b"/>
    <w:basedOn w:val="DefaultParagraphFont"/>
    <w:rsid w:val="007A529E"/>
  </w:style>
  <w:style w:type="table" w:styleId="ListTable1Light-Accent3">
    <w:name w:val="List Table 1 Light Accent 3"/>
    <w:basedOn w:val="TableNormal"/>
    <w:uiPriority w:val="46"/>
    <w:rsid w:val="006E4FB8"/>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
    <w:name w:val="Plain Table 411"/>
    <w:basedOn w:val="TableNormal"/>
    <w:uiPriority w:val="44"/>
    <w:rsid w:val="00BB2F0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6Colorful-Accent1">
    <w:name w:val="Grid Table 6 Colorful Accent 1"/>
    <w:basedOn w:val="TableNormal"/>
    <w:uiPriority w:val="51"/>
    <w:rsid w:val="00BB2F03"/>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
    <w:name w:val="Light Shading - Accent 3382"/>
    <w:basedOn w:val="TableNormal"/>
    <w:uiPriority w:val="60"/>
    <w:rsid w:val="00BB2F03"/>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
    <w:name w:val="Light Shading - Accent 12121"/>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
    <w:name w:val="Light Shading - Accent 1222"/>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
    <w:name w:val="Table Grid61"/>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
    <w:name w:val="Grid Table 5 Dark - Accent 512"/>
    <w:basedOn w:val="TableNormal"/>
    <w:next w:val="GridTable5Dark-Accent510"/>
    <w:uiPriority w:val="50"/>
    <w:rsid w:val="00E124C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
    <w:name w:val="List Table 6 Colorful - Accent 611"/>
    <w:basedOn w:val="TableNormal"/>
    <w:next w:val="ListTable6Colorful-Accent610"/>
    <w:uiPriority w:val="51"/>
    <w:rsid w:val="00E124CF"/>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593E7B"/>
    <w:rPr>
      <w:color w:val="954F72" w:themeColor="followedHyperlink"/>
      <w:u w:val="single"/>
    </w:rPr>
  </w:style>
  <w:style w:type="paragraph" w:customStyle="1" w:styleId="NumPar1">
    <w:name w:val="NumPar 1"/>
    <w:basedOn w:val="Normal"/>
    <w:next w:val="Normal"/>
    <w:link w:val="FootnoteReference"/>
    <w:uiPriority w:val="99"/>
    <w:rsid w:val="00593E7B"/>
    <w:pPr>
      <w:numPr>
        <w:numId w:val="18"/>
      </w:numPr>
      <w:spacing w:before="120" w:after="120" w:line="240" w:lineRule="auto"/>
    </w:pPr>
    <w:rPr>
      <w:color w:val="auto"/>
      <w:sz w:val="22"/>
      <w:vertAlign w:val="superscript"/>
    </w:rPr>
  </w:style>
  <w:style w:type="paragraph" w:customStyle="1" w:styleId="NumPar2">
    <w:name w:val="NumPar 2"/>
    <w:basedOn w:val="Normal"/>
    <w:next w:val="Normal"/>
    <w:rsid w:val="00593E7B"/>
    <w:pPr>
      <w:numPr>
        <w:ilvl w:val="1"/>
        <w:numId w:val="18"/>
      </w:numPr>
      <w:spacing w:before="120" w:after="120" w:line="240" w:lineRule="auto"/>
    </w:pPr>
    <w:rPr>
      <w:rFonts w:ascii="Tunga" w:eastAsia="Arial Unicode MS" w:hAnsi="Tunga" w:cs="Tunga"/>
      <w:snapToGrid w:val="0"/>
      <w:color w:val="auto"/>
      <w:szCs w:val="20"/>
    </w:rPr>
  </w:style>
  <w:style w:type="paragraph" w:customStyle="1" w:styleId="NumPar3">
    <w:name w:val="NumPar 3"/>
    <w:basedOn w:val="Normal"/>
    <w:next w:val="Normal"/>
    <w:rsid w:val="00593E7B"/>
    <w:pPr>
      <w:numPr>
        <w:ilvl w:val="2"/>
        <w:numId w:val="18"/>
      </w:numPr>
      <w:spacing w:before="120" w:after="120" w:line="240" w:lineRule="auto"/>
    </w:pPr>
    <w:rPr>
      <w:rFonts w:ascii="Tunga" w:eastAsia="Arial Unicode MS" w:hAnsi="Tunga" w:cs="Tunga"/>
      <w:snapToGrid w:val="0"/>
      <w:color w:val="auto"/>
      <w:szCs w:val="20"/>
    </w:rPr>
  </w:style>
  <w:style w:type="paragraph" w:customStyle="1" w:styleId="NumPar4">
    <w:name w:val="NumPar 4"/>
    <w:basedOn w:val="Normal"/>
    <w:next w:val="Normal"/>
    <w:rsid w:val="00593E7B"/>
    <w:pPr>
      <w:numPr>
        <w:ilvl w:val="3"/>
        <w:numId w:val="18"/>
      </w:numPr>
      <w:spacing w:before="120" w:after="120" w:line="240" w:lineRule="auto"/>
    </w:pPr>
    <w:rPr>
      <w:rFonts w:ascii="Tunga" w:eastAsia="Arial Unicode MS" w:hAnsi="Tunga" w:cs="Tunga"/>
      <w:snapToGrid w:val="0"/>
      <w:color w:val="auto"/>
      <w:szCs w:val="20"/>
    </w:rPr>
  </w:style>
  <w:style w:type="paragraph" w:styleId="Revision">
    <w:name w:val="Revision"/>
    <w:hidden/>
    <w:uiPriority w:val="99"/>
    <w:semiHidden/>
    <w:rsid w:val="009377F8"/>
    <w:pPr>
      <w:spacing w:after="0" w:line="240" w:lineRule="auto"/>
    </w:pPr>
    <w:rPr>
      <w:color w:val="44546A" w:themeColor="text2"/>
      <w:sz w:val="20"/>
    </w:rPr>
  </w:style>
  <w:style w:type="character" w:customStyle="1" w:styleId="rynqvb">
    <w:name w:val="rynqvb"/>
    <w:basedOn w:val="DefaultParagraphFont"/>
    <w:rsid w:val="00907B95"/>
  </w:style>
  <w:style w:type="character" w:customStyle="1" w:styleId="hwtze">
    <w:name w:val="hwtze"/>
    <w:basedOn w:val="DefaultParagraphFont"/>
    <w:rsid w:val="00907B95"/>
  </w:style>
  <w:style w:type="table" w:customStyle="1" w:styleId="TableGrid621">
    <w:name w:val="Table Grid621"/>
    <w:basedOn w:val="TableNormal"/>
    <w:next w:val="TableGrid"/>
    <w:uiPriority w:val="39"/>
    <w:rsid w:val="000724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62937">
      <w:bodyDiv w:val="1"/>
      <w:marLeft w:val="0"/>
      <w:marRight w:val="0"/>
      <w:marTop w:val="0"/>
      <w:marBottom w:val="0"/>
      <w:divBdr>
        <w:top w:val="none" w:sz="0" w:space="0" w:color="auto"/>
        <w:left w:val="none" w:sz="0" w:space="0" w:color="auto"/>
        <w:bottom w:val="none" w:sz="0" w:space="0" w:color="auto"/>
        <w:right w:val="none" w:sz="0" w:space="0" w:color="auto"/>
      </w:divBdr>
    </w:div>
    <w:div w:id="224491268">
      <w:bodyDiv w:val="1"/>
      <w:marLeft w:val="0"/>
      <w:marRight w:val="0"/>
      <w:marTop w:val="0"/>
      <w:marBottom w:val="0"/>
      <w:divBdr>
        <w:top w:val="none" w:sz="0" w:space="0" w:color="auto"/>
        <w:left w:val="none" w:sz="0" w:space="0" w:color="auto"/>
        <w:bottom w:val="none" w:sz="0" w:space="0" w:color="auto"/>
        <w:right w:val="none" w:sz="0" w:space="0" w:color="auto"/>
      </w:divBdr>
    </w:div>
    <w:div w:id="327100904">
      <w:bodyDiv w:val="1"/>
      <w:marLeft w:val="0"/>
      <w:marRight w:val="0"/>
      <w:marTop w:val="0"/>
      <w:marBottom w:val="0"/>
      <w:divBdr>
        <w:top w:val="none" w:sz="0" w:space="0" w:color="auto"/>
        <w:left w:val="none" w:sz="0" w:space="0" w:color="auto"/>
        <w:bottom w:val="none" w:sz="0" w:space="0" w:color="auto"/>
        <w:right w:val="none" w:sz="0" w:space="0" w:color="auto"/>
      </w:divBdr>
    </w:div>
    <w:div w:id="405343483">
      <w:bodyDiv w:val="1"/>
      <w:marLeft w:val="0"/>
      <w:marRight w:val="0"/>
      <w:marTop w:val="0"/>
      <w:marBottom w:val="0"/>
      <w:divBdr>
        <w:top w:val="none" w:sz="0" w:space="0" w:color="auto"/>
        <w:left w:val="none" w:sz="0" w:space="0" w:color="auto"/>
        <w:bottom w:val="none" w:sz="0" w:space="0" w:color="auto"/>
        <w:right w:val="none" w:sz="0" w:space="0" w:color="auto"/>
      </w:divBdr>
    </w:div>
    <w:div w:id="496309330">
      <w:bodyDiv w:val="1"/>
      <w:marLeft w:val="0"/>
      <w:marRight w:val="0"/>
      <w:marTop w:val="0"/>
      <w:marBottom w:val="0"/>
      <w:divBdr>
        <w:top w:val="none" w:sz="0" w:space="0" w:color="auto"/>
        <w:left w:val="none" w:sz="0" w:space="0" w:color="auto"/>
        <w:bottom w:val="none" w:sz="0" w:space="0" w:color="auto"/>
        <w:right w:val="none" w:sz="0" w:space="0" w:color="auto"/>
      </w:divBdr>
    </w:div>
    <w:div w:id="496505828">
      <w:bodyDiv w:val="1"/>
      <w:marLeft w:val="0"/>
      <w:marRight w:val="0"/>
      <w:marTop w:val="0"/>
      <w:marBottom w:val="0"/>
      <w:divBdr>
        <w:top w:val="none" w:sz="0" w:space="0" w:color="auto"/>
        <w:left w:val="none" w:sz="0" w:space="0" w:color="auto"/>
        <w:bottom w:val="none" w:sz="0" w:space="0" w:color="auto"/>
        <w:right w:val="none" w:sz="0" w:space="0" w:color="auto"/>
      </w:divBdr>
    </w:div>
    <w:div w:id="707607753">
      <w:bodyDiv w:val="1"/>
      <w:marLeft w:val="0"/>
      <w:marRight w:val="0"/>
      <w:marTop w:val="0"/>
      <w:marBottom w:val="0"/>
      <w:divBdr>
        <w:top w:val="none" w:sz="0" w:space="0" w:color="auto"/>
        <w:left w:val="none" w:sz="0" w:space="0" w:color="auto"/>
        <w:bottom w:val="none" w:sz="0" w:space="0" w:color="auto"/>
        <w:right w:val="none" w:sz="0" w:space="0" w:color="auto"/>
      </w:divBdr>
    </w:div>
    <w:div w:id="758334793">
      <w:bodyDiv w:val="1"/>
      <w:marLeft w:val="0"/>
      <w:marRight w:val="0"/>
      <w:marTop w:val="0"/>
      <w:marBottom w:val="0"/>
      <w:divBdr>
        <w:top w:val="none" w:sz="0" w:space="0" w:color="auto"/>
        <w:left w:val="none" w:sz="0" w:space="0" w:color="auto"/>
        <w:bottom w:val="none" w:sz="0" w:space="0" w:color="auto"/>
        <w:right w:val="none" w:sz="0" w:space="0" w:color="auto"/>
      </w:divBdr>
    </w:div>
    <w:div w:id="815489490">
      <w:bodyDiv w:val="1"/>
      <w:marLeft w:val="0"/>
      <w:marRight w:val="0"/>
      <w:marTop w:val="0"/>
      <w:marBottom w:val="0"/>
      <w:divBdr>
        <w:top w:val="none" w:sz="0" w:space="0" w:color="auto"/>
        <w:left w:val="none" w:sz="0" w:space="0" w:color="auto"/>
        <w:bottom w:val="none" w:sz="0" w:space="0" w:color="auto"/>
        <w:right w:val="none" w:sz="0" w:space="0" w:color="auto"/>
      </w:divBdr>
    </w:div>
    <w:div w:id="988559316">
      <w:bodyDiv w:val="1"/>
      <w:marLeft w:val="0"/>
      <w:marRight w:val="0"/>
      <w:marTop w:val="0"/>
      <w:marBottom w:val="0"/>
      <w:divBdr>
        <w:top w:val="none" w:sz="0" w:space="0" w:color="auto"/>
        <w:left w:val="none" w:sz="0" w:space="0" w:color="auto"/>
        <w:bottom w:val="none" w:sz="0" w:space="0" w:color="auto"/>
        <w:right w:val="none" w:sz="0" w:space="0" w:color="auto"/>
      </w:divBdr>
    </w:div>
    <w:div w:id="1221474541">
      <w:bodyDiv w:val="1"/>
      <w:marLeft w:val="0"/>
      <w:marRight w:val="0"/>
      <w:marTop w:val="0"/>
      <w:marBottom w:val="0"/>
      <w:divBdr>
        <w:top w:val="none" w:sz="0" w:space="0" w:color="auto"/>
        <w:left w:val="none" w:sz="0" w:space="0" w:color="auto"/>
        <w:bottom w:val="none" w:sz="0" w:space="0" w:color="auto"/>
        <w:right w:val="none" w:sz="0" w:space="0" w:color="auto"/>
      </w:divBdr>
    </w:div>
    <w:div w:id="1241981220">
      <w:bodyDiv w:val="1"/>
      <w:marLeft w:val="0"/>
      <w:marRight w:val="0"/>
      <w:marTop w:val="0"/>
      <w:marBottom w:val="0"/>
      <w:divBdr>
        <w:top w:val="none" w:sz="0" w:space="0" w:color="auto"/>
        <w:left w:val="none" w:sz="0" w:space="0" w:color="auto"/>
        <w:bottom w:val="none" w:sz="0" w:space="0" w:color="auto"/>
        <w:right w:val="none" w:sz="0" w:space="0" w:color="auto"/>
      </w:divBdr>
    </w:div>
    <w:div w:id="1285890058">
      <w:bodyDiv w:val="1"/>
      <w:marLeft w:val="0"/>
      <w:marRight w:val="0"/>
      <w:marTop w:val="0"/>
      <w:marBottom w:val="0"/>
      <w:divBdr>
        <w:top w:val="none" w:sz="0" w:space="0" w:color="auto"/>
        <w:left w:val="none" w:sz="0" w:space="0" w:color="auto"/>
        <w:bottom w:val="none" w:sz="0" w:space="0" w:color="auto"/>
        <w:right w:val="none" w:sz="0" w:space="0" w:color="auto"/>
      </w:divBdr>
    </w:div>
    <w:div w:id="1579943587">
      <w:bodyDiv w:val="1"/>
      <w:marLeft w:val="0"/>
      <w:marRight w:val="0"/>
      <w:marTop w:val="0"/>
      <w:marBottom w:val="0"/>
      <w:divBdr>
        <w:top w:val="none" w:sz="0" w:space="0" w:color="auto"/>
        <w:left w:val="none" w:sz="0" w:space="0" w:color="auto"/>
        <w:bottom w:val="none" w:sz="0" w:space="0" w:color="auto"/>
        <w:right w:val="none" w:sz="0" w:space="0" w:color="auto"/>
      </w:divBdr>
    </w:div>
    <w:div w:id="1613324982">
      <w:bodyDiv w:val="1"/>
      <w:marLeft w:val="0"/>
      <w:marRight w:val="0"/>
      <w:marTop w:val="0"/>
      <w:marBottom w:val="0"/>
      <w:divBdr>
        <w:top w:val="none" w:sz="0" w:space="0" w:color="auto"/>
        <w:left w:val="none" w:sz="0" w:space="0" w:color="auto"/>
        <w:bottom w:val="none" w:sz="0" w:space="0" w:color="auto"/>
        <w:right w:val="none" w:sz="0" w:space="0" w:color="auto"/>
      </w:divBdr>
    </w:div>
    <w:div w:id="1678337853">
      <w:bodyDiv w:val="1"/>
      <w:marLeft w:val="0"/>
      <w:marRight w:val="0"/>
      <w:marTop w:val="0"/>
      <w:marBottom w:val="0"/>
      <w:divBdr>
        <w:top w:val="none" w:sz="0" w:space="0" w:color="auto"/>
        <w:left w:val="none" w:sz="0" w:space="0" w:color="auto"/>
        <w:bottom w:val="none" w:sz="0" w:space="0" w:color="auto"/>
        <w:right w:val="none" w:sz="0" w:space="0" w:color="auto"/>
      </w:divBdr>
    </w:div>
    <w:div w:id="1697268533">
      <w:bodyDiv w:val="1"/>
      <w:marLeft w:val="0"/>
      <w:marRight w:val="0"/>
      <w:marTop w:val="0"/>
      <w:marBottom w:val="0"/>
      <w:divBdr>
        <w:top w:val="none" w:sz="0" w:space="0" w:color="auto"/>
        <w:left w:val="none" w:sz="0" w:space="0" w:color="auto"/>
        <w:bottom w:val="none" w:sz="0" w:space="0" w:color="auto"/>
        <w:right w:val="none" w:sz="0" w:space="0" w:color="auto"/>
      </w:divBdr>
    </w:div>
    <w:div w:id="1741367302">
      <w:bodyDiv w:val="1"/>
      <w:marLeft w:val="0"/>
      <w:marRight w:val="0"/>
      <w:marTop w:val="0"/>
      <w:marBottom w:val="0"/>
      <w:divBdr>
        <w:top w:val="none" w:sz="0" w:space="0" w:color="auto"/>
        <w:left w:val="none" w:sz="0" w:space="0" w:color="auto"/>
        <w:bottom w:val="none" w:sz="0" w:space="0" w:color="auto"/>
        <w:right w:val="none" w:sz="0" w:space="0" w:color="auto"/>
      </w:divBdr>
    </w:div>
    <w:div w:id="1750691447">
      <w:bodyDiv w:val="1"/>
      <w:marLeft w:val="0"/>
      <w:marRight w:val="0"/>
      <w:marTop w:val="0"/>
      <w:marBottom w:val="0"/>
      <w:divBdr>
        <w:top w:val="none" w:sz="0" w:space="0" w:color="auto"/>
        <w:left w:val="none" w:sz="0" w:space="0" w:color="auto"/>
        <w:bottom w:val="none" w:sz="0" w:space="0" w:color="auto"/>
        <w:right w:val="none" w:sz="0" w:space="0" w:color="auto"/>
      </w:divBdr>
    </w:div>
    <w:div w:id="1980568835">
      <w:bodyDiv w:val="1"/>
      <w:marLeft w:val="0"/>
      <w:marRight w:val="0"/>
      <w:marTop w:val="0"/>
      <w:marBottom w:val="0"/>
      <w:divBdr>
        <w:top w:val="none" w:sz="0" w:space="0" w:color="auto"/>
        <w:left w:val="none" w:sz="0" w:space="0" w:color="auto"/>
        <w:bottom w:val="none" w:sz="0" w:space="0" w:color="auto"/>
        <w:right w:val="none" w:sz="0" w:space="0" w:color="auto"/>
      </w:divBdr>
    </w:div>
    <w:div w:id="2078817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25.xml"/><Relationship Id="rId21" Type="http://schemas.openxmlformats.org/officeDocument/2006/relationships/header" Target="header4.xml"/><Relationship Id="rId42" Type="http://schemas.openxmlformats.org/officeDocument/2006/relationships/chart" Target="charts/chart12.xml"/><Relationship Id="rId63" Type="http://schemas.openxmlformats.org/officeDocument/2006/relationships/chart" Target="charts/chart31.xml"/><Relationship Id="rId84" Type="http://schemas.openxmlformats.org/officeDocument/2006/relationships/chart" Target="charts/chart50.xml"/><Relationship Id="rId138" Type="http://schemas.openxmlformats.org/officeDocument/2006/relationships/header" Target="header34.xml"/><Relationship Id="rId159" Type="http://schemas.openxmlformats.org/officeDocument/2006/relationships/header" Target="header44.xml"/><Relationship Id="rId170" Type="http://schemas.openxmlformats.org/officeDocument/2006/relationships/chart" Target="charts/chart57.xml"/><Relationship Id="rId191" Type="http://schemas.openxmlformats.org/officeDocument/2006/relationships/header" Target="header58.xml"/><Relationship Id="rId205" Type="http://schemas.openxmlformats.org/officeDocument/2006/relationships/image" Target="media/image9.png"/><Relationship Id="rId226" Type="http://schemas.openxmlformats.org/officeDocument/2006/relationships/footer" Target="footer55.xml"/><Relationship Id="rId107" Type="http://schemas.openxmlformats.org/officeDocument/2006/relationships/footer" Target="footer17.xml"/><Relationship Id="rId32" Type="http://schemas.openxmlformats.org/officeDocument/2006/relationships/chart" Target="charts/chart6.xml"/><Relationship Id="rId53" Type="http://schemas.openxmlformats.org/officeDocument/2006/relationships/chart" Target="charts/chart22.xml"/><Relationship Id="rId74" Type="http://schemas.openxmlformats.org/officeDocument/2006/relationships/chart" Target="charts/chart40.xml"/><Relationship Id="rId128" Type="http://schemas.openxmlformats.org/officeDocument/2006/relationships/chart" Target="charts/chart53.xml"/><Relationship Id="rId149" Type="http://schemas.openxmlformats.org/officeDocument/2006/relationships/header" Target="header39.xml"/><Relationship Id="rId5" Type="http://schemas.openxmlformats.org/officeDocument/2006/relationships/webSettings" Target="webSettings.xml"/><Relationship Id="rId95" Type="http://schemas.openxmlformats.org/officeDocument/2006/relationships/header" Target="header13.xml"/><Relationship Id="rId160" Type="http://schemas.openxmlformats.org/officeDocument/2006/relationships/chart" Target="charts/chart56.xml"/><Relationship Id="rId181" Type="http://schemas.openxmlformats.org/officeDocument/2006/relationships/header" Target="header53.xml"/><Relationship Id="rId216" Type="http://schemas.openxmlformats.org/officeDocument/2006/relationships/image" Target="media/image17.png"/><Relationship Id="rId22" Type="http://schemas.openxmlformats.org/officeDocument/2006/relationships/footer" Target="footer2.xml"/><Relationship Id="rId43" Type="http://schemas.openxmlformats.org/officeDocument/2006/relationships/chart" Target="charts/chart13.xml"/><Relationship Id="rId64" Type="http://schemas.openxmlformats.org/officeDocument/2006/relationships/chart" Target="charts/chart32.xml"/><Relationship Id="rId118" Type="http://schemas.openxmlformats.org/officeDocument/2006/relationships/footer" Target="footer20.xml"/><Relationship Id="rId139" Type="http://schemas.openxmlformats.org/officeDocument/2006/relationships/header" Target="header35.xml"/><Relationship Id="rId85" Type="http://schemas.openxmlformats.org/officeDocument/2006/relationships/header" Target="header7.xml"/><Relationship Id="rId150" Type="http://schemas.openxmlformats.org/officeDocument/2006/relationships/footer" Target="footer33.xml"/><Relationship Id="rId171" Type="http://schemas.openxmlformats.org/officeDocument/2006/relationships/chart" Target="charts/chart58.xml"/><Relationship Id="rId192" Type="http://schemas.openxmlformats.org/officeDocument/2006/relationships/footer" Target="footer48.xml"/><Relationship Id="rId206" Type="http://schemas.openxmlformats.org/officeDocument/2006/relationships/image" Target="media/image10.jpeg"/><Relationship Id="rId227" Type="http://schemas.openxmlformats.org/officeDocument/2006/relationships/header" Target="header68.xml"/><Relationship Id="rId33" Type="http://schemas.openxmlformats.org/officeDocument/2006/relationships/footer" Target="footer5.xml"/><Relationship Id="rId108" Type="http://schemas.openxmlformats.org/officeDocument/2006/relationships/header" Target="header20.xml"/><Relationship Id="rId129" Type="http://schemas.openxmlformats.org/officeDocument/2006/relationships/chart" Target="charts/chart54.xml"/><Relationship Id="rId54" Type="http://schemas.openxmlformats.org/officeDocument/2006/relationships/chart" Target="charts/chart23.xml"/><Relationship Id="rId75" Type="http://schemas.openxmlformats.org/officeDocument/2006/relationships/chart" Target="charts/chart41.xml"/><Relationship Id="rId96" Type="http://schemas.openxmlformats.org/officeDocument/2006/relationships/footer" Target="footer12.xml"/><Relationship Id="rId140" Type="http://schemas.openxmlformats.org/officeDocument/2006/relationships/footer" Target="footer28.xml"/><Relationship Id="rId161" Type="http://schemas.openxmlformats.org/officeDocument/2006/relationships/image" Target="media/image6.png"/><Relationship Id="rId182" Type="http://schemas.openxmlformats.org/officeDocument/2006/relationships/chart" Target="charts/chart60.xml"/><Relationship Id="rId217" Type="http://schemas.openxmlformats.org/officeDocument/2006/relationships/image" Target="media/image18.png"/><Relationship Id="rId6" Type="http://schemas.openxmlformats.org/officeDocument/2006/relationships/footnotes" Target="footnotes.xml"/><Relationship Id="rId23" Type="http://schemas.openxmlformats.org/officeDocument/2006/relationships/footer" Target="footer3.xml"/><Relationship Id="rId119" Type="http://schemas.openxmlformats.org/officeDocument/2006/relationships/footer" Target="footer21.xml"/><Relationship Id="rId44" Type="http://schemas.openxmlformats.org/officeDocument/2006/relationships/chart" Target="charts/chart14.xml"/><Relationship Id="rId65" Type="http://schemas.openxmlformats.org/officeDocument/2006/relationships/chart" Target="charts/chart33.xml"/><Relationship Id="rId86" Type="http://schemas.openxmlformats.org/officeDocument/2006/relationships/header" Target="header8.xml"/><Relationship Id="rId130" Type="http://schemas.openxmlformats.org/officeDocument/2006/relationships/header" Target="header30.xml"/><Relationship Id="rId151" Type="http://schemas.openxmlformats.org/officeDocument/2006/relationships/header" Target="header40.xml"/><Relationship Id="rId172" Type="http://schemas.openxmlformats.org/officeDocument/2006/relationships/chart" Target="charts/chart59.xml"/><Relationship Id="rId193" Type="http://schemas.openxmlformats.org/officeDocument/2006/relationships/footer" Target="footer49.xml"/><Relationship Id="rId207" Type="http://schemas.openxmlformats.org/officeDocument/2006/relationships/image" Target="media/image11.jpeg"/><Relationship Id="rId228" Type="http://schemas.openxmlformats.org/officeDocument/2006/relationships/footer" Target="footer56.xml"/><Relationship Id="rId109" Type="http://schemas.openxmlformats.org/officeDocument/2006/relationships/chart" Target="charts/chart51.xml"/><Relationship Id="rId34" Type="http://schemas.openxmlformats.org/officeDocument/2006/relationships/image" Target="media/image20.gif"/><Relationship Id="rId55" Type="http://schemas.openxmlformats.org/officeDocument/2006/relationships/chart" Target="charts/chart24.xml"/><Relationship Id="rId76" Type="http://schemas.openxmlformats.org/officeDocument/2006/relationships/chart" Target="charts/chart42.xml"/><Relationship Id="rId97" Type="http://schemas.openxmlformats.org/officeDocument/2006/relationships/footer" Target="footer13.xml"/><Relationship Id="rId120" Type="http://schemas.openxmlformats.org/officeDocument/2006/relationships/header" Target="header26.xml"/><Relationship Id="rId141" Type="http://schemas.openxmlformats.org/officeDocument/2006/relationships/footer" Target="footer29.xml"/><Relationship Id="rId7" Type="http://schemas.openxmlformats.org/officeDocument/2006/relationships/endnotes" Target="endnotes.xml"/><Relationship Id="rId162" Type="http://schemas.openxmlformats.org/officeDocument/2006/relationships/header" Target="header45.xml"/><Relationship Id="rId183" Type="http://schemas.openxmlformats.org/officeDocument/2006/relationships/chart" Target="charts/chart61.xml"/><Relationship Id="rId218" Type="http://schemas.openxmlformats.org/officeDocument/2006/relationships/header" Target="header63.xml"/><Relationship Id="rId24" Type="http://schemas.openxmlformats.org/officeDocument/2006/relationships/footer" Target="footer4.xml"/><Relationship Id="rId45" Type="http://schemas.openxmlformats.org/officeDocument/2006/relationships/chart" Target="charts/chart15.xml"/><Relationship Id="rId66" Type="http://schemas.openxmlformats.org/officeDocument/2006/relationships/chart" Target="charts/chart34.xml"/><Relationship Id="rId87" Type="http://schemas.openxmlformats.org/officeDocument/2006/relationships/footer" Target="footer8.xml"/><Relationship Id="rId110" Type="http://schemas.openxmlformats.org/officeDocument/2006/relationships/image" Target="media/image5.png"/><Relationship Id="rId131" Type="http://schemas.openxmlformats.org/officeDocument/2006/relationships/header" Target="header31.xml"/><Relationship Id="rId152" Type="http://schemas.openxmlformats.org/officeDocument/2006/relationships/footer" Target="footer34.xml"/><Relationship Id="rId173" Type="http://schemas.openxmlformats.org/officeDocument/2006/relationships/header" Target="header49.xml"/><Relationship Id="rId194" Type="http://schemas.openxmlformats.org/officeDocument/2006/relationships/header" Target="header59.xml"/><Relationship Id="rId208" Type="http://schemas.openxmlformats.org/officeDocument/2006/relationships/image" Target="media/image12.jpeg"/><Relationship Id="rId229" Type="http://schemas.openxmlformats.org/officeDocument/2006/relationships/fontTable" Target="fontTable.xml"/><Relationship Id="rId35" Type="http://schemas.openxmlformats.org/officeDocument/2006/relationships/header" Target="header5.xml"/><Relationship Id="rId56" Type="http://schemas.openxmlformats.org/officeDocument/2006/relationships/chart" Target="charts/chart25.xml"/><Relationship Id="rId77" Type="http://schemas.openxmlformats.org/officeDocument/2006/relationships/chart" Target="charts/chart43.xml"/><Relationship Id="rId100" Type="http://schemas.openxmlformats.org/officeDocument/2006/relationships/header" Target="header16.xml"/><Relationship Id="rId8" Type="http://schemas.openxmlformats.org/officeDocument/2006/relationships/header" Target="header1.xml"/><Relationship Id="rId51" Type="http://schemas.openxmlformats.org/officeDocument/2006/relationships/chart" Target="charts/chart20.xml"/><Relationship Id="rId72" Type="http://schemas.openxmlformats.org/officeDocument/2006/relationships/chart" Target="charts/chart38.xml"/><Relationship Id="rId93" Type="http://schemas.openxmlformats.org/officeDocument/2006/relationships/footer" Target="footer11.xml"/><Relationship Id="rId98" Type="http://schemas.openxmlformats.org/officeDocument/2006/relationships/header" Target="header14.xml"/><Relationship Id="rId121" Type="http://schemas.openxmlformats.org/officeDocument/2006/relationships/image" Target="media/image7.gif"/><Relationship Id="rId142" Type="http://schemas.openxmlformats.org/officeDocument/2006/relationships/header" Target="header36.xml"/><Relationship Id="rId163" Type="http://schemas.openxmlformats.org/officeDocument/2006/relationships/footer" Target="footer38.xml"/><Relationship Id="rId184" Type="http://schemas.openxmlformats.org/officeDocument/2006/relationships/chart" Target="charts/chart62.xml"/><Relationship Id="rId189" Type="http://schemas.openxmlformats.org/officeDocument/2006/relationships/header" Target="header56.xml"/><Relationship Id="rId219" Type="http://schemas.openxmlformats.org/officeDocument/2006/relationships/header" Target="header64.xml"/><Relationship Id="rId3" Type="http://schemas.openxmlformats.org/officeDocument/2006/relationships/styles" Target="styles.xml"/><Relationship Id="rId214" Type="http://schemas.openxmlformats.org/officeDocument/2006/relationships/chart" Target="charts/chart67.xml"/><Relationship Id="rId230" Type="http://schemas.openxmlformats.org/officeDocument/2006/relationships/theme" Target="theme/theme1.xml"/><Relationship Id="rId25" Type="http://schemas.openxmlformats.org/officeDocument/2006/relationships/chart" Target="charts/chart1.xml"/><Relationship Id="rId46" Type="http://schemas.openxmlformats.org/officeDocument/2006/relationships/chart" Target="charts/chart16.xml"/><Relationship Id="rId67" Type="http://schemas.openxmlformats.org/officeDocument/2006/relationships/chart" Target="charts/chart35.xml"/><Relationship Id="rId116" Type="http://schemas.openxmlformats.org/officeDocument/2006/relationships/header" Target="header24.xml"/><Relationship Id="rId137" Type="http://schemas.openxmlformats.org/officeDocument/2006/relationships/footer" Target="footer27.xml"/><Relationship Id="rId158" Type="http://schemas.openxmlformats.org/officeDocument/2006/relationships/footer" Target="footer37.xml"/><Relationship Id="rId20" Type="http://schemas.openxmlformats.org/officeDocument/2006/relationships/header" Target="header3.xml"/><Relationship Id="rId41" Type="http://schemas.openxmlformats.org/officeDocument/2006/relationships/chart" Target="charts/chart11.xml"/><Relationship Id="rId62" Type="http://schemas.openxmlformats.org/officeDocument/2006/relationships/chart" Target="charts/chart30.xml"/><Relationship Id="rId83" Type="http://schemas.openxmlformats.org/officeDocument/2006/relationships/chart" Target="charts/chart49.xml"/><Relationship Id="rId88" Type="http://schemas.openxmlformats.org/officeDocument/2006/relationships/footer" Target="footer9.xml"/><Relationship Id="rId111" Type="http://schemas.openxmlformats.org/officeDocument/2006/relationships/header" Target="header21.xml"/><Relationship Id="rId132" Type="http://schemas.openxmlformats.org/officeDocument/2006/relationships/footer" Target="footer24.xml"/><Relationship Id="rId153" Type="http://schemas.openxmlformats.org/officeDocument/2006/relationships/footer" Target="footer35.xml"/><Relationship Id="rId174" Type="http://schemas.openxmlformats.org/officeDocument/2006/relationships/header" Target="header50.xml"/><Relationship Id="rId179" Type="http://schemas.openxmlformats.org/officeDocument/2006/relationships/footer" Target="footer44.xml"/><Relationship Id="rId195" Type="http://schemas.openxmlformats.org/officeDocument/2006/relationships/header" Target="header60.xml"/><Relationship Id="rId209" Type="http://schemas.openxmlformats.org/officeDocument/2006/relationships/image" Target="media/image13.jpeg"/><Relationship Id="rId190" Type="http://schemas.openxmlformats.org/officeDocument/2006/relationships/header" Target="header57.xml"/><Relationship Id="rId204" Type="http://schemas.openxmlformats.org/officeDocument/2006/relationships/image" Target="media/image8.jpeg"/><Relationship Id="rId220" Type="http://schemas.openxmlformats.org/officeDocument/2006/relationships/footer" Target="footer52.xml"/><Relationship Id="rId225" Type="http://schemas.openxmlformats.org/officeDocument/2006/relationships/footer" Target="footer54.xml"/><Relationship Id="rId36" Type="http://schemas.openxmlformats.org/officeDocument/2006/relationships/footer" Target="footer6.xml"/><Relationship Id="rId57" Type="http://schemas.openxmlformats.org/officeDocument/2006/relationships/chart" Target="charts/chart26.xml"/><Relationship Id="rId106" Type="http://schemas.openxmlformats.org/officeDocument/2006/relationships/footer" Target="footer16.xml"/><Relationship Id="rId127" Type="http://schemas.openxmlformats.org/officeDocument/2006/relationships/chart" Target="charts/chart52.xml"/><Relationship Id="rId10" Type="http://schemas.openxmlformats.org/officeDocument/2006/relationships/header" Target="header2.xml"/><Relationship Id="rId31" Type="http://schemas.openxmlformats.org/officeDocument/2006/relationships/image" Target="media/image2.png"/><Relationship Id="rId52" Type="http://schemas.openxmlformats.org/officeDocument/2006/relationships/chart" Target="charts/chart21.xml"/><Relationship Id="rId73" Type="http://schemas.openxmlformats.org/officeDocument/2006/relationships/chart" Target="charts/chart39.xml"/><Relationship Id="rId78" Type="http://schemas.openxmlformats.org/officeDocument/2006/relationships/chart" Target="charts/chart44.xml"/><Relationship Id="rId94" Type="http://schemas.openxmlformats.org/officeDocument/2006/relationships/header" Target="header12.xml"/><Relationship Id="rId99" Type="http://schemas.openxmlformats.org/officeDocument/2006/relationships/header" Target="header15.xml"/><Relationship Id="rId101" Type="http://schemas.openxmlformats.org/officeDocument/2006/relationships/footer" Target="footer14.xml"/><Relationship Id="rId122" Type="http://schemas.openxmlformats.org/officeDocument/2006/relationships/header" Target="header27.xml"/><Relationship Id="rId143" Type="http://schemas.openxmlformats.org/officeDocument/2006/relationships/chart" Target="charts/chart55.xml"/><Relationship Id="rId148" Type="http://schemas.openxmlformats.org/officeDocument/2006/relationships/footer" Target="footer32.xml"/><Relationship Id="rId164" Type="http://schemas.openxmlformats.org/officeDocument/2006/relationships/footer" Target="footer39.xml"/><Relationship Id="rId169" Type="http://schemas.openxmlformats.org/officeDocument/2006/relationships/header" Target="header48.xml"/><Relationship Id="rId185" Type="http://schemas.openxmlformats.org/officeDocument/2006/relationships/header" Target="header54.xml"/><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footer" Target="footer45.xml"/><Relationship Id="rId210" Type="http://schemas.openxmlformats.org/officeDocument/2006/relationships/image" Target="media/image14.jpeg"/><Relationship Id="rId215" Type="http://schemas.openxmlformats.org/officeDocument/2006/relationships/chart" Target="charts/chart68.xml"/><Relationship Id="rId26" Type="http://schemas.openxmlformats.org/officeDocument/2006/relationships/chart" Target="charts/chart2.xml"/><Relationship Id="rId47" Type="http://schemas.openxmlformats.org/officeDocument/2006/relationships/chart" Target="charts/chart17.xml"/><Relationship Id="rId68" Type="http://schemas.openxmlformats.org/officeDocument/2006/relationships/chart" Target="charts/chart36.xml"/><Relationship Id="rId89" Type="http://schemas.openxmlformats.org/officeDocument/2006/relationships/header" Target="header9.xml"/><Relationship Id="rId112" Type="http://schemas.openxmlformats.org/officeDocument/2006/relationships/header" Target="header22.xml"/><Relationship Id="rId133" Type="http://schemas.openxmlformats.org/officeDocument/2006/relationships/footer" Target="footer25.xml"/><Relationship Id="rId154" Type="http://schemas.openxmlformats.org/officeDocument/2006/relationships/header" Target="header41.xml"/><Relationship Id="rId175" Type="http://schemas.openxmlformats.org/officeDocument/2006/relationships/footer" Target="footer42.xml"/><Relationship Id="rId196" Type="http://schemas.openxmlformats.org/officeDocument/2006/relationships/header" Target="header61.xml"/><Relationship Id="rId200" Type="http://schemas.openxmlformats.org/officeDocument/2006/relationships/chart" Target="charts/chart63.xml"/><Relationship Id="rId221" Type="http://schemas.openxmlformats.org/officeDocument/2006/relationships/footer" Target="footer53.xml"/><Relationship Id="rId37" Type="http://schemas.openxmlformats.org/officeDocument/2006/relationships/chart" Target="charts/chart7.xml"/><Relationship Id="rId58" Type="http://schemas.openxmlformats.org/officeDocument/2006/relationships/chart" Target="charts/chart27.xml"/><Relationship Id="rId79" Type="http://schemas.openxmlformats.org/officeDocument/2006/relationships/chart" Target="charts/chart45.xml"/><Relationship Id="rId102" Type="http://schemas.openxmlformats.org/officeDocument/2006/relationships/footer" Target="footer15.xml"/><Relationship Id="rId123" Type="http://schemas.openxmlformats.org/officeDocument/2006/relationships/header" Target="header28.xml"/><Relationship Id="rId144" Type="http://schemas.openxmlformats.org/officeDocument/2006/relationships/footer" Target="footer30.xml"/><Relationship Id="rId90" Type="http://schemas.openxmlformats.org/officeDocument/2006/relationships/header" Target="header10.xml"/><Relationship Id="rId165" Type="http://schemas.openxmlformats.org/officeDocument/2006/relationships/header" Target="header46.xml"/><Relationship Id="rId186" Type="http://schemas.openxmlformats.org/officeDocument/2006/relationships/header" Target="header55.xml"/><Relationship Id="rId211" Type="http://schemas.openxmlformats.org/officeDocument/2006/relationships/image" Target="media/image15.png"/><Relationship Id="rId27" Type="http://schemas.openxmlformats.org/officeDocument/2006/relationships/image" Target="media/image1.png"/><Relationship Id="rId48" Type="http://schemas.openxmlformats.org/officeDocument/2006/relationships/chart" Target="charts/chart18.xml"/><Relationship Id="rId69" Type="http://schemas.openxmlformats.org/officeDocument/2006/relationships/header" Target="header6.xml"/><Relationship Id="rId113" Type="http://schemas.openxmlformats.org/officeDocument/2006/relationships/footer" Target="footer18.xml"/><Relationship Id="rId134" Type="http://schemas.openxmlformats.org/officeDocument/2006/relationships/header" Target="header32.xml"/><Relationship Id="rId80" Type="http://schemas.openxmlformats.org/officeDocument/2006/relationships/chart" Target="charts/chart46.xml"/><Relationship Id="rId155" Type="http://schemas.openxmlformats.org/officeDocument/2006/relationships/header" Target="header42.xml"/><Relationship Id="rId176" Type="http://schemas.openxmlformats.org/officeDocument/2006/relationships/footer" Target="footer43.xml"/><Relationship Id="rId197" Type="http://schemas.openxmlformats.org/officeDocument/2006/relationships/footer" Target="footer50.xml"/><Relationship Id="rId201" Type="http://schemas.openxmlformats.org/officeDocument/2006/relationships/chart" Target="charts/chart64.xml"/><Relationship Id="rId222" Type="http://schemas.openxmlformats.org/officeDocument/2006/relationships/header" Target="header65.xml"/><Relationship Id="rId38" Type="http://schemas.openxmlformats.org/officeDocument/2006/relationships/chart" Target="charts/chart8.xml"/><Relationship Id="rId59" Type="http://schemas.openxmlformats.org/officeDocument/2006/relationships/chart" Target="charts/chart28.xml"/><Relationship Id="rId103" Type="http://schemas.openxmlformats.org/officeDocument/2006/relationships/header" Target="header17.xml"/><Relationship Id="rId124" Type="http://schemas.openxmlformats.org/officeDocument/2006/relationships/footer" Target="footer22.xml"/><Relationship Id="rId70" Type="http://schemas.openxmlformats.org/officeDocument/2006/relationships/footer" Target="footer7.xml"/><Relationship Id="rId91" Type="http://schemas.openxmlformats.org/officeDocument/2006/relationships/header" Target="header11.xml"/><Relationship Id="rId145" Type="http://schemas.openxmlformats.org/officeDocument/2006/relationships/footer" Target="footer31.xml"/><Relationship Id="rId166" Type="http://schemas.openxmlformats.org/officeDocument/2006/relationships/header" Target="header47.xml"/><Relationship Id="rId187" Type="http://schemas.openxmlformats.org/officeDocument/2006/relationships/footer" Target="footer46.xml"/><Relationship Id="rId1" Type="http://schemas.openxmlformats.org/officeDocument/2006/relationships/customXml" Target="../customXml/item1.xml"/><Relationship Id="rId212" Type="http://schemas.openxmlformats.org/officeDocument/2006/relationships/image" Target="media/image16.png"/><Relationship Id="rId28" Type="http://schemas.openxmlformats.org/officeDocument/2006/relationships/chart" Target="charts/chart3.xml"/><Relationship Id="rId49" Type="http://schemas.openxmlformats.org/officeDocument/2006/relationships/image" Target="media/image3.png"/><Relationship Id="rId114" Type="http://schemas.openxmlformats.org/officeDocument/2006/relationships/footer" Target="footer19.xml"/><Relationship Id="rId60" Type="http://schemas.openxmlformats.org/officeDocument/2006/relationships/chart" Target="charts/chart29.xml"/><Relationship Id="rId81" Type="http://schemas.openxmlformats.org/officeDocument/2006/relationships/chart" Target="charts/chart47.xml"/><Relationship Id="rId135" Type="http://schemas.openxmlformats.org/officeDocument/2006/relationships/header" Target="header33.xml"/><Relationship Id="rId156" Type="http://schemas.openxmlformats.org/officeDocument/2006/relationships/header" Target="header43.xml"/><Relationship Id="rId177" Type="http://schemas.openxmlformats.org/officeDocument/2006/relationships/header" Target="header51.xml"/><Relationship Id="rId198" Type="http://schemas.openxmlformats.org/officeDocument/2006/relationships/footer" Target="footer51.xml"/><Relationship Id="rId202" Type="http://schemas.openxmlformats.org/officeDocument/2006/relationships/chart" Target="charts/chart65.xml"/><Relationship Id="rId223" Type="http://schemas.openxmlformats.org/officeDocument/2006/relationships/header" Target="header66.xml"/><Relationship Id="rId39" Type="http://schemas.openxmlformats.org/officeDocument/2006/relationships/chart" Target="charts/chart9.xml"/><Relationship Id="rId50" Type="http://schemas.openxmlformats.org/officeDocument/2006/relationships/chart" Target="charts/chart19.xml"/><Relationship Id="rId104" Type="http://schemas.openxmlformats.org/officeDocument/2006/relationships/header" Target="header18.xml"/><Relationship Id="rId125" Type="http://schemas.openxmlformats.org/officeDocument/2006/relationships/footer" Target="footer23.xml"/><Relationship Id="rId146" Type="http://schemas.openxmlformats.org/officeDocument/2006/relationships/header" Target="header37.xml"/><Relationship Id="rId167" Type="http://schemas.openxmlformats.org/officeDocument/2006/relationships/footer" Target="footer40.xml"/><Relationship Id="rId188" Type="http://schemas.openxmlformats.org/officeDocument/2006/relationships/footer" Target="footer47.xml"/><Relationship Id="rId71" Type="http://schemas.openxmlformats.org/officeDocument/2006/relationships/chart" Target="charts/chart37.xml"/><Relationship Id="rId92" Type="http://schemas.openxmlformats.org/officeDocument/2006/relationships/footer" Target="footer10.xml"/><Relationship Id="rId213" Type="http://schemas.openxmlformats.org/officeDocument/2006/relationships/chart" Target="charts/chart66.xml"/><Relationship Id="rId2" Type="http://schemas.openxmlformats.org/officeDocument/2006/relationships/numbering" Target="numbering.xml"/><Relationship Id="rId29" Type="http://schemas.openxmlformats.org/officeDocument/2006/relationships/chart" Target="charts/chart4.xml"/><Relationship Id="rId40" Type="http://schemas.openxmlformats.org/officeDocument/2006/relationships/chart" Target="charts/chart10.xml"/><Relationship Id="rId115" Type="http://schemas.openxmlformats.org/officeDocument/2006/relationships/header" Target="header23.xml"/><Relationship Id="rId136" Type="http://schemas.openxmlformats.org/officeDocument/2006/relationships/footer" Target="footer26.xml"/><Relationship Id="rId157" Type="http://schemas.openxmlformats.org/officeDocument/2006/relationships/footer" Target="footer36.xml"/><Relationship Id="rId178" Type="http://schemas.openxmlformats.org/officeDocument/2006/relationships/header" Target="header52.xml"/><Relationship Id="rId61" Type="http://schemas.openxmlformats.org/officeDocument/2006/relationships/image" Target="media/image4.png"/><Relationship Id="rId82" Type="http://schemas.openxmlformats.org/officeDocument/2006/relationships/chart" Target="charts/chart48.xml"/><Relationship Id="rId199" Type="http://schemas.openxmlformats.org/officeDocument/2006/relationships/header" Target="header62.xml"/><Relationship Id="rId203" Type="http://schemas.openxmlformats.org/officeDocument/2006/relationships/image" Target="media/image7.jpeg"/><Relationship Id="rId19" Type="http://schemas.openxmlformats.org/officeDocument/2006/relationships/image" Target="media/image2.gif"/><Relationship Id="rId224" Type="http://schemas.openxmlformats.org/officeDocument/2006/relationships/header" Target="header67.xml"/><Relationship Id="rId30" Type="http://schemas.openxmlformats.org/officeDocument/2006/relationships/chart" Target="charts/chart5.xml"/><Relationship Id="rId105" Type="http://schemas.openxmlformats.org/officeDocument/2006/relationships/header" Target="header19.xml"/><Relationship Id="rId126" Type="http://schemas.openxmlformats.org/officeDocument/2006/relationships/header" Target="header29.xml"/><Relationship Id="rId147" Type="http://schemas.openxmlformats.org/officeDocument/2006/relationships/header" Target="header38.xml"/><Relationship Id="rId168" Type="http://schemas.openxmlformats.org/officeDocument/2006/relationships/footer" Target="footer41.xml"/></Relationships>
</file>

<file path=word/_rels/footnotes.xml.rels><?xml version="1.0" encoding="UTF-8" standalone="yes"?>
<Relationships xmlns="http://schemas.openxmlformats.org/package/2006/relationships"><Relationship Id="rId1" Type="http://schemas.openxmlformats.org/officeDocument/2006/relationships/hyperlink" Target="https://www.mfin.gov.rs//upload/media/jzsbpL_601ab1585ca02.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sara.radulovic\Dropbox\Makro%20sektor\6.%20Fiskalna%202024-2026\Makro%20radni%20fajlovi\GRAFIKONI_MAKRO_apr23.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sara.radulovic\Dropbox\Makro%20sektor\6.%20Fiskalna%202024-2026\Makro%20radni%20fajlovi\GRAFIKONI_MAKRO_apr23.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sara.radulovic\Dropbox\Makro%20sektor\6.%20Fiskalna%202024-2026\Makro%20radni%20fajlovi\GRAFIKONI_MAKRO_apr23.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chartUserShapes" Target="../drawings/drawing2.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3.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chartUserShapes" Target="../drawings/drawing4.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chartUserShapes" Target="../drawings/drawing5.xm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Users\sara.radulovic\Dropbox\Makro%20sektor\6.%20Fiskalna%202024-2026\Makro%20radni%20fajlovi\GRAFIKONI_MAKRO_apr23.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C:\Users\sara.radulovic\Dropbox\Makro%20sektor\6.%20Fiskalna%202024-2026\Makro%20radni%20fajlovi\GRAFIKONI_MAKRO_apr23.xlsx" TargetMode="External"/></Relationships>
</file>

<file path=word/charts/_rels/chart13.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chartUserShapes" Target="../drawings/drawing8.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sara.radulovic\Dropbox\Makro%20sektor\6.%20Fiskalna%202024-2026\Makro%20radni%20fajlovi\GRAFIKONI_MAKRO_apr23.xlsx" TargetMode="Externa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chartUserShapes" Target="../drawings/drawing9.xml"/></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file:///C:\Users\sara.radulovic\Dropbox\Makro%20sektor\6.%20Fiskalna%202024-2026\Makro%20radni%20fajlovi\GRAFIKONI_MAKRO_apr23.xlsx" TargetMode="External"/></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C:\Users\sara.radulovic\Dropbox\Makro%20sektor\6.%20Fiskalna%202024-2026\Makro%20radni%20fajlovi\GRAFIKONI_MAKRO_apr23.xlsx" TargetMode="Externa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file:///C:\Users\sara.radulovic\Desktop\Fiskalna%202023%20desktop\GRAFIKONI_MAKRO_apr23%205.5.xlsx"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file:///C:\Users\sara.radulovic\Desktop\Fiskalna%202023%20desktop\GRAFIKONI_MAKRO_apr23%205.5.xlsx"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C:\Users\jovana.djeric\Dropbox\Makro%20sektor\6.%20Fiskalna%202024-2026\Makro%20radni%20fajlovi\GRAFIKONI_MAKRO_apr23.xlsx"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C:\Users\jovana.djeric\Dropbox\Makro%20sektor\6.%20Fiskalna%202024-2026\Makro%20radni%20fajlovi\GRAFIKONI_MAKRO_apr23.xlsx"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C:\Users\jovana.djeric\Dropbox\Makro%20sektor\6.%20Fiskalna%202024-2026\Makro%20radni%20fajlovi\GRAFIKONI_MAKRO_apr23.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C:\Users\jovana.djeric\Dropbox\Makro%20sektor\6.%20Fiskalna%202024-2026\Makro%20radni%20fajlovi\GRAFIKONI_MAKRO_apr23.xlsx"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jovana.djeric\Dropbox\Makro%20sektor\6.%20Fiskalna%202024-2026\Makro%20radni%20fajlovi\GRAFIKONI_MAKRO_apr23.xlsx" TargetMode="Externa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C:\Users\jovana.djeric\Dropbox\Makro%20sektor\6.%20Fiskalna%202024-2026\Makro%20radni%20fajlovi\GRAFIKONI_MAKRO_apr23.xlsx" TargetMode="Externa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jovana.djeric\Dropbox\Makro%20sektor\6.%20Fiskalna%202024-2026\Makro%20radni%20fajlovi\GRAFIKONI_MAKRO_apr23.xlsx" TargetMode="Externa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oleObject" Target="file:///C:\Users\jovana.djeric\Dropbox\Makro%20sektor\6.%20Fiskalna%202024-2026\Makro%20radni%20fajlovi\GRAFIKONI_MAKRO_apr23.xlsx" TargetMode="Externa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oleObject" Target="file:///C:\Users\jovana.djeric\Dropbox\Makro%20sektor\6.%20Fiskalna%202024-2026\Makro%20radni%20fajlovi\GRAFIKONI_MAKRO_apr23.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oleObject" Target="file:///C:\Users\jovana.djeric\Dropbox\Makro%20sektor\6.%20Fiskalna%202024-2026\Makro%20radni%20fajlovi\GRAFIKONI_MAKRO_apr23.xlsx" TargetMode="External"/></Relationships>
</file>

<file path=word/charts/_rels/chart29.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C:\Users\jovana.djeric\Dropbox\Makro%20sektor\6.%20Fiskalna%202024-2026\Makro%20radni%20fajlovi\GRAFIKONI_MAKRO_apr23.xlsx" TargetMode="Externa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oleObject" Target="file:///C:\Users\jovana.djeric\Dropbox\Makro%20sektor\6.%20Fiskalna%202024-2026\Makro%20radni%20fajlovi\GRAFIKONI_MAKRO_apr23.xlsx" TargetMode="Externa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oleObject" Target="file:///C:\Users\jovana.djeric\Dropbox\Makro%20sektor\6.%20Fiskalna%202024-2026\Makro%20radni%20fajlovi\GRAFIKONI_MAKRO_apr23.xlsx" TargetMode="Externa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oleObject" Target="file:///C:\Users\jovana.djeric\Dropbox\Makro%20sektor\6.%20Fiskalna%202024-2026\Makro%20radni%20fajlovi\GRAFIKONI_MAKRO_apr23.xlsx" TargetMode="External"/></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oleObject" Target="file:///C:\Users\jovana.djeric\Dropbox\Makro%20sektor\6.%20Fiskalna%202024-2026\Makro%20radni%20fajlovi\GRAFIKONI_MAKRO_apr23.xlsx" TargetMode="Externa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oleObject" Target="file:///C:\Users\jovana.djeric\Dropbox\Makro%20sektor\6.%20Fiskalna%202024-2026\Makro%20radni%20fajlovi\GRAFIKONI_MAKRO_apr23.xlsx" TargetMode="Externa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oleObject" Target="file:///C:\Users\jovana.djeric\Dropbox\Makro%20sektor\6.%20Fiskalna%202024-2026\Makro%20radni%20fajlovi\GRAFIKONI_MAKRO_apr23.xlsx" TargetMode="Externa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32.xml"/><Relationship Id="rId1" Type="http://schemas.microsoft.com/office/2011/relationships/chartStyle" Target="style32.xml"/><Relationship Id="rId5" Type="http://schemas.openxmlformats.org/officeDocument/2006/relationships/chartUserShapes" Target="../drawings/drawing12.xml"/><Relationship Id="rId4" Type="http://schemas.openxmlformats.org/officeDocument/2006/relationships/oleObject" Target="file:///C:\Users\rade.ciric\Dropbox\Makro%20sektor\6.%20Fiskalna%202024-2026\Makro%20radni%20fajlovi\GRAFIKONI_MAKRO_apr23.xlsx" TargetMode="External"/></Relationships>
</file>

<file path=word/charts/_rels/chart37.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33.xml"/><Relationship Id="rId1" Type="http://schemas.microsoft.com/office/2011/relationships/chartStyle" Target="style33.xml"/><Relationship Id="rId5" Type="http://schemas.openxmlformats.org/officeDocument/2006/relationships/chartUserShapes" Target="../drawings/drawing13.xml"/><Relationship Id="rId4" Type="http://schemas.openxmlformats.org/officeDocument/2006/relationships/oleObject" Target="file:///C:\Users\sara.radulovic\Dropbox\Makro%20sektor\6.%20Fiskalna%202024-2026\Makro%20radni%20fajlovi\GRAFIKONI_MAKRO_apr23.xlsx" TargetMode="External"/></Relationships>
</file>

<file path=word/charts/_rels/chart38.xml.rels><?xml version="1.0" encoding="UTF-8" standalone="yes"?>
<Relationships xmlns="http://schemas.openxmlformats.org/package/2006/relationships"><Relationship Id="rId3" Type="http://schemas.openxmlformats.org/officeDocument/2006/relationships/themeOverride" Target="../theme/themeOverride25.xml"/><Relationship Id="rId2" Type="http://schemas.microsoft.com/office/2011/relationships/chartColorStyle" Target="colors34.xml"/><Relationship Id="rId1" Type="http://schemas.microsoft.com/office/2011/relationships/chartStyle" Target="style34.xml"/><Relationship Id="rId5" Type="http://schemas.openxmlformats.org/officeDocument/2006/relationships/chartUserShapes" Target="../drawings/drawing14.xml"/><Relationship Id="rId4" Type="http://schemas.openxmlformats.org/officeDocument/2006/relationships/oleObject" Target="file:///C:\Users\sara.radulovic\Dropbox\Makro%20sektor\6.%20Fiskalna%202024-2026\Makro%20radni%20fajlovi\GRAFIKONI_MAKRO_apr23.xlsx" TargetMode="External"/></Relationships>
</file>

<file path=word/charts/_rels/chart39.xml.rels><?xml version="1.0" encoding="UTF-8" standalone="yes"?>
<Relationships xmlns="http://schemas.openxmlformats.org/package/2006/relationships"><Relationship Id="rId2" Type="http://schemas.openxmlformats.org/officeDocument/2006/relationships/oleObject" Target="file:///C:\Users\rade.ciric\Dropbox\Makro%20sektor\6.%20Fiskalna%202024-2026\Makro%20radni%20fajlovi\GRAFIKONI_MAKRO_apr23.xlsx" TargetMode="External"/><Relationship Id="rId1" Type="http://schemas.openxmlformats.org/officeDocument/2006/relationships/themeOverride" Target="../theme/themeOverride26.xm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35.xml"/><Relationship Id="rId1" Type="http://schemas.microsoft.com/office/2011/relationships/chartStyle" Target="style35.xml"/><Relationship Id="rId5" Type="http://schemas.openxmlformats.org/officeDocument/2006/relationships/chartUserShapes" Target="../drawings/drawing15.xml"/><Relationship Id="rId4" Type="http://schemas.openxmlformats.org/officeDocument/2006/relationships/oleObject" Target="file:///C:\Users\rade.ciric\Dropbox\Makro%20sektor\6.%20Fiskalna%202024-2026\Makro%20radni%20fajlovi\GRAFIKONI_MAKRO_apr23.xlsx" TargetMode="External"/></Relationships>
</file>

<file path=word/charts/_rels/chart41.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file:///C:\Users\jovana.djeric\Dropbox\Makro%20sektor\6.%20Fiskalna%202024-2026\Makro%20radni%20fajlovi\GRAFIKONI_MAKRO_apr23.xlsx" TargetMode="External"/><Relationship Id="rId1" Type="http://schemas.openxmlformats.org/officeDocument/2006/relationships/themeOverride" Target="../theme/themeOverride28.xml"/></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36.xml"/><Relationship Id="rId1" Type="http://schemas.microsoft.com/office/2011/relationships/chartStyle" Target="style36.xml"/><Relationship Id="rId4" Type="http://schemas.openxmlformats.org/officeDocument/2006/relationships/oleObject" Target="file:///F:\POSAO\GRAFIKONI_MAKRO_apr23.xlsx" TargetMode="External"/></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37.xml"/><Relationship Id="rId1" Type="http://schemas.microsoft.com/office/2011/relationships/chartStyle" Target="style37.xml"/><Relationship Id="rId4" Type="http://schemas.openxmlformats.org/officeDocument/2006/relationships/oleObject" Target="file:///F:\POSAO\GRAFIKONI_MAKRO_apr23.xlsx" TargetMode="External"/></Relationships>
</file>

<file path=word/charts/_rels/chart44.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38.xml"/><Relationship Id="rId1" Type="http://schemas.microsoft.com/office/2011/relationships/chartStyle" Target="style38.xml"/><Relationship Id="rId4" Type="http://schemas.openxmlformats.org/officeDocument/2006/relationships/oleObject" Target="file:///F:\POSAO\GRAFIKONI_MAKRO_apr23.xlsx" TargetMode="External"/></Relationships>
</file>

<file path=word/charts/_rels/chart45.xml.rels><?xml version="1.0" encoding="UTF-8" standalone="yes"?>
<Relationships xmlns="http://schemas.openxmlformats.org/package/2006/relationships"><Relationship Id="rId3" Type="http://schemas.openxmlformats.org/officeDocument/2006/relationships/themeOverride" Target="../theme/themeOverride32.xml"/><Relationship Id="rId2" Type="http://schemas.microsoft.com/office/2011/relationships/chartColorStyle" Target="colors39.xml"/><Relationship Id="rId1" Type="http://schemas.microsoft.com/office/2011/relationships/chartStyle" Target="style39.xml"/><Relationship Id="rId5" Type="http://schemas.openxmlformats.org/officeDocument/2006/relationships/chartUserShapes" Target="../drawings/drawing17.xml"/><Relationship Id="rId4" Type="http://schemas.openxmlformats.org/officeDocument/2006/relationships/oleObject" Target="file:///C:\Users\jovana.djeric\Dropbox\Makro%20sektor\6.%20Fiskalna%202024-2026\Makro%20radni%20fajlovi\GRAFIKONI_MAKRO_apr23.xlsx" TargetMode="External"/></Relationships>
</file>

<file path=word/charts/_rels/chart46.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40.xml"/><Relationship Id="rId1" Type="http://schemas.microsoft.com/office/2011/relationships/chartStyle" Target="style40.xml"/><Relationship Id="rId5" Type="http://schemas.openxmlformats.org/officeDocument/2006/relationships/chartUserShapes" Target="../drawings/drawing18.xml"/><Relationship Id="rId4" Type="http://schemas.openxmlformats.org/officeDocument/2006/relationships/oleObject" Target="file:///F:\POSAO\GRAFIKONI_MAKRO_apr23.xlsx" TargetMode="External"/></Relationships>
</file>

<file path=word/charts/_rels/chart47.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41.xml"/><Relationship Id="rId1" Type="http://schemas.microsoft.com/office/2011/relationships/chartStyle" Target="style41.xml"/><Relationship Id="rId4" Type="http://schemas.openxmlformats.org/officeDocument/2006/relationships/oleObject" Target="file:///C:\Users\milos.gligorijevic\Dropbox\Dropbox\Makro%20sektor\6.%20Fiskalna%202024-2026\Makro%20radni%20fajlovi\GRAFIKONI_MAKRO_apr23.xlsx" TargetMode="External"/></Relationships>
</file>

<file path=word/charts/_rels/chart48.xml.rels><?xml version="1.0" encoding="UTF-8" standalone="yes"?>
<Relationships xmlns="http://schemas.openxmlformats.org/package/2006/relationships"><Relationship Id="rId2" Type="http://schemas.openxmlformats.org/officeDocument/2006/relationships/oleObject" Target="file:///C:\Users\milos.gligorijevic\Dropbox\Dropbox\Makro%20sektor\6.%20Fiskalna%202024-2026\Makro%20radni%20fajlovi\GRAFIKONI_MAKRO_apr23.xlsx" TargetMode="External"/><Relationship Id="rId1" Type="http://schemas.openxmlformats.org/officeDocument/2006/relationships/themeOverride" Target="../theme/themeOverride35.xml"/></Relationships>
</file>

<file path=word/charts/_rels/chart49.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42.xml"/><Relationship Id="rId1" Type="http://schemas.microsoft.com/office/2011/relationships/chartStyle" Target="style42.xml"/><Relationship Id="rId5" Type="http://schemas.openxmlformats.org/officeDocument/2006/relationships/chartUserShapes" Target="../drawings/drawing19.xml"/><Relationship Id="rId4" Type="http://schemas.openxmlformats.org/officeDocument/2006/relationships/oleObject" Target="file:///C:\Users\milos.gligorijevic\Dropbox\Dropbox\Makro%20sektor\6.%20Fiskalna%202024-2026\Makro%20radni%20fajlovi\GRAFIKONI_MAKRO_apr23.xlsx" TargetMode="External"/></Relationships>
</file>

<file path=word/charts/_rels/chart50.xml.rels><?xml version="1.0" encoding="UTF-8" standalone="yes"?>
<Relationships xmlns="http://schemas.openxmlformats.org/package/2006/relationships"><Relationship Id="rId3" Type="http://schemas.openxmlformats.org/officeDocument/2006/relationships/themeOverride" Target="../theme/themeOverride37.xml"/><Relationship Id="rId2" Type="http://schemas.microsoft.com/office/2011/relationships/chartColorStyle" Target="colors43.xml"/><Relationship Id="rId1" Type="http://schemas.microsoft.com/office/2011/relationships/chartStyle" Target="style43.xml"/><Relationship Id="rId5" Type="http://schemas.openxmlformats.org/officeDocument/2006/relationships/chartUserShapes" Target="../drawings/drawing20.xml"/><Relationship Id="rId4" Type="http://schemas.openxmlformats.org/officeDocument/2006/relationships/oleObject" Target="file:///C:\Users\milos.gligorijevic\Dropbox\Dropbox\Makro%20sektor\6.%20Fiskalna%202024-2026\Makro%20radni%20fajlovi\GRAFIKONI_MAKRO_apr23.xlsx" TargetMode="External"/></Relationships>
</file>

<file path=word/charts/_rels/chart51.xml.rels><?xml version="1.0" encoding="UTF-8" standalone="yes"?>
<Relationships xmlns="http://schemas.openxmlformats.org/package/2006/relationships"><Relationship Id="rId3" Type="http://schemas.openxmlformats.org/officeDocument/2006/relationships/oleObject" Target="file:///C:\Users\vladimir.malbasic\Desktop\Novi%20RFZO%20Za%20bazu-%20GFS,%20SS%20bs%20,%20MMF%20table\GFS%20CONSOLIDATION_za%20analizu%20radni%20fajl-2080mq1.xlsx" TargetMode="External"/><Relationship Id="rId2" Type="http://schemas.microsoft.com/office/2011/relationships/chartColorStyle" Target="colors44.xml"/><Relationship Id="rId1" Type="http://schemas.microsoft.com/office/2011/relationships/chartStyle" Target="style44.xml"/></Relationships>
</file>

<file path=word/charts/_rels/chart52.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45.xml"/><Relationship Id="rId1" Type="http://schemas.microsoft.com/office/2011/relationships/chartStyle" Target="style45.xml"/><Relationship Id="rId4" Type="http://schemas.openxmlformats.org/officeDocument/2006/relationships/oleObject" Target="file:///C:\Users\Jovana\Desktop\pom%20brr\FS\S0_manji%20fajl\S0%202022.xlsx" TargetMode="External"/></Relationships>
</file>

<file path=word/charts/_rels/chart53.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46.xml"/><Relationship Id="rId1" Type="http://schemas.microsoft.com/office/2011/relationships/chartStyle" Target="style46.xml"/><Relationship Id="rId5" Type="http://schemas.openxmlformats.org/officeDocument/2006/relationships/chartUserShapes" Target="../drawings/drawing21.xml"/><Relationship Id="rId4" Type="http://schemas.openxmlformats.org/officeDocument/2006/relationships/oleObject" Target="file:///C:\Users\Jovana\Desktop\pom%20brr\FS\S0_manji%20fajl\S0%202022.xlsx" TargetMode="External"/></Relationships>
</file>

<file path=word/charts/_rels/chart54.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47.xml"/><Relationship Id="rId1" Type="http://schemas.microsoft.com/office/2011/relationships/chartStyle" Target="style47.xml"/><Relationship Id="rId5" Type="http://schemas.openxmlformats.org/officeDocument/2006/relationships/chartUserShapes" Target="../drawings/drawing22.xml"/><Relationship Id="rId4" Type="http://schemas.openxmlformats.org/officeDocument/2006/relationships/oleObject" Target="file:///C:\Users\Jovana\Desktop\pom%20brr\FS\S0_manji%20fajl\S0%202022.xlsx" TargetMode="External"/></Relationships>
</file>

<file path=word/charts/_rels/chart55.xml.rels><?xml version="1.0" encoding="UTF-8" standalone="yes"?>
<Relationships xmlns="http://schemas.openxmlformats.org/package/2006/relationships"><Relationship Id="rId2" Type="http://schemas.openxmlformats.org/officeDocument/2006/relationships/chartUserShapes" Target="../drawings/drawing23.xml"/><Relationship Id="rId1" Type="http://schemas.openxmlformats.org/officeDocument/2006/relationships/oleObject" Target="file:///C:\Users\ognjen.jancic\Dropbox\Makro%20sektor\6.%20Fiskalna%202024-2026\Fiskal%20radni%20fajlovi\ognjen%20fajlovi\za%20grafikone%20def,dug%20baseline%20i%20sa%20merama.xlsx" TargetMode="External"/></Relationships>
</file>

<file path=word/charts/_rels/chart56.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48.xml"/><Relationship Id="rId1" Type="http://schemas.microsoft.com/office/2011/relationships/chartStyle" Target="style48.xml"/></Relationships>
</file>

<file path=word/charts/_rels/chart57.xml.rels><?xml version="1.0" encoding="UTF-8" standalone="yes"?>
<Relationships xmlns="http://schemas.openxmlformats.org/package/2006/relationships"><Relationship Id="rId3" Type="http://schemas.openxmlformats.org/officeDocument/2006/relationships/oleObject" Target="file:///C:\Users\vladimir.malbasic\Dropbox\Makro%20sektor\6.%20Fiskalna%202024-2026\Fiskal%20radni%20fajlovi\Grafikoni%20ciklicnog%20deficita,%20poreske%20elasticnosti%20i%20osetljivost%20balansa%20rev%20februar%202023,%20izvrsenje%202022.xlsx" TargetMode="External"/><Relationship Id="rId2" Type="http://schemas.microsoft.com/office/2011/relationships/chartColorStyle" Target="colors49.xml"/><Relationship Id="rId1" Type="http://schemas.microsoft.com/office/2011/relationships/chartStyle" Target="style49.xml"/><Relationship Id="rId4" Type="http://schemas.openxmlformats.org/officeDocument/2006/relationships/chartUserShapes" Target="../drawings/drawing24.xml"/></Relationships>
</file>

<file path=word/charts/_rels/chart58.xml.rels><?xml version="1.0" encoding="UTF-8" standalone="yes"?>
<Relationships xmlns="http://schemas.openxmlformats.org/package/2006/relationships"><Relationship Id="rId3" Type="http://schemas.openxmlformats.org/officeDocument/2006/relationships/oleObject" Target="file:///C:\Users\vladimir.malbasic\Dropbox\Makro%20sektor\6.%20Fiskalna%202024-2026\Fiskal%20radni%20fajlovi\Grafikoni%20ciklicnog%20deficita,%20poreske%20elasticnosti%20i%20osetljivost%20balansa%20rev%20februar%202023,%20izvrsenje%202022.xlsx" TargetMode="External"/><Relationship Id="rId2" Type="http://schemas.microsoft.com/office/2011/relationships/chartColorStyle" Target="colors50.xml"/><Relationship Id="rId1" Type="http://schemas.microsoft.com/office/2011/relationships/chartStyle" Target="style50.xml"/><Relationship Id="rId4" Type="http://schemas.openxmlformats.org/officeDocument/2006/relationships/chartUserShapes" Target="../drawings/drawing25.xml"/></Relationships>
</file>

<file path=word/charts/_rels/chart59.xml.rels><?xml version="1.0" encoding="UTF-8" standalone="yes"?>
<Relationships xmlns="http://schemas.openxmlformats.org/package/2006/relationships"><Relationship Id="rId3" Type="http://schemas.openxmlformats.org/officeDocument/2006/relationships/chartUserShapes" Target="../drawings/drawing26.xml"/><Relationship Id="rId2" Type="http://schemas.openxmlformats.org/officeDocument/2006/relationships/oleObject" Target="file:///C:\Users\vladimir.malbasic\Dropbox\Makro%20sektor\6.%20Fiskalna%202024-2026\Fiskal%20radni%20fajlovi\Grafikoni%20ciklicnog%20deficita,%20poreske%20elasticnosti%20i%20osetljivost%20balansa%20rev%20februar%202023,%20izvrsenje%202022.xlsx" TargetMode="External"/><Relationship Id="rId1" Type="http://schemas.openxmlformats.org/officeDocument/2006/relationships/themeOverride" Target="../theme/themeOverride41.xml"/></Relationships>
</file>

<file path=word/charts/_rels/chart60.xml.rels><?xml version="1.0" encoding="UTF-8" standalone="yes"?>
<Relationships xmlns="http://schemas.openxmlformats.org/package/2006/relationships"><Relationship Id="rId3" Type="http://schemas.openxmlformats.org/officeDocument/2006/relationships/oleObject" Target="file:///C:\Users\vladimir.malbasic\Dropbox\Makro%20sektor\6.%20Fiskalna%202024-2026\Fiskal%20radni%20fajlovi\Scenarija%20javni%20dug%20fiskalno%20prilagodjavanje.xlsx" TargetMode="External"/><Relationship Id="rId2" Type="http://schemas.microsoft.com/office/2011/relationships/chartColorStyle" Target="colors51.xml"/><Relationship Id="rId1" Type="http://schemas.microsoft.com/office/2011/relationships/chartStyle" Target="style51.xml"/></Relationships>
</file>

<file path=word/charts/_rels/chart61.xml.rels><?xml version="1.0" encoding="UTF-8" standalone="yes"?>
<Relationships xmlns="http://schemas.openxmlformats.org/package/2006/relationships"><Relationship Id="rId3" Type="http://schemas.openxmlformats.org/officeDocument/2006/relationships/oleObject" Target="file:///C:\Users\vladimir.malbasic\Desktop\Novi%20RFZO%20Za%20bazu-%20GFS,%20SS%20bs%20,%20MMF%20table\GFS%20CONSOLIDATION_za%20analizu%20radni%20fajl-2080mq1.xlsx" TargetMode="External"/><Relationship Id="rId2" Type="http://schemas.microsoft.com/office/2011/relationships/chartColorStyle" Target="colors52.xml"/><Relationship Id="rId1" Type="http://schemas.microsoft.com/office/2011/relationships/chartStyle" Target="style52.xml"/></Relationships>
</file>

<file path=word/charts/_rels/chart62.xml.rels><?xml version="1.0" encoding="UTF-8" standalone="yes"?>
<Relationships xmlns="http://schemas.openxmlformats.org/package/2006/relationships"><Relationship Id="rId3" Type="http://schemas.openxmlformats.org/officeDocument/2006/relationships/oleObject" Target="file:///C:\Users\vladimir.malbasic\Dropbox\Makro%20sektor\6.%20Fiskalna%202024-2026\Fiskal%20radni%20fajlovi\Scenarija%20javni%20dug%20fiskalno%20prilagodjavanje.xlsx" TargetMode="External"/><Relationship Id="rId2" Type="http://schemas.microsoft.com/office/2011/relationships/chartColorStyle" Target="colors53.xml"/><Relationship Id="rId1" Type="http://schemas.microsoft.com/office/2011/relationships/chartStyle" Target="style53.xml"/><Relationship Id="rId4" Type="http://schemas.openxmlformats.org/officeDocument/2006/relationships/chartUserShapes" Target="../drawings/drawing27.xml"/></Relationships>
</file>

<file path=word/charts/_rels/chart63.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42.xml"/></Relationships>
</file>

<file path=word/charts/_rels/chart64.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43.xml"/></Relationships>
</file>

<file path=word/charts/_rels/chart65.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4.xml"/></Relationships>
</file>

<file path=word/charts/_rels/chart66.xml.rels><?xml version="1.0" encoding="UTF-8" standalone="yes"?>
<Relationships xmlns="http://schemas.openxmlformats.org/package/2006/relationships"><Relationship Id="rId2" Type="http://schemas.openxmlformats.org/officeDocument/2006/relationships/oleObject" Target="file:///C:\Users\Milena\Desktop\MTDS%202024%20final%203.xlsm" TargetMode="External"/><Relationship Id="rId1" Type="http://schemas.openxmlformats.org/officeDocument/2006/relationships/themeOverride" Target="../theme/themeOverride45.xml"/></Relationships>
</file>

<file path=word/charts/_rels/chart67.xml.rels><?xml version="1.0" encoding="UTF-8" standalone="yes"?>
<Relationships xmlns="http://schemas.openxmlformats.org/package/2006/relationships"><Relationship Id="rId1" Type="http://schemas.openxmlformats.org/officeDocument/2006/relationships/oleObject" Target="file:///C:\Users\Milena\Desktop\MTDS%202024%20final%203.xlsm" TargetMode="External"/></Relationships>
</file>

<file path=word/charts/_rels/chart68.xml.rels><?xml version="1.0" encoding="UTF-8" standalone="yes"?>
<Relationships xmlns="http://schemas.openxmlformats.org/package/2006/relationships"><Relationship Id="rId3" Type="http://schemas.openxmlformats.org/officeDocument/2006/relationships/oleObject" Target="file:///C:\Users\Oliver%20Mini&#263;\Desktop\REVIDIRANA%20STRATEGIJA%202023-2025\STRAT20233-2025.xlsx" TargetMode="External"/><Relationship Id="rId2" Type="http://schemas.microsoft.com/office/2011/relationships/chartColorStyle" Target="colors54.xml"/><Relationship Id="rId1" Type="http://schemas.microsoft.com/office/2011/relationships/chartStyle" Target="style5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r>
              <a:rPr lang="sr-Cyrl-RS" sz="800">
                <a:solidFill>
                  <a:schemeClr val="tx2"/>
                </a:solidFill>
                <a:latin typeface="+mn-lt"/>
              </a:rPr>
              <a:t>Раст БДП у Немачкој, %</a:t>
            </a:r>
          </a:p>
        </c:rich>
      </c:tx>
      <c:layout>
        <c:manualLayout>
          <c:xMode val="edge"/>
          <c:yMode val="edge"/>
          <c:x val="0.3266378600823045"/>
          <c:y val="2.1166666666666667E-2"/>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857688888888889"/>
          <c:w val="0.88876071125802292"/>
          <c:h val="0.69037833333333332"/>
        </c:manualLayout>
      </c:layout>
      <c:lineChart>
        <c:grouping val="standard"/>
        <c:varyColors val="0"/>
        <c:ser>
          <c:idx val="0"/>
          <c:order val="0"/>
          <c:tx>
            <c:strRef>
              <c:f>'Nemacka, Italija, realni rast'!$A$13</c:f>
              <c:strCache>
                <c:ptCount val="1"/>
                <c:pt idx="0">
                  <c:v>апр. 2022.</c:v>
                </c:pt>
              </c:strCache>
            </c:strRef>
          </c:tx>
          <c:spPr>
            <a:ln w="25400" cap="rnd">
              <a:solidFill>
                <a:schemeClr val="accent4"/>
              </a:solidFill>
              <a:prstDash val="sysDot"/>
              <a:round/>
            </a:ln>
            <a:effectLst/>
          </c:spPr>
          <c:marker>
            <c:symbol val="none"/>
          </c:marker>
          <c:dLbls>
            <c:dLbl>
              <c:idx val="1"/>
              <c:layout>
                <c:manualLayout>
                  <c:x val="-5.9803559237176278E-2"/>
                  <c:y val="-4.65153920162273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953-4E37-B837-B162452502C7}"/>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2022</c:v>
                </c:pt>
                <c:pt idx="1">
                  <c:v>2023</c:v>
                </c:pt>
                <c:pt idx="2">
                  <c:v>2024</c:v>
                </c:pt>
              </c:numCache>
            </c:numRef>
          </c:cat>
          <c:val>
            <c:numRef>
              <c:f>'Nemacka, Italija, realni rast'!$D$13:$F$13</c:f>
              <c:numCache>
                <c:formatCode>#.#00</c:formatCode>
                <c:ptCount val="3"/>
                <c:pt idx="0">
                  <c:v>2.101</c:v>
                </c:pt>
                <c:pt idx="1">
                  <c:v>2.7210000000000001</c:v>
                </c:pt>
                <c:pt idx="2">
                  <c:v>1.4910000000000001</c:v>
                </c:pt>
              </c:numCache>
            </c:numRef>
          </c:val>
          <c:smooth val="0"/>
          <c:extLst>
            <c:ext xmlns:c16="http://schemas.microsoft.com/office/drawing/2014/chart" uri="{C3380CC4-5D6E-409C-BE32-E72D297353CC}">
              <c16:uniqueId val="{00000000-F2F1-4042-9E1F-9EF0A5EA0569}"/>
            </c:ext>
          </c:extLst>
        </c:ser>
        <c:ser>
          <c:idx val="1"/>
          <c:order val="1"/>
          <c:tx>
            <c:strRef>
              <c:f>'Nemacka, Italija, realni rast'!$A$14</c:f>
              <c:strCache>
                <c:ptCount val="1"/>
                <c:pt idx="0">
                  <c:v>окт. 2022.</c:v>
                </c:pt>
              </c:strCache>
            </c:strRef>
          </c:tx>
          <c:spPr>
            <a:ln w="22225" cap="rnd">
              <a:solidFill>
                <a:srgbClr val="002060"/>
              </a:solidFill>
              <a:prstDash val="sysDash"/>
              <a:round/>
            </a:ln>
            <a:effectLst/>
          </c:spPr>
          <c:marker>
            <c:symbol val="none"/>
          </c:marker>
          <c:dLbls>
            <c:dLbl>
              <c:idx val="0"/>
              <c:dLblPos val="l"/>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2F1-4042-9E1F-9EF0A5EA0569}"/>
                </c:ext>
              </c:extLst>
            </c:dLbl>
            <c:dLbl>
              <c:idx val="1"/>
              <c:layout>
                <c:manualLayout>
                  <c:x val="-6.0138910381867007E-2"/>
                  <c:y val="6.01419097421982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2F1-4042-9E1F-9EF0A5EA0569}"/>
                </c:ext>
              </c:extLst>
            </c:dLbl>
            <c:dLbl>
              <c:idx val="2"/>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2F1-4042-9E1F-9EF0A5EA0569}"/>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2022</c:v>
                </c:pt>
                <c:pt idx="1">
                  <c:v>2023</c:v>
                </c:pt>
                <c:pt idx="2">
                  <c:v>2024</c:v>
                </c:pt>
              </c:numCache>
            </c:numRef>
          </c:cat>
          <c:val>
            <c:numRef>
              <c:f>'Nemacka, Italija, realni rast'!$D$14:$F$14</c:f>
              <c:numCache>
                <c:formatCode>#.#00</c:formatCode>
                <c:ptCount val="3"/>
                <c:pt idx="0">
                  <c:v>1.5469999999999999</c:v>
                </c:pt>
                <c:pt idx="1">
                  <c:v>-0.29399999999999998</c:v>
                </c:pt>
                <c:pt idx="2">
                  <c:v>1.5029999999999999</c:v>
                </c:pt>
              </c:numCache>
            </c:numRef>
          </c:val>
          <c:smooth val="0"/>
          <c:extLst>
            <c:ext xmlns:c16="http://schemas.microsoft.com/office/drawing/2014/chart" uri="{C3380CC4-5D6E-409C-BE32-E72D297353CC}">
              <c16:uniqueId val="{00000003-F2F1-4042-9E1F-9EF0A5EA0569}"/>
            </c:ext>
          </c:extLst>
        </c:ser>
        <c:ser>
          <c:idx val="2"/>
          <c:order val="2"/>
          <c:tx>
            <c:strRef>
              <c:f>'Nemacka, Italija, realni rast'!$A$15</c:f>
              <c:strCache>
                <c:ptCount val="1"/>
                <c:pt idx="0">
                  <c:v>апр. 2023.</c:v>
                </c:pt>
              </c:strCache>
            </c:strRef>
          </c:tx>
          <c:spPr>
            <a:ln w="28575" cap="rnd">
              <a:solidFill>
                <a:srgbClr val="FF0000"/>
              </a:solidFill>
              <a:round/>
            </a:ln>
            <a:effectLst/>
          </c:spPr>
          <c:marker>
            <c:symbol val="circle"/>
            <c:size val="13"/>
            <c:spPr>
              <a:solidFill>
                <a:srgbClr val="FF0000"/>
              </a:solidFill>
              <a:ln w="9525">
                <a:noFill/>
              </a:ln>
              <a:effectLst/>
            </c:spPr>
          </c:marker>
          <c:dLbls>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2022</c:v>
                </c:pt>
                <c:pt idx="1">
                  <c:v>2023</c:v>
                </c:pt>
                <c:pt idx="2">
                  <c:v>2024</c:v>
                </c:pt>
              </c:numCache>
            </c:numRef>
          </c:cat>
          <c:val>
            <c:numRef>
              <c:f>'Nemacka, Italija, realni rast'!$D$15:$F$15</c:f>
              <c:numCache>
                <c:formatCode>#.#00</c:formatCode>
                <c:ptCount val="3"/>
                <c:pt idx="0">
                  <c:v>1.778</c:v>
                </c:pt>
                <c:pt idx="1">
                  <c:v>-0.109</c:v>
                </c:pt>
                <c:pt idx="2">
                  <c:v>1.0980000000000001</c:v>
                </c:pt>
              </c:numCache>
            </c:numRef>
          </c:val>
          <c:smooth val="0"/>
          <c:extLst>
            <c:ext xmlns:c16="http://schemas.microsoft.com/office/drawing/2014/chart" uri="{C3380CC4-5D6E-409C-BE32-E72D297353CC}">
              <c16:uniqueId val="{00000004-F2F1-4042-9E1F-9EF0A5EA0569}"/>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r>
              <a:rPr lang="sr-Cyrl-RS"/>
              <a:t>Раст БДП у Италији, %</a:t>
            </a:r>
          </a:p>
        </c:rich>
      </c:tx>
      <c:layout>
        <c:manualLayout>
          <c:xMode val="edge"/>
          <c:yMode val="edge"/>
          <c:x val="0.3266378600823045"/>
          <c:y val="2.1166666666666667E-2"/>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857688888888889"/>
          <c:w val="0.88876071125802292"/>
          <c:h val="0.69037833333333332"/>
        </c:manualLayout>
      </c:layout>
      <c:lineChart>
        <c:grouping val="standard"/>
        <c:varyColors val="0"/>
        <c:ser>
          <c:idx val="0"/>
          <c:order val="0"/>
          <c:tx>
            <c:strRef>
              <c:f>'Nemacka, Italija, realni rast'!$A$20</c:f>
              <c:strCache>
                <c:ptCount val="1"/>
                <c:pt idx="0">
                  <c:v>апр. 2022.</c:v>
                </c:pt>
              </c:strCache>
            </c:strRef>
          </c:tx>
          <c:spPr>
            <a:ln w="25400" cap="rnd">
              <a:solidFill>
                <a:schemeClr val="accent4"/>
              </a:solidFill>
              <a:prstDash val="sysDot"/>
              <a:round/>
            </a:ln>
            <a:effectLst/>
          </c:spPr>
          <c:marker>
            <c:symbol val="none"/>
          </c:marker>
          <c:dLbls>
            <c:dLbl>
              <c:idx val="0"/>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FDD-43F6-8ECB-0BC6C8F6AC4B}"/>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2022</c:v>
                </c:pt>
                <c:pt idx="1">
                  <c:v>2023</c:v>
                </c:pt>
                <c:pt idx="2">
                  <c:v>2024</c:v>
                </c:pt>
              </c:numCache>
            </c:numRef>
          </c:cat>
          <c:val>
            <c:numRef>
              <c:f>'Nemacka, Italija, realni rast'!$D$20:$F$20</c:f>
              <c:numCache>
                <c:formatCode>#.#00</c:formatCode>
                <c:ptCount val="3"/>
                <c:pt idx="0">
                  <c:v>2.274</c:v>
                </c:pt>
                <c:pt idx="1">
                  <c:v>1.663</c:v>
                </c:pt>
                <c:pt idx="2">
                  <c:v>1.25</c:v>
                </c:pt>
              </c:numCache>
            </c:numRef>
          </c:val>
          <c:smooth val="0"/>
          <c:extLst>
            <c:ext xmlns:c16="http://schemas.microsoft.com/office/drawing/2014/chart" uri="{C3380CC4-5D6E-409C-BE32-E72D297353CC}">
              <c16:uniqueId val="{00000001-AFDD-43F6-8ECB-0BC6C8F6AC4B}"/>
            </c:ext>
          </c:extLst>
        </c:ser>
        <c:ser>
          <c:idx val="1"/>
          <c:order val="1"/>
          <c:tx>
            <c:strRef>
              <c:f>'Nemacka, Italija, realni rast'!$A$21</c:f>
              <c:strCache>
                <c:ptCount val="1"/>
                <c:pt idx="0">
                  <c:v>окт. 2022.</c:v>
                </c:pt>
              </c:strCache>
            </c:strRef>
          </c:tx>
          <c:spPr>
            <a:ln w="22225" cap="rnd">
              <a:solidFill>
                <a:srgbClr val="002060"/>
              </a:solidFill>
              <a:prstDash val="sysDash"/>
              <a:round/>
            </a:ln>
            <a:effectLst/>
          </c:spPr>
          <c:marker>
            <c:symbol val="none"/>
          </c:marker>
          <c:dLbls>
            <c:dLbl>
              <c:idx val="0"/>
              <c:dLblPos val="l"/>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FDD-43F6-8ECB-0BC6C8F6AC4B}"/>
                </c:ext>
              </c:extLst>
            </c:dLbl>
            <c:dLbl>
              <c:idx val="2"/>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FDD-43F6-8ECB-0BC6C8F6AC4B}"/>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2022</c:v>
                </c:pt>
                <c:pt idx="1">
                  <c:v>2023</c:v>
                </c:pt>
                <c:pt idx="2">
                  <c:v>2024</c:v>
                </c:pt>
              </c:numCache>
            </c:numRef>
          </c:cat>
          <c:val>
            <c:numRef>
              <c:f>'Nemacka, Italija, realni rast'!$D$21:$F$21</c:f>
              <c:numCache>
                <c:formatCode>#.#00</c:formatCode>
                <c:ptCount val="3"/>
                <c:pt idx="0">
                  <c:v>3.161</c:v>
                </c:pt>
                <c:pt idx="1">
                  <c:v>-0.18099999999999999</c:v>
                </c:pt>
                <c:pt idx="2">
                  <c:v>1.337</c:v>
                </c:pt>
              </c:numCache>
            </c:numRef>
          </c:val>
          <c:smooth val="0"/>
          <c:extLst>
            <c:ext xmlns:c16="http://schemas.microsoft.com/office/drawing/2014/chart" uri="{C3380CC4-5D6E-409C-BE32-E72D297353CC}">
              <c16:uniqueId val="{00000004-AFDD-43F6-8ECB-0BC6C8F6AC4B}"/>
            </c:ext>
          </c:extLst>
        </c:ser>
        <c:ser>
          <c:idx val="2"/>
          <c:order val="2"/>
          <c:tx>
            <c:strRef>
              <c:f>'Nemacka, Italija, realni rast'!$A$22</c:f>
              <c:strCache>
                <c:ptCount val="1"/>
                <c:pt idx="0">
                  <c:v>апр. 2023.</c:v>
                </c:pt>
              </c:strCache>
            </c:strRef>
          </c:tx>
          <c:spPr>
            <a:ln w="28575" cap="rnd">
              <a:solidFill>
                <a:srgbClr val="FF0000"/>
              </a:solidFill>
              <a:round/>
            </a:ln>
            <a:effectLst/>
          </c:spPr>
          <c:marker>
            <c:symbol val="circle"/>
            <c:size val="13"/>
            <c:spPr>
              <a:solidFill>
                <a:srgbClr val="FF0000"/>
              </a:solidFill>
              <a:ln w="9525">
                <a:noFill/>
              </a:ln>
              <a:effectLst/>
            </c:spPr>
          </c:marker>
          <c:dLbls>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2022</c:v>
                </c:pt>
                <c:pt idx="1">
                  <c:v>2023</c:v>
                </c:pt>
                <c:pt idx="2">
                  <c:v>2024</c:v>
                </c:pt>
              </c:numCache>
            </c:numRef>
          </c:cat>
          <c:val>
            <c:numRef>
              <c:f>'Nemacka, Italija, realni rast'!$D$22:$F$22</c:f>
              <c:numCache>
                <c:formatCode>#.#00</c:formatCode>
                <c:ptCount val="3"/>
                <c:pt idx="0">
                  <c:v>3.6749999999999998</c:v>
                </c:pt>
                <c:pt idx="1">
                  <c:v>0.65200000000000002</c:v>
                </c:pt>
                <c:pt idx="2">
                  <c:v>0.78</c:v>
                </c:pt>
              </c:numCache>
            </c:numRef>
          </c:val>
          <c:smooth val="0"/>
          <c:extLst>
            <c:ext xmlns:c16="http://schemas.microsoft.com/office/drawing/2014/chart" uri="{C3380CC4-5D6E-409C-BE32-E72D297353CC}">
              <c16:uniqueId val="{00000005-AFDD-43F6-8ECB-0BC6C8F6AC4B}"/>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5979221347331585E-2"/>
          <c:y val="5.0925925925925923E-2"/>
          <c:w val="0.91179855643044616"/>
          <c:h val="0.55948245614035086"/>
        </c:manualLayout>
      </c:layout>
      <c:barChart>
        <c:barDir val="col"/>
        <c:grouping val="stacked"/>
        <c:varyColors val="0"/>
        <c:ser>
          <c:idx val="0"/>
          <c:order val="0"/>
          <c:tx>
            <c:strRef>
              <c:f>'WEO_ekon. rast'!$B$25</c:f>
              <c:strCache>
                <c:ptCount val="1"/>
                <c:pt idx="0">
                  <c:v>Развијене економије искључујући САД и ЕУ</c:v>
                </c:pt>
              </c:strCache>
            </c:strRef>
          </c:tx>
          <c:spPr>
            <a:solidFill>
              <a:srgbClr val="10103C"/>
            </a:solidFill>
            <a:ln>
              <a:noFill/>
            </a:ln>
            <a:effectLst/>
          </c:spPr>
          <c:invertIfNegative val="0"/>
          <c:cat>
            <c:numRef>
              <c:f>'WEO_ekon. rast'!$G$24:$N$24</c:f>
              <c:numCache>
                <c:formatCode>General</c:formatCode>
                <c:ptCount val="8"/>
                <c:pt idx="0">
                  <c:v>2019</c:v>
                </c:pt>
                <c:pt idx="1">
                  <c:v>2020</c:v>
                </c:pt>
                <c:pt idx="2">
                  <c:v>2021</c:v>
                </c:pt>
                <c:pt idx="3">
                  <c:v>2022</c:v>
                </c:pt>
                <c:pt idx="4">
                  <c:v>2023</c:v>
                </c:pt>
                <c:pt idx="5">
                  <c:v>2024</c:v>
                </c:pt>
                <c:pt idx="6">
                  <c:v>2025</c:v>
                </c:pt>
                <c:pt idx="7">
                  <c:v>2026</c:v>
                </c:pt>
              </c:numCache>
            </c:numRef>
          </c:cat>
          <c:val>
            <c:numRef>
              <c:f>'WEO_ekon. rast'!$G$25:$N$25</c:f>
              <c:numCache>
                <c:formatCode>#.000</c:formatCode>
                <c:ptCount val="8"/>
                <c:pt idx="0">
                  <c:v>8.3603670000000019E-2</c:v>
                </c:pt>
                <c:pt idx="1">
                  <c:v>-0.51410408999999979</c:v>
                </c:pt>
                <c:pt idx="2">
                  <c:v>0.52234550000000024</c:v>
                </c:pt>
                <c:pt idx="3">
                  <c:v>0.24235905000000008</c:v>
                </c:pt>
                <c:pt idx="4">
                  <c:v>0.16618256000000003</c:v>
                </c:pt>
                <c:pt idx="5">
                  <c:v>0.1600949900000001</c:v>
                </c:pt>
                <c:pt idx="6">
                  <c:v>0.1604864299999999</c:v>
                </c:pt>
                <c:pt idx="7">
                  <c:v>0.15222340000000012</c:v>
                </c:pt>
              </c:numCache>
            </c:numRef>
          </c:val>
          <c:extLst>
            <c:ext xmlns:c16="http://schemas.microsoft.com/office/drawing/2014/chart" uri="{C3380CC4-5D6E-409C-BE32-E72D297353CC}">
              <c16:uniqueId val="{00000000-48FE-48CC-BA08-4B6A2C9233BA}"/>
            </c:ext>
          </c:extLst>
        </c:ser>
        <c:ser>
          <c:idx val="1"/>
          <c:order val="1"/>
          <c:tx>
            <c:strRef>
              <c:f>'WEO_ekon. rast'!$B$26</c:f>
              <c:strCache>
                <c:ptCount val="1"/>
                <c:pt idx="0">
                  <c:v>САД</c:v>
                </c:pt>
              </c:strCache>
            </c:strRef>
          </c:tx>
          <c:spPr>
            <a:solidFill>
              <a:srgbClr val="2A489A"/>
            </a:solidFill>
            <a:ln>
              <a:noFill/>
            </a:ln>
            <a:effectLst/>
          </c:spPr>
          <c:invertIfNegative val="0"/>
          <c:cat>
            <c:numRef>
              <c:f>'WEO_ekon. rast'!$G$24:$N$24</c:f>
              <c:numCache>
                <c:formatCode>General</c:formatCode>
                <c:ptCount val="8"/>
                <c:pt idx="0">
                  <c:v>2019</c:v>
                </c:pt>
                <c:pt idx="1">
                  <c:v>2020</c:v>
                </c:pt>
                <c:pt idx="2">
                  <c:v>2021</c:v>
                </c:pt>
                <c:pt idx="3">
                  <c:v>2022</c:v>
                </c:pt>
                <c:pt idx="4">
                  <c:v>2023</c:v>
                </c:pt>
                <c:pt idx="5">
                  <c:v>2024</c:v>
                </c:pt>
                <c:pt idx="6">
                  <c:v>2025</c:v>
                </c:pt>
                <c:pt idx="7">
                  <c:v>2026</c:v>
                </c:pt>
              </c:numCache>
            </c:numRef>
          </c:cat>
          <c:val>
            <c:numRef>
              <c:f>'WEO_ekon. rast'!$G$26:$N$26</c:f>
              <c:numCache>
                <c:formatCode>#.000</c:formatCode>
                <c:ptCount val="8"/>
                <c:pt idx="0">
                  <c:v>0.36148544999999999</c:v>
                </c:pt>
                <c:pt idx="1">
                  <c:v>-0.43709488000000002</c:v>
                </c:pt>
                <c:pt idx="2">
                  <c:v>0.93742560999999991</c:v>
                </c:pt>
                <c:pt idx="3">
                  <c:v>0.32207031999999997</c:v>
                </c:pt>
                <c:pt idx="4">
                  <c:v>0.24273183999999998</c:v>
                </c:pt>
                <c:pt idx="5">
                  <c:v>0.16056615000000002</c:v>
                </c:pt>
                <c:pt idx="6">
                  <c:v>0.26245943999999999</c:v>
                </c:pt>
                <c:pt idx="7">
                  <c:v>0.30264948000000003</c:v>
                </c:pt>
              </c:numCache>
            </c:numRef>
          </c:val>
          <c:extLst>
            <c:ext xmlns:c16="http://schemas.microsoft.com/office/drawing/2014/chart" uri="{C3380CC4-5D6E-409C-BE32-E72D297353CC}">
              <c16:uniqueId val="{00000001-48FE-48CC-BA08-4B6A2C9233BA}"/>
            </c:ext>
          </c:extLst>
        </c:ser>
        <c:ser>
          <c:idx val="2"/>
          <c:order val="2"/>
          <c:tx>
            <c:strRef>
              <c:f>'WEO_ekon. rast'!$B$27</c:f>
              <c:strCache>
                <c:ptCount val="1"/>
                <c:pt idx="0">
                  <c:v>ЕУ</c:v>
                </c:pt>
              </c:strCache>
            </c:strRef>
          </c:tx>
          <c:spPr>
            <a:solidFill>
              <a:srgbClr val="2183C4"/>
            </a:solidFill>
            <a:ln>
              <a:noFill/>
            </a:ln>
            <a:effectLst/>
          </c:spPr>
          <c:invertIfNegative val="0"/>
          <c:cat>
            <c:numRef>
              <c:f>'WEO_ekon. rast'!$G$24:$N$24</c:f>
              <c:numCache>
                <c:formatCode>General</c:formatCode>
                <c:ptCount val="8"/>
                <c:pt idx="0">
                  <c:v>2019</c:v>
                </c:pt>
                <c:pt idx="1">
                  <c:v>2020</c:v>
                </c:pt>
                <c:pt idx="2">
                  <c:v>2021</c:v>
                </c:pt>
                <c:pt idx="3">
                  <c:v>2022</c:v>
                </c:pt>
                <c:pt idx="4">
                  <c:v>2023</c:v>
                </c:pt>
                <c:pt idx="5">
                  <c:v>2024</c:v>
                </c:pt>
                <c:pt idx="6">
                  <c:v>2025</c:v>
                </c:pt>
                <c:pt idx="7">
                  <c:v>2026</c:v>
                </c:pt>
              </c:numCache>
            </c:numRef>
          </c:cat>
          <c:val>
            <c:numRef>
              <c:f>'WEO_ekon. rast'!$G$27:$N$27</c:f>
              <c:numCache>
                <c:formatCode>#.000</c:formatCode>
                <c:ptCount val="8"/>
                <c:pt idx="0">
                  <c:v>0.30279732000000004</c:v>
                </c:pt>
                <c:pt idx="1">
                  <c:v>-0.8310667100000001</c:v>
                </c:pt>
                <c:pt idx="2">
                  <c:v>0.82449044999999999</c:v>
                </c:pt>
                <c:pt idx="3">
                  <c:v>0.54640507999999999</c:v>
                </c:pt>
                <c:pt idx="4">
                  <c:v>0.109185</c:v>
                </c:pt>
                <c:pt idx="5">
                  <c:v>0.22642565999999997</c:v>
                </c:pt>
                <c:pt idx="6">
                  <c:v>0.30617812999999999</c:v>
                </c:pt>
                <c:pt idx="7">
                  <c:v>0.27985369999999998</c:v>
                </c:pt>
              </c:numCache>
            </c:numRef>
          </c:val>
          <c:extLst>
            <c:ext xmlns:c16="http://schemas.microsoft.com/office/drawing/2014/chart" uri="{C3380CC4-5D6E-409C-BE32-E72D297353CC}">
              <c16:uniqueId val="{00000002-48FE-48CC-BA08-4B6A2C9233BA}"/>
            </c:ext>
          </c:extLst>
        </c:ser>
        <c:ser>
          <c:idx val="3"/>
          <c:order val="3"/>
          <c:tx>
            <c:strRef>
              <c:f>'WEO_ekon. rast'!$B$28</c:f>
              <c:strCache>
                <c:ptCount val="1"/>
                <c:pt idx="0">
                  <c:v>Земље у успону Азијског континента без Кине</c:v>
                </c:pt>
              </c:strCache>
            </c:strRef>
          </c:tx>
          <c:spPr>
            <a:solidFill>
              <a:srgbClr val="51BBE7"/>
            </a:solidFill>
            <a:ln>
              <a:noFill/>
            </a:ln>
            <a:effectLst/>
          </c:spPr>
          <c:invertIfNegative val="0"/>
          <c:cat>
            <c:numRef>
              <c:f>'WEO_ekon. rast'!$G$24:$N$24</c:f>
              <c:numCache>
                <c:formatCode>General</c:formatCode>
                <c:ptCount val="8"/>
                <c:pt idx="0">
                  <c:v>2019</c:v>
                </c:pt>
                <c:pt idx="1">
                  <c:v>2020</c:v>
                </c:pt>
                <c:pt idx="2">
                  <c:v>2021</c:v>
                </c:pt>
                <c:pt idx="3">
                  <c:v>2022</c:v>
                </c:pt>
                <c:pt idx="4">
                  <c:v>2023</c:v>
                </c:pt>
                <c:pt idx="5">
                  <c:v>2024</c:v>
                </c:pt>
                <c:pt idx="6">
                  <c:v>2025</c:v>
                </c:pt>
                <c:pt idx="7">
                  <c:v>2026</c:v>
                </c:pt>
              </c:numCache>
            </c:numRef>
          </c:cat>
          <c:val>
            <c:numRef>
              <c:f>'WEO_ekon. rast'!$G$28:$N$28</c:f>
              <c:numCache>
                <c:formatCode>#.000</c:formatCode>
                <c:ptCount val="8"/>
                <c:pt idx="0">
                  <c:v>0.61810345000000022</c:v>
                </c:pt>
                <c:pt idx="1">
                  <c:v>-0.55595284</c:v>
                </c:pt>
                <c:pt idx="2">
                  <c:v>0.86189551000000009</c:v>
                </c:pt>
                <c:pt idx="3">
                  <c:v>0.87995376000000003</c:v>
                </c:pt>
                <c:pt idx="4">
                  <c:v>0.78199566000000009</c:v>
                </c:pt>
                <c:pt idx="5">
                  <c:v>0.87211410999999994</c:v>
                </c:pt>
                <c:pt idx="6">
                  <c:v>0.8820724499999999</c:v>
                </c:pt>
                <c:pt idx="7">
                  <c:v>0.89102944000000017</c:v>
                </c:pt>
              </c:numCache>
            </c:numRef>
          </c:val>
          <c:extLst>
            <c:ext xmlns:c16="http://schemas.microsoft.com/office/drawing/2014/chart" uri="{C3380CC4-5D6E-409C-BE32-E72D297353CC}">
              <c16:uniqueId val="{00000003-48FE-48CC-BA08-4B6A2C9233BA}"/>
            </c:ext>
          </c:extLst>
        </c:ser>
        <c:ser>
          <c:idx val="4"/>
          <c:order val="4"/>
          <c:tx>
            <c:strRef>
              <c:f>'WEO_ekon. rast'!$B$29</c:f>
              <c:strCache>
                <c:ptCount val="1"/>
                <c:pt idx="0">
                  <c:v>Кина</c:v>
                </c:pt>
              </c:strCache>
            </c:strRef>
          </c:tx>
          <c:spPr>
            <a:solidFill>
              <a:srgbClr val="90CAE2"/>
            </a:solidFill>
            <a:ln>
              <a:noFill/>
            </a:ln>
            <a:effectLst/>
          </c:spPr>
          <c:invertIfNegative val="0"/>
          <c:cat>
            <c:numRef>
              <c:f>'WEO_ekon. rast'!$G$24:$N$24</c:f>
              <c:numCache>
                <c:formatCode>General</c:formatCode>
                <c:ptCount val="8"/>
                <c:pt idx="0">
                  <c:v>2019</c:v>
                </c:pt>
                <c:pt idx="1">
                  <c:v>2020</c:v>
                </c:pt>
                <c:pt idx="2">
                  <c:v>2021</c:v>
                </c:pt>
                <c:pt idx="3">
                  <c:v>2022</c:v>
                </c:pt>
                <c:pt idx="4">
                  <c:v>2023</c:v>
                </c:pt>
                <c:pt idx="5">
                  <c:v>2024</c:v>
                </c:pt>
                <c:pt idx="6">
                  <c:v>2025</c:v>
                </c:pt>
                <c:pt idx="7">
                  <c:v>2026</c:v>
                </c:pt>
              </c:numCache>
            </c:numRef>
          </c:cat>
          <c:val>
            <c:numRef>
              <c:f>'WEO_ekon. rast'!$G$29:$N$29</c:f>
              <c:numCache>
                <c:formatCode>#.000</c:formatCode>
                <c:ptCount val="8"/>
                <c:pt idx="0">
                  <c:v>1.0241075899999998</c:v>
                </c:pt>
                <c:pt idx="1">
                  <c:v>0.40674363999999996</c:v>
                </c:pt>
                <c:pt idx="2">
                  <c:v>1.5664609999999999</c:v>
                </c:pt>
                <c:pt idx="3">
                  <c:v>0.55218239999999996</c:v>
                </c:pt>
                <c:pt idx="4">
                  <c:v>0.99118673999999996</c:v>
                </c:pt>
                <c:pt idx="5">
                  <c:v>0.8602623800000001</c:v>
                </c:pt>
                <c:pt idx="6">
                  <c:v>0.79049999999999998</c:v>
                </c:pt>
                <c:pt idx="7">
                  <c:v>0.77303697999999998</c:v>
                </c:pt>
              </c:numCache>
            </c:numRef>
          </c:val>
          <c:extLst>
            <c:ext xmlns:c16="http://schemas.microsoft.com/office/drawing/2014/chart" uri="{C3380CC4-5D6E-409C-BE32-E72D297353CC}">
              <c16:uniqueId val="{00000004-48FE-48CC-BA08-4B6A2C9233BA}"/>
            </c:ext>
          </c:extLst>
        </c:ser>
        <c:ser>
          <c:idx val="5"/>
          <c:order val="5"/>
          <c:tx>
            <c:strRef>
              <c:f>'WEO_ekon. rast'!$B$30</c:f>
              <c:strCache>
                <c:ptCount val="1"/>
                <c:pt idx="0">
                  <c:v>Остале земље у успону</c:v>
                </c:pt>
              </c:strCache>
            </c:strRef>
          </c:tx>
          <c:spPr>
            <a:solidFill>
              <a:srgbClr val="C9E4EB"/>
            </a:solidFill>
            <a:ln>
              <a:noFill/>
            </a:ln>
            <a:effectLst/>
          </c:spPr>
          <c:invertIfNegative val="0"/>
          <c:cat>
            <c:numRef>
              <c:f>'WEO_ekon. rast'!$G$24:$N$24</c:f>
              <c:numCache>
                <c:formatCode>General</c:formatCode>
                <c:ptCount val="8"/>
                <c:pt idx="0">
                  <c:v>2019</c:v>
                </c:pt>
                <c:pt idx="1">
                  <c:v>2020</c:v>
                </c:pt>
                <c:pt idx="2">
                  <c:v>2021</c:v>
                </c:pt>
                <c:pt idx="3">
                  <c:v>2022</c:v>
                </c:pt>
                <c:pt idx="4">
                  <c:v>2023</c:v>
                </c:pt>
                <c:pt idx="5">
                  <c:v>2024</c:v>
                </c:pt>
                <c:pt idx="6">
                  <c:v>2025</c:v>
                </c:pt>
                <c:pt idx="7">
                  <c:v>2026</c:v>
                </c:pt>
              </c:numCache>
            </c:numRef>
          </c:cat>
          <c:val>
            <c:numRef>
              <c:f>'WEO_ekon. rast'!$G$30:$N$30</c:f>
              <c:numCache>
                <c:formatCode>#.000</c:formatCode>
                <c:ptCount val="8"/>
                <c:pt idx="0">
                  <c:v>0.41990251999999995</c:v>
                </c:pt>
                <c:pt idx="1">
                  <c:v>-0.87352512000000027</c:v>
                </c:pt>
                <c:pt idx="2">
                  <c:v>1.5623819300000008</c:v>
                </c:pt>
                <c:pt idx="3">
                  <c:v>0.87302938999999968</c:v>
                </c:pt>
                <c:pt idx="4">
                  <c:v>0.53971819999999981</c:v>
                </c:pt>
                <c:pt idx="5">
                  <c:v>0.74353670999999988</c:v>
                </c:pt>
                <c:pt idx="6">
                  <c:v>0.75530355000000027</c:v>
                </c:pt>
                <c:pt idx="7">
                  <c:v>0.76120699999999974</c:v>
                </c:pt>
              </c:numCache>
            </c:numRef>
          </c:val>
          <c:extLst>
            <c:ext xmlns:c16="http://schemas.microsoft.com/office/drawing/2014/chart" uri="{C3380CC4-5D6E-409C-BE32-E72D297353CC}">
              <c16:uniqueId val="{00000005-48FE-48CC-BA08-4B6A2C9233BA}"/>
            </c:ext>
          </c:extLst>
        </c:ser>
        <c:dLbls>
          <c:showLegendKey val="0"/>
          <c:showVal val="0"/>
          <c:showCatName val="0"/>
          <c:showSerName val="0"/>
          <c:showPercent val="0"/>
          <c:showBubbleSize val="0"/>
        </c:dLbls>
        <c:gapWidth val="30"/>
        <c:overlap val="100"/>
        <c:axId val="1642271680"/>
        <c:axId val="1642274400"/>
      </c:barChart>
      <c:lineChart>
        <c:grouping val="standard"/>
        <c:varyColors val="0"/>
        <c:ser>
          <c:idx val="6"/>
          <c:order val="6"/>
          <c:tx>
            <c:strRef>
              <c:f>'WEO_ekon. rast'!$B$31</c:f>
              <c:strCache>
                <c:ptCount val="1"/>
                <c:pt idx="0">
                  <c:v>Светски раст</c:v>
                </c:pt>
              </c:strCache>
            </c:strRef>
          </c:tx>
          <c:spPr>
            <a:ln w="25400" cap="rnd">
              <a:solidFill>
                <a:srgbClr val="FF0000"/>
              </a:solidFill>
              <a:round/>
            </a:ln>
            <a:effectLst/>
          </c:spPr>
          <c:marker>
            <c:symbol val="none"/>
          </c:marker>
          <c:dLbls>
            <c:dLbl>
              <c:idx val="1"/>
              <c:layout>
                <c:manualLayout>
                  <c:x val="-6.6898148148148151E-2"/>
                  <c:y val="4.55033416875522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8FE-48CC-BA08-4B6A2C9233BA}"/>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'WEO_ekon. rast'!$G$24:$N$24</c:f>
              <c:numCache>
                <c:formatCode>General</c:formatCode>
                <c:ptCount val="8"/>
                <c:pt idx="0">
                  <c:v>2019</c:v>
                </c:pt>
                <c:pt idx="1">
                  <c:v>2020</c:v>
                </c:pt>
                <c:pt idx="2">
                  <c:v>2021</c:v>
                </c:pt>
                <c:pt idx="3">
                  <c:v>2022</c:v>
                </c:pt>
                <c:pt idx="4">
                  <c:v>2023</c:v>
                </c:pt>
                <c:pt idx="5">
                  <c:v>2024</c:v>
                </c:pt>
                <c:pt idx="6">
                  <c:v>2025</c:v>
                </c:pt>
                <c:pt idx="7">
                  <c:v>2026</c:v>
                </c:pt>
              </c:numCache>
            </c:numRef>
          </c:cat>
          <c:val>
            <c:numRef>
              <c:f>'WEO_ekon. rast'!$G$31:$N$31</c:f>
              <c:numCache>
                <c:formatCode>#.#00</c:formatCode>
                <c:ptCount val="8"/>
                <c:pt idx="0">
                  <c:v>2.81</c:v>
                </c:pt>
                <c:pt idx="1">
                  <c:v>-2.8050000000000002</c:v>
                </c:pt>
                <c:pt idx="2">
                  <c:v>6.2750000000000004</c:v>
                </c:pt>
                <c:pt idx="3">
                  <c:v>3.4159999999999999</c:v>
                </c:pt>
                <c:pt idx="4">
                  <c:v>2.831</c:v>
                </c:pt>
                <c:pt idx="5">
                  <c:v>3.0230000000000001</c:v>
                </c:pt>
                <c:pt idx="6">
                  <c:v>3.157</c:v>
                </c:pt>
                <c:pt idx="7">
                  <c:v>3.16</c:v>
                </c:pt>
              </c:numCache>
            </c:numRef>
          </c:val>
          <c:smooth val="0"/>
          <c:extLst>
            <c:ext xmlns:c16="http://schemas.microsoft.com/office/drawing/2014/chart" uri="{C3380CC4-5D6E-409C-BE32-E72D297353CC}">
              <c16:uniqueId val="{00000007-48FE-48CC-BA08-4B6A2C9233BA}"/>
            </c:ext>
          </c:extLst>
        </c:ser>
        <c:ser>
          <c:idx val="7"/>
          <c:order val="7"/>
          <c:tx>
            <c:strRef>
              <c:f>'WEO_ekon. rast'!$B$32</c:f>
              <c:strCache>
                <c:ptCount val="1"/>
              </c:strCache>
            </c:strRef>
          </c:tx>
          <c:spPr>
            <a:ln w="28575" cap="rnd">
              <a:noFill/>
              <a:round/>
            </a:ln>
            <a:effectLst/>
          </c:spPr>
          <c:marker>
            <c:symbol val="none"/>
          </c:marker>
          <c:dLbls>
            <c:dLbl>
              <c:idx val="1"/>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b"/>
              <c:showLegendKey val="0"/>
              <c:showVal val="0"/>
              <c:showCatName val="1"/>
              <c:showSerName val="0"/>
              <c:showPercent val="0"/>
              <c:showBubbleSize val="0"/>
              <c:extLst>
                <c:ext xmlns:c16="http://schemas.microsoft.com/office/drawing/2014/chart" uri="{C3380CC4-5D6E-409C-BE32-E72D297353CC}">
                  <c16:uniqueId val="{00000008-48FE-48CC-BA08-4B6A2C9233B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'WEO_ekon. rast'!$G$24:$N$24</c:f>
              <c:numCache>
                <c:formatCode>General</c:formatCode>
                <c:ptCount val="8"/>
                <c:pt idx="0">
                  <c:v>2019</c:v>
                </c:pt>
                <c:pt idx="1">
                  <c:v>2020</c:v>
                </c:pt>
                <c:pt idx="2">
                  <c:v>2021</c:v>
                </c:pt>
                <c:pt idx="3">
                  <c:v>2022</c:v>
                </c:pt>
                <c:pt idx="4">
                  <c:v>2023</c:v>
                </c:pt>
                <c:pt idx="5">
                  <c:v>2024</c:v>
                </c:pt>
                <c:pt idx="6">
                  <c:v>2025</c:v>
                </c:pt>
                <c:pt idx="7">
                  <c:v>2026</c:v>
                </c:pt>
              </c:numCache>
            </c:numRef>
          </c:cat>
          <c:val>
            <c:numRef>
              <c:f>'WEO_ekon. rast'!$G$32:$N$32</c:f>
              <c:numCache>
                <c:formatCode>General</c:formatCode>
                <c:ptCount val="8"/>
                <c:pt idx="0">
                  <c:v>0</c:v>
                </c:pt>
                <c:pt idx="1">
                  <c:v>0</c:v>
                </c:pt>
                <c:pt idx="2">
                  <c:v>0</c:v>
                </c:pt>
                <c:pt idx="3">
                  <c:v>0</c:v>
                </c:pt>
                <c:pt idx="4">
                  <c:v>0</c:v>
                </c:pt>
                <c:pt idx="5">
                  <c:v>0</c:v>
                </c:pt>
                <c:pt idx="6">
                  <c:v>0</c:v>
                </c:pt>
                <c:pt idx="7">
                  <c:v>0</c:v>
                </c:pt>
              </c:numCache>
            </c:numRef>
          </c:val>
          <c:smooth val="0"/>
          <c:extLst>
            <c:ext xmlns:c16="http://schemas.microsoft.com/office/drawing/2014/chart" uri="{C3380CC4-5D6E-409C-BE32-E72D297353CC}">
              <c16:uniqueId val="{00000009-48FE-48CC-BA08-4B6A2C9233BA}"/>
            </c:ext>
          </c:extLst>
        </c:ser>
        <c:dLbls>
          <c:showLegendKey val="0"/>
          <c:showVal val="0"/>
          <c:showCatName val="0"/>
          <c:showSerName val="0"/>
          <c:showPercent val="0"/>
          <c:showBubbleSize val="0"/>
        </c:dLbls>
        <c:marker val="1"/>
        <c:smooth val="0"/>
        <c:axId val="1642271680"/>
        <c:axId val="1642274400"/>
      </c:lineChart>
      <c:catAx>
        <c:axId val="164227168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4400"/>
        <c:crosses val="autoZero"/>
        <c:auto val="1"/>
        <c:lblAlgn val="ctr"/>
        <c:lblOffset val="100"/>
        <c:noMultiLvlLbl val="0"/>
      </c:catAx>
      <c:valAx>
        <c:axId val="1642274400"/>
        <c:scaling>
          <c:orientation val="minMax"/>
          <c:min val="-4.5"/>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1680"/>
        <c:crosses val="autoZero"/>
        <c:crossBetween val="between"/>
        <c:majorUnit val="1.5"/>
      </c:valAx>
      <c:spPr>
        <a:noFill/>
        <a:ln>
          <a:noFill/>
        </a:ln>
        <a:effectLst/>
      </c:spPr>
    </c:plotArea>
    <c:legend>
      <c:legendPos val="b"/>
      <c:legendEntry>
        <c:idx val="7"/>
        <c:delete val="1"/>
      </c:legendEntry>
      <c:layout>
        <c:manualLayout>
          <c:xMode val="edge"/>
          <c:yMode val="edge"/>
          <c:x val="2.7777777777777776E-2"/>
          <c:y val="0.68199498746867171"/>
          <c:w val="0.94944444444444465"/>
          <c:h val="0.3180050125313283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652245513160466E-2"/>
          <c:y val="3.6405005688282137E-2"/>
          <c:w val="0.87031860600758237"/>
          <c:h val="0.72146846846846846"/>
        </c:manualLayout>
      </c:layout>
      <c:lineChart>
        <c:grouping val="standard"/>
        <c:varyColors val="0"/>
        <c:ser>
          <c:idx val="0"/>
          <c:order val="0"/>
          <c:tx>
            <c:strRef>
              <c:f>Commodities!$P$6</c:f>
              <c:strCache>
                <c:ptCount val="1"/>
                <c:pt idx="0">
                  <c:v>Сви производи</c:v>
                </c:pt>
              </c:strCache>
            </c:strRef>
          </c:tx>
          <c:spPr>
            <a:ln w="22225" cap="rnd">
              <a:solidFill>
                <a:srgbClr val="003891"/>
              </a:solidFill>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Commodities!$P$20:$P$123</c:f>
              <c:numCache>
                <c:formatCode>#.#00</c:formatCode>
                <c:ptCount val="104"/>
                <c:pt idx="0">
                  <c:v>117.1011</c:v>
                </c:pt>
                <c:pt idx="1">
                  <c:v>119.893</c:v>
                </c:pt>
                <c:pt idx="2">
                  <c:v>115.1661</c:v>
                </c:pt>
                <c:pt idx="3">
                  <c:v>116.28440000000001</c:v>
                </c:pt>
                <c:pt idx="4">
                  <c:v>119.2681</c:v>
                </c:pt>
                <c:pt idx="5">
                  <c:v>116.4603</c:v>
                </c:pt>
                <c:pt idx="6">
                  <c:v>109.998</c:v>
                </c:pt>
                <c:pt idx="7">
                  <c:v>103.1284</c:v>
                </c:pt>
                <c:pt idx="8">
                  <c:v>102.8121</c:v>
                </c:pt>
                <c:pt idx="9">
                  <c:v>103.0188</c:v>
                </c:pt>
                <c:pt idx="10">
                  <c:v>97.134559999999993</c:v>
                </c:pt>
                <c:pt idx="11">
                  <c:v>91.948599999999999</c:v>
                </c:pt>
                <c:pt idx="12">
                  <c:v>86.425539999999998</c:v>
                </c:pt>
                <c:pt idx="13">
                  <c:v>88.118449999999996</c:v>
                </c:pt>
                <c:pt idx="14">
                  <c:v>94.377089999999995</c:v>
                </c:pt>
                <c:pt idx="15">
                  <c:v>97.274969999999996</c:v>
                </c:pt>
                <c:pt idx="16">
                  <c:v>100.7855</c:v>
                </c:pt>
                <c:pt idx="17">
                  <c:v>103.1283</c:v>
                </c:pt>
                <c:pt idx="18">
                  <c:v>102.57640000000001</c:v>
                </c:pt>
                <c:pt idx="19">
                  <c:v>102.843</c:v>
                </c:pt>
                <c:pt idx="20">
                  <c:v>102.6194</c:v>
                </c:pt>
                <c:pt idx="21">
                  <c:v>106.009</c:v>
                </c:pt>
                <c:pt idx="22">
                  <c:v>104.9855</c:v>
                </c:pt>
                <c:pt idx="23">
                  <c:v>110.85680000000001</c:v>
                </c:pt>
                <c:pt idx="24">
                  <c:v>114.40819999999999</c:v>
                </c:pt>
                <c:pt idx="25">
                  <c:v>114.667</c:v>
                </c:pt>
                <c:pt idx="26">
                  <c:v>109.16759999999999</c:v>
                </c:pt>
                <c:pt idx="27">
                  <c:v>109.1105</c:v>
                </c:pt>
                <c:pt idx="28">
                  <c:v>106.8734</c:v>
                </c:pt>
                <c:pt idx="29">
                  <c:v>103.58839999999999</c:v>
                </c:pt>
                <c:pt idx="30">
                  <c:v>106.1644</c:v>
                </c:pt>
                <c:pt idx="31">
                  <c:v>108.60129999999999</c:v>
                </c:pt>
                <c:pt idx="32">
                  <c:v>110.9957</c:v>
                </c:pt>
                <c:pt idx="33">
                  <c:v>112.4962</c:v>
                </c:pt>
                <c:pt idx="34">
                  <c:v>117.2998</c:v>
                </c:pt>
                <c:pt idx="35">
                  <c:v>118.82210000000001</c:v>
                </c:pt>
                <c:pt idx="36">
                  <c:v>124.44540000000001</c:v>
                </c:pt>
                <c:pt idx="37">
                  <c:v>121.8463</c:v>
                </c:pt>
                <c:pt idx="38">
                  <c:v>121.34780000000001</c:v>
                </c:pt>
                <c:pt idx="39">
                  <c:v>122.7525</c:v>
                </c:pt>
                <c:pt idx="40">
                  <c:v>126.77979999999999</c:v>
                </c:pt>
                <c:pt idx="41">
                  <c:v>125.4442</c:v>
                </c:pt>
                <c:pt idx="42">
                  <c:v>123.7157</c:v>
                </c:pt>
                <c:pt idx="43">
                  <c:v>121.41849999999999</c:v>
                </c:pt>
                <c:pt idx="44">
                  <c:v>125.2911</c:v>
                </c:pt>
                <c:pt idx="45">
                  <c:v>126.11199999999999</c:v>
                </c:pt>
                <c:pt idx="46">
                  <c:v>115.71040000000001</c:v>
                </c:pt>
                <c:pt idx="47">
                  <c:v>110.7723</c:v>
                </c:pt>
                <c:pt idx="48">
                  <c:v>111.6288</c:v>
                </c:pt>
                <c:pt idx="49">
                  <c:v>112.7978</c:v>
                </c:pt>
                <c:pt idx="50">
                  <c:v>112.7508</c:v>
                </c:pt>
                <c:pt idx="51">
                  <c:v>115.3663</c:v>
                </c:pt>
                <c:pt idx="52">
                  <c:v>112.17700000000001</c:v>
                </c:pt>
                <c:pt idx="53">
                  <c:v>107.68040000000001</c:v>
                </c:pt>
                <c:pt idx="54">
                  <c:v>109.8481</c:v>
                </c:pt>
                <c:pt idx="55">
                  <c:v>104.8604</c:v>
                </c:pt>
                <c:pt idx="56">
                  <c:v>106.6802</c:v>
                </c:pt>
                <c:pt idx="57">
                  <c:v>105.1105</c:v>
                </c:pt>
                <c:pt idx="58">
                  <c:v>108.6913</c:v>
                </c:pt>
                <c:pt idx="59">
                  <c:v>111.47320000000001</c:v>
                </c:pt>
                <c:pt idx="60">
                  <c:v>110.5891</c:v>
                </c:pt>
                <c:pt idx="61">
                  <c:v>102.2351</c:v>
                </c:pt>
                <c:pt idx="62">
                  <c:v>86.67407</c:v>
                </c:pt>
                <c:pt idx="63">
                  <c:v>79.651510000000002</c:v>
                </c:pt>
                <c:pt idx="64">
                  <c:v>85.895060000000001</c:v>
                </c:pt>
                <c:pt idx="65">
                  <c:v>93.041690000000003</c:v>
                </c:pt>
                <c:pt idx="66">
                  <c:v>95.349010000000007</c:v>
                </c:pt>
                <c:pt idx="67">
                  <c:v>100.4008</c:v>
                </c:pt>
                <c:pt idx="68">
                  <c:v>99.942620000000005</c:v>
                </c:pt>
                <c:pt idx="69">
                  <c:v>102.6067</c:v>
                </c:pt>
                <c:pt idx="70">
                  <c:v>106.23480000000001</c:v>
                </c:pt>
                <c:pt idx="71">
                  <c:v>115.36020000000001</c:v>
                </c:pt>
                <c:pt idx="72">
                  <c:v>125.58280000000001</c:v>
                </c:pt>
                <c:pt idx="73">
                  <c:v>125.8873</c:v>
                </c:pt>
                <c:pt idx="74">
                  <c:v>127.7633</c:v>
                </c:pt>
                <c:pt idx="75">
                  <c:v>130.49539999999999</c:v>
                </c:pt>
                <c:pt idx="76">
                  <c:v>138.14269999999999</c:v>
                </c:pt>
                <c:pt idx="77">
                  <c:v>141.76929999999999</c:v>
                </c:pt>
                <c:pt idx="78">
                  <c:v>144.8563</c:v>
                </c:pt>
                <c:pt idx="79">
                  <c:v>143.12219999999999</c:v>
                </c:pt>
                <c:pt idx="80">
                  <c:v>149.95070000000001</c:v>
                </c:pt>
                <c:pt idx="81">
                  <c:v>165.88</c:v>
                </c:pt>
                <c:pt idx="82">
                  <c:v>157.72389999999999</c:v>
                </c:pt>
                <c:pt idx="83">
                  <c:v>160.3349</c:v>
                </c:pt>
                <c:pt idx="84">
                  <c:v>163.73009999999999</c:v>
                </c:pt>
                <c:pt idx="85">
                  <c:v>171.86619999999999</c:v>
                </c:pt>
                <c:pt idx="86">
                  <c:v>199.55529999999999</c:v>
                </c:pt>
                <c:pt idx="87">
                  <c:v>188.67859999999999</c:v>
                </c:pt>
                <c:pt idx="88">
                  <c:v>185.09049999999999</c:v>
                </c:pt>
                <c:pt idx="89">
                  <c:v>186.97579999999999</c:v>
                </c:pt>
                <c:pt idx="90">
                  <c:v>185.3597</c:v>
                </c:pt>
                <c:pt idx="91">
                  <c:v>195.7199</c:v>
                </c:pt>
                <c:pt idx="92">
                  <c:v>177.80269999999999</c:v>
                </c:pt>
                <c:pt idx="93">
                  <c:v>153.98339999999999</c:v>
                </c:pt>
                <c:pt idx="94">
                  <c:v>154.15639999999999</c:v>
                </c:pt>
                <c:pt idx="95">
                  <c:v>156.43979999999999</c:v>
                </c:pt>
              </c:numCache>
            </c:numRef>
          </c:val>
          <c:smooth val="0"/>
          <c:extLst>
            <c:ext xmlns:c16="http://schemas.microsoft.com/office/drawing/2014/chart" uri="{C3380CC4-5D6E-409C-BE32-E72D297353CC}">
              <c16:uniqueId val="{00000000-DA8F-4C0A-907B-2DEE832E2D78}"/>
            </c:ext>
          </c:extLst>
        </c:ser>
        <c:ser>
          <c:idx val="1"/>
          <c:order val="1"/>
          <c:tx>
            <c:strRef>
              <c:f>Commodities!$Q$6</c:f>
              <c:strCache>
                <c:ptCount val="1"/>
                <c:pt idx="0">
                  <c:v>Основни метали</c:v>
                </c:pt>
              </c:strCache>
            </c:strRef>
          </c:tx>
          <c:spPr>
            <a:ln w="22225" cap="rnd">
              <a:solidFill>
                <a:srgbClr val="EC008C"/>
              </a:solidFill>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Commodities!$Q$20:$Q$123</c:f>
              <c:numCache>
                <c:formatCode>#.#00</c:formatCode>
                <c:ptCount val="104"/>
                <c:pt idx="0">
                  <c:v>123.55970000000001</c:v>
                </c:pt>
                <c:pt idx="1">
                  <c:v>118.464</c:v>
                </c:pt>
                <c:pt idx="2">
                  <c:v>115.1413</c:v>
                </c:pt>
                <c:pt idx="3">
                  <c:v>112.7184</c:v>
                </c:pt>
                <c:pt idx="4">
                  <c:v>118.1477</c:v>
                </c:pt>
                <c:pt idx="5">
                  <c:v>112.65300000000001</c:v>
                </c:pt>
                <c:pt idx="6">
                  <c:v>102.7377</c:v>
                </c:pt>
                <c:pt idx="7">
                  <c:v>101.44759999999999</c:v>
                </c:pt>
                <c:pt idx="8">
                  <c:v>101.6965</c:v>
                </c:pt>
                <c:pt idx="9">
                  <c:v>99.008870000000002</c:v>
                </c:pt>
                <c:pt idx="10">
                  <c:v>91.266189999999995</c:v>
                </c:pt>
                <c:pt idx="11">
                  <c:v>87.315330000000003</c:v>
                </c:pt>
                <c:pt idx="12">
                  <c:v>86.406419999999997</c:v>
                </c:pt>
                <c:pt idx="13">
                  <c:v>90.449179999999998</c:v>
                </c:pt>
                <c:pt idx="14">
                  <c:v>97.722859999999997</c:v>
                </c:pt>
                <c:pt idx="15">
                  <c:v>99.415930000000003</c:v>
                </c:pt>
                <c:pt idx="16">
                  <c:v>95.77955</c:v>
                </c:pt>
                <c:pt idx="17">
                  <c:v>94.653739999999999</c:v>
                </c:pt>
                <c:pt idx="18">
                  <c:v>100.22239999999999</c:v>
                </c:pt>
                <c:pt idx="19">
                  <c:v>101.9247</c:v>
                </c:pt>
                <c:pt idx="20">
                  <c:v>99.458849999999998</c:v>
                </c:pt>
                <c:pt idx="21">
                  <c:v>100.4502</c:v>
                </c:pt>
                <c:pt idx="22">
                  <c:v>114.64019999999999</c:v>
                </c:pt>
                <c:pt idx="23">
                  <c:v>118.876</c:v>
                </c:pt>
                <c:pt idx="24">
                  <c:v>120.00149999999999</c:v>
                </c:pt>
                <c:pt idx="25">
                  <c:v>126.87439999999999</c:v>
                </c:pt>
                <c:pt idx="26">
                  <c:v>125.2854</c:v>
                </c:pt>
                <c:pt idx="27">
                  <c:v>114.77930000000001</c:v>
                </c:pt>
                <c:pt idx="28">
                  <c:v>109.5534</c:v>
                </c:pt>
                <c:pt idx="29">
                  <c:v>107.6845</c:v>
                </c:pt>
                <c:pt idx="30">
                  <c:v>114.9456</c:v>
                </c:pt>
                <c:pt idx="31">
                  <c:v>124.21429999999999</c:v>
                </c:pt>
                <c:pt idx="32">
                  <c:v>122.6721</c:v>
                </c:pt>
                <c:pt idx="33">
                  <c:v>120.9301</c:v>
                </c:pt>
                <c:pt idx="34">
                  <c:v>122.4256</c:v>
                </c:pt>
                <c:pt idx="35">
                  <c:v>126.8377</c:v>
                </c:pt>
                <c:pt idx="36">
                  <c:v>132.333</c:v>
                </c:pt>
                <c:pt idx="37">
                  <c:v>132.7073</c:v>
                </c:pt>
                <c:pt idx="38">
                  <c:v>127.4504</c:v>
                </c:pt>
                <c:pt idx="39">
                  <c:v>128.3117</c:v>
                </c:pt>
                <c:pt idx="40">
                  <c:v>128.21690000000001</c:v>
                </c:pt>
                <c:pt idx="41">
                  <c:v>128.9325</c:v>
                </c:pt>
                <c:pt idx="42">
                  <c:v>120.9147</c:v>
                </c:pt>
                <c:pt idx="43">
                  <c:v>119.1251</c:v>
                </c:pt>
                <c:pt idx="44">
                  <c:v>118.43989999999999</c:v>
                </c:pt>
                <c:pt idx="45">
                  <c:v>121.2316</c:v>
                </c:pt>
                <c:pt idx="46">
                  <c:v>119.9278</c:v>
                </c:pt>
                <c:pt idx="47">
                  <c:v>117.6371</c:v>
                </c:pt>
                <c:pt idx="48">
                  <c:v>119.1579</c:v>
                </c:pt>
                <c:pt idx="49">
                  <c:v>127.88330000000001</c:v>
                </c:pt>
                <c:pt idx="50">
                  <c:v>128.7235</c:v>
                </c:pt>
                <c:pt idx="51">
                  <c:v>131.40629999999999</c:v>
                </c:pt>
                <c:pt idx="52">
                  <c:v>130.30869999999999</c:v>
                </c:pt>
                <c:pt idx="53">
                  <c:v>132.56659999999999</c:v>
                </c:pt>
                <c:pt idx="54">
                  <c:v>138.31649999999999</c:v>
                </c:pt>
                <c:pt idx="55">
                  <c:v>124.70659999999999</c:v>
                </c:pt>
                <c:pt idx="56">
                  <c:v>126.0232</c:v>
                </c:pt>
                <c:pt idx="57">
                  <c:v>123.65730000000001</c:v>
                </c:pt>
                <c:pt idx="58">
                  <c:v>119.76730000000001</c:v>
                </c:pt>
                <c:pt idx="59">
                  <c:v>122.4837</c:v>
                </c:pt>
                <c:pt idx="60">
                  <c:v>123.8074</c:v>
                </c:pt>
                <c:pt idx="61">
                  <c:v>116.72410000000001</c:v>
                </c:pt>
                <c:pt idx="62">
                  <c:v>113.0407</c:v>
                </c:pt>
                <c:pt idx="63">
                  <c:v>108.6778</c:v>
                </c:pt>
                <c:pt idx="64">
                  <c:v>113.51179999999999</c:v>
                </c:pt>
                <c:pt idx="65">
                  <c:v>123.2058</c:v>
                </c:pt>
                <c:pt idx="66">
                  <c:v>129.7047</c:v>
                </c:pt>
                <c:pt idx="67">
                  <c:v>137.708</c:v>
                </c:pt>
                <c:pt idx="68">
                  <c:v>140.23230000000001</c:v>
                </c:pt>
                <c:pt idx="69">
                  <c:v>139.23169999999999</c:v>
                </c:pt>
                <c:pt idx="70">
                  <c:v>145.92679999999999</c:v>
                </c:pt>
                <c:pt idx="71">
                  <c:v>165.99109999999999</c:v>
                </c:pt>
                <c:pt idx="72">
                  <c:v>173.97829999999999</c:v>
                </c:pt>
                <c:pt idx="73">
                  <c:v>175.8742</c:v>
                </c:pt>
                <c:pt idx="74">
                  <c:v>180.03370000000001</c:v>
                </c:pt>
                <c:pt idx="75">
                  <c:v>187.1215</c:v>
                </c:pt>
                <c:pt idx="76">
                  <c:v>204.3158</c:v>
                </c:pt>
                <c:pt idx="77">
                  <c:v>209.78460000000001</c:v>
                </c:pt>
                <c:pt idx="78">
                  <c:v>210.00620000000001</c:v>
                </c:pt>
                <c:pt idx="79">
                  <c:v>186.2748</c:v>
                </c:pt>
                <c:pt idx="80">
                  <c:v>167.5592</c:v>
                </c:pt>
                <c:pt idx="81">
                  <c:v>170.5583</c:v>
                </c:pt>
                <c:pt idx="82">
                  <c:v>155.54169999999999</c:v>
                </c:pt>
                <c:pt idx="83">
                  <c:v>164.13079999999999</c:v>
                </c:pt>
                <c:pt idx="84">
                  <c:v>178.39779999999999</c:v>
                </c:pt>
                <c:pt idx="85">
                  <c:v>183.34280000000001</c:v>
                </c:pt>
                <c:pt idx="86">
                  <c:v>194.94390000000001</c:v>
                </c:pt>
                <c:pt idx="87">
                  <c:v>192.20679999999999</c:v>
                </c:pt>
                <c:pt idx="88">
                  <c:v>170.9307</c:v>
                </c:pt>
                <c:pt idx="89">
                  <c:v>162.2748</c:v>
                </c:pt>
                <c:pt idx="90">
                  <c:v>139.76830000000001</c:v>
                </c:pt>
                <c:pt idx="91">
                  <c:v>141.6585</c:v>
                </c:pt>
                <c:pt idx="92">
                  <c:v>134.17660000000001</c:v>
                </c:pt>
                <c:pt idx="93">
                  <c:v>130.20910000000001</c:v>
                </c:pt>
                <c:pt idx="94">
                  <c:v>136.3031</c:v>
                </c:pt>
                <c:pt idx="95">
                  <c:v>149.0994</c:v>
                </c:pt>
              </c:numCache>
            </c:numRef>
          </c:val>
          <c:smooth val="0"/>
          <c:extLst>
            <c:ext xmlns:c16="http://schemas.microsoft.com/office/drawing/2014/chart" uri="{C3380CC4-5D6E-409C-BE32-E72D297353CC}">
              <c16:uniqueId val="{00000001-DA8F-4C0A-907B-2DEE832E2D78}"/>
            </c:ext>
          </c:extLst>
        </c:ser>
        <c:ser>
          <c:idx val="2"/>
          <c:order val="2"/>
          <c:tx>
            <c:strRef>
              <c:f>Commodities!$R$6</c:f>
              <c:strCache>
                <c:ptCount val="1"/>
                <c:pt idx="0">
                  <c:v>Храна</c:v>
                </c:pt>
              </c:strCache>
            </c:strRef>
          </c:tx>
          <c:spPr>
            <a:ln w="22225" cap="rnd">
              <a:solidFill>
                <a:srgbClr val="7F3F98"/>
              </a:solidFill>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Commodities!$R$20:$R$123</c:f>
              <c:numCache>
                <c:formatCode>#.#00</c:formatCode>
                <c:ptCount val="104"/>
                <c:pt idx="0">
                  <c:v>107.3741</c:v>
                </c:pt>
                <c:pt idx="1">
                  <c:v>103.8353</c:v>
                </c:pt>
                <c:pt idx="2">
                  <c:v>100.6011</c:v>
                </c:pt>
                <c:pt idx="3">
                  <c:v>102.355</c:v>
                </c:pt>
                <c:pt idx="4">
                  <c:v>101.7174</c:v>
                </c:pt>
                <c:pt idx="5">
                  <c:v>100.8951</c:v>
                </c:pt>
                <c:pt idx="6">
                  <c:v>100.7415</c:v>
                </c:pt>
                <c:pt idx="7">
                  <c:v>97.79271</c:v>
                </c:pt>
                <c:pt idx="8">
                  <c:v>97.141689999999997</c:v>
                </c:pt>
                <c:pt idx="9">
                  <c:v>97.724459999999993</c:v>
                </c:pt>
                <c:pt idx="10">
                  <c:v>93.832430000000002</c:v>
                </c:pt>
                <c:pt idx="11">
                  <c:v>93.729259999999996</c:v>
                </c:pt>
                <c:pt idx="12">
                  <c:v>93.540440000000004</c:v>
                </c:pt>
                <c:pt idx="13">
                  <c:v>94.789330000000007</c:v>
                </c:pt>
                <c:pt idx="14">
                  <c:v>97.864710000000002</c:v>
                </c:pt>
                <c:pt idx="15">
                  <c:v>100.3989</c:v>
                </c:pt>
                <c:pt idx="16">
                  <c:v>101.3655</c:v>
                </c:pt>
                <c:pt idx="17">
                  <c:v>103.1621</c:v>
                </c:pt>
                <c:pt idx="18">
                  <c:v>103.6332</c:v>
                </c:pt>
                <c:pt idx="19">
                  <c:v>101.7856</c:v>
                </c:pt>
                <c:pt idx="20">
                  <c:v>101.126</c:v>
                </c:pt>
                <c:pt idx="21">
                  <c:v>99.944190000000006</c:v>
                </c:pt>
                <c:pt idx="22">
                  <c:v>100.6493</c:v>
                </c:pt>
                <c:pt idx="23">
                  <c:v>101.74079999999999</c:v>
                </c:pt>
                <c:pt idx="24">
                  <c:v>105.3129</c:v>
                </c:pt>
                <c:pt idx="25">
                  <c:v>105.4616</c:v>
                </c:pt>
                <c:pt idx="26">
                  <c:v>101.8437</c:v>
                </c:pt>
                <c:pt idx="27">
                  <c:v>100.9235</c:v>
                </c:pt>
                <c:pt idx="28">
                  <c:v>103.20489999999999</c:v>
                </c:pt>
                <c:pt idx="29">
                  <c:v>102.42440000000001</c:v>
                </c:pt>
                <c:pt idx="30">
                  <c:v>104.7963</c:v>
                </c:pt>
                <c:pt idx="31">
                  <c:v>99.806790000000007</c:v>
                </c:pt>
                <c:pt idx="32">
                  <c:v>98.083259999999996</c:v>
                </c:pt>
                <c:pt idx="33">
                  <c:v>98.926699999999997</c:v>
                </c:pt>
                <c:pt idx="34">
                  <c:v>99.545599999999993</c:v>
                </c:pt>
                <c:pt idx="35">
                  <c:v>99.595510000000004</c:v>
                </c:pt>
                <c:pt idx="36">
                  <c:v>102.4803</c:v>
                </c:pt>
                <c:pt idx="37">
                  <c:v>102.09059999999999</c:v>
                </c:pt>
                <c:pt idx="38">
                  <c:v>102.8339</c:v>
                </c:pt>
                <c:pt idx="39">
                  <c:v>102.248</c:v>
                </c:pt>
                <c:pt idx="40">
                  <c:v>103.39279999999999</c:v>
                </c:pt>
                <c:pt idx="41">
                  <c:v>99.148709999999994</c:v>
                </c:pt>
                <c:pt idx="42">
                  <c:v>96.522530000000003</c:v>
                </c:pt>
                <c:pt idx="43">
                  <c:v>92.690539999999999</c:v>
                </c:pt>
                <c:pt idx="44">
                  <c:v>93.786190000000005</c:v>
                </c:pt>
                <c:pt idx="45">
                  <c:v>95.324389999999994</c:v>
                </c:pt>
                <c:pt idx="46">
                  <c:v>91.295779999999993</c:v>
                </c:pt>
                <c:pt idx="47">
                  <c:v>94.296819999999997</c:v>
                </c:pt>
                <c:pt idx="48">
                  <c:v>95.811679999999996</c:v>
                </c:pt>
                <c:pt idx="49">
                  <c:v>93.799350000000004</c:v>
                </c:pt>
                <c:pt idx="50">
                  <c:v>92.603549999999998</c:v>
                </c:pt>
                <c:pt idx="51">
                  <c:v>95.40925</c:v>
                </c:pt>
                <c:pt idx="52">
                  <c:v>91.949340000000007</c:v>
                </c:pt>
                <c:pt idx="53">
                  <c:v>93.916480000000007</c:v>
                </c:pt>
                <c:pt idx="54">
                  <c:v>93.81514</c:v>
                </c:pt>
                <c:pt idx="55">
                  <c:v>91.937780000000004</c:v>
                </c:pt>
                <c:pt idx="56">
                  <c:v>89.802090000000007</c:v>
                </c:pt>
                <c:pt idx="57">
                  <c:v>89.904269999999997</c:v>
                </c:pt>
                <c:pt idx="58">
                  <c:v>93.588089999999994</c:v>
                </c:pt>
                <c:pt idx="59">
                  <c:v>97.168340000000001</c:v>
                </c:pt>
                <c:pt idx="60">
                  <c:v>98.080169999999995</c:v>
                </c:pt>
                <c:pt idx="61">
                  <c:v>93.830039999999997</c:v>
                </c:pt>
                <c:pt idx="62">
                  <c:v>90.396969999999996</c:v>
                </c:pt>
                <c:pt idx="63">
                  <c:v>87.011060000000001</c:v>
                </c:pt>
                <c:pt idx="64">
                  <c:v>90.364019999999996</c:v>
                </c:pt>
                <c:pt idx="65">
                  <c:v>92.934780000000003</c:v>
                </c:pt>
                <c:pt idx="66">
                  <c:v>90.456659999999999</c:v>
                </c:pt>
                <c:pt idx="67">
                  <c:v>91.084770000000006</c:v>
                </c:pt>
                <c:pt idx="68">
                  <c:v>92.22878</c:v>
                </c:pt>
                <c:pt idx="69">
                  <c:v>97.115369999999999</c:v>
                </c:pt>
                <c:pt idx="70">
                  <c:v>100.00109999999999</c:v>
                </c:pt>
                <c:pt idx="71">
                  <c:v>100.9175</c:v>
                </c:pt>
                <c:pt idx="72">
                  <c:v>106.8086</c:v>
                </c:pt>
                <c:pt idx="73">
                  <c:v>109.0136</c:v>
                </c:pt>
                <c:pt idx="74">
                  <c:v>110.77460000000001</c:v>
                </c:pt>
                <c:pt idx="75">
                  <c:v>116.58</c:v>
                </c:pt>
                <c:pt idx="76">
                  <c:v>120.55589999999999</c:v>
                </c:pt>
                <c:pt idx="77">
                  <c:v>112.7817</c:v>
                </c:pt>
                <c:pt idx="78">
                  <c:v>113.4045</c:v>
                </c:pt>
                <c:pt idx="79">
                  <c:v>115.35769999999999</c:v>
                </c:pt>
                <c:pt idx="80">
                  <c:v>111.1529</c:v>
                </c:pt>
                <c:pt idx="81">
                  <c:v>111.051</c:v>
                </c:pt>
                <c:pt idx="82">
                  <c:v>112.0307</c:v>
                </c:pt>
                <c:pt idx="83">
                  <c:v>114.9016</c:v>
                </c:pt>
                <c:pt idx="84">
                  <c:v>119.4406</c:v>
                </c:pt>
                <c:pt idx="85">
                  <c:v>124.50920000000001</c:v>
                </c:pt>
                <c:pt idx="86">
                  <c:v>131.59379999999999</c:v>
                </c:pt>
                <c:pt idx="87">
                  <c:v>134.35419999999999</c:v>
                </c:pt>
                <c:pt idx="88">
                  <c:v>130.43289999999999</c:v>
                </c:pt>
                <c:pt idx="89">
                  <c:v>123.92659999999999</c:v>
                </c:pt>
                <c:pt idx="90">
                  <c:v>114.7042</c:v>
                </c:pt>
                <c:pt idx="91">
                  <c:v>112.1764</c:v>
                </c:pt>
                <c:pt idx="92">
                  <c:v>108.869</c:v>
                </c:pt>
                <c:pt idx="93">
                  <c:v>110.64360000000001</c:v>
                </c:pt>
                <c:pt idx="94">
                  <c:v>110.9979</c:v>
                </c:pt>
                <c:pt idx="95">
                  <c:v>110.38</c:v>
                </c:pt>
              </c:numCache>
            </c:numRef>
          </c:val>
          <c:smooth val="0"/>
          <c:extLst>
            <c:ext xmlns:c16="http://schemas.microsoft.com/office/drawing/2014/chart" uri="{C3380CC4-5D6E-409C-BE32-E72D297353CC}">
              <c16:uniqueId val="{00000002-DA8F-4C0A-907B-2DEE832E2D78}"/>
            </c:ext>
          </c:extLst>
        </c:ser>
        <c:ser>
          <c:idx val="4"/>
          <c:order val="3"/>
          <c:tx>
            <c:strRef>
              <c:f>Commodities!$S$6</c:f>
              <c:strCache>
                <c:ptCount val="1"/>
                <c:pt idx="0">
                  <c:v>Енергија</c:v>
                </c:pt>
              </c:strCache>
            </c:strRef>
          </c:tx>
          <c:spPr>
            <a:ln w="22225" cap="rnd">
              <a:solidFill>
                <a:srgbClr val="00A651"/>
              </a:solidFill>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Commodities!$S$20:$S$123</c:f>
              <c:numCache>
                <c:formatCode>#.#00</c:formatCode>
                <c:ptCount val="104"/>
                <c:pt idx="0">
                  <c:v>125.4295</c:v>
                </c:pt>
                <c:pt idx="1">
                  <c:v>136.76939999999999</c:v>
                </c:pt>
                <c:pt idx="2">
                  <c:v>130.52809999999999</c:v>
                </c:pt>
                <c:pt idx="3">
                  <c:v>132.51820000000001</c:v>
                </c:pt>
                <c:pt idx="4">
                  <c:v>138.87110000000001</c:v>
                </c:pt>
                <c:pt idx="5">
                  <c:v>135.03790000000001</c:v>
                </c:pt>
                <c:pt idx="6">
                  <c:v>123.7379</c:v>
                </c:pt>
                <c:pt idx="7">
                  <c:v>110.09310000000001</c:v>
                </c:pt>
                <c:pt idx="8">
                  <c:v>110.0608</c:v>
                </c:pt>
                <c:pt idx="9">
                  <c:v>109.983</c:v>
                </c:pt>
                <c:pt idx="10">
                  <c:v>102.4903</c:v>
                </c:pt>
                <c:pt idx="11">
                  <c:v>91.672460000000001</c:v>
                </c:pt>
                <c:pt idx="12">
                  <c:v>78.713269999999994</c:v>
                </c:pt>
                <c:pt idx="13">
                  <c:v>78.803809999999999</c:v>
                </c:pt>
                <c:pt idx="14">
                  <c:v>88.428799999999995</c:v>
                </c:pt>
                <c:pt idx="15">
                  <c:v>92.90889</c:v>
                </c:pt>
                <c:pt idx="16">
                  <c:v>101.4736</c:v>
                </c:pt>
                <c:pt idx="17">
                  <c:v>106.3331</c:v>
                </c:pt>
                <c:pt idx="18">
                  <c:v>101.5938</c:v>
                </c:pt>
                <c:pt idx="19">
                  <c:v>103.09990000000001</c:v>
                </c:pt>
                <c:pt idx="20">
                  <c:v>104.1035</c:v>
                </c:pt>
                <c:pt idx="21">
                  <c:v>114.5343</c:v>
                </c:pt>
                <c:pt idx="22">
                  <c:v>107.9285</c:v>
                </c:pt>
                <c:pt idx="23">
                  <c:v>122.07850000000001</c:v>
                </c:pt>
                <c:pt idx="24">
                  <c:v>126.4402</c:v>
                </c:pt>
                <c:pt idx="25">
                  <c:v>123.86539999999999</c:v>
                </c:pt>
                <c:pt idx="26">
                  <c:v>114.065</c:v>
                </c:pt>
                <c:pt idx="27">
                  <c:v>117.1199</c:v>
                </c:pt>
                <c:pt idx="28">
                  <c:v>112.3445</c:v>
                </c:pt>
                <c:pt idx="29">
                  <c:v>105.8139</c:v>
                </c:pt>
                <c:pt idx="30">
                  <c:v>109.1897</c:v>
                </c:pt>
                <c:pt idx="31">
                  <c:v>115.0783</c:v>
                </c:pt>
                <c:pt idx="32">
                  <c:v>122.2076</c:v>
                </c:pt>
                <c:pt idx="33">
                  <c:v>126.5235</c:v>
                </c:pt>
                <c:pt idx="34">
                  <c:v>137.07669999999999</c:v>
                </c:pt>
                <c:pt idx="35">
                  <c:v>139.9562</c:v>
                </c:pt>
                <c:pt idx="36">
                  <c:v>148.0891</c:v>
                </c:pt>
                <c:pt idx="37">
                  <c:v>142.02690000000001</c:v>
                </c:pt>
                <c:pt idx="38">
                  <c:v>141.7645</c:v>
                </c:pt>
                <c:pt idx="39">
                  <c:v>145.49270000000001</c:v>
                </c:pt>
                <c:pt idx="40">
                  <c:v>155.52799999999999</c:v>
                </c:pt>
                <c:pt idx="41">
                  <c:v>155.5445</c:v>
                </c:pt>
                <c:pt idx="42">
                  <c:v>156.7714</c:v>
                </c:pt>
                <c:pt idx="43">
                  <c:v>155.44069999999999</c:v>
                </c:pt>
                <c:pt idx="44">
                  <c:v>164.24080000000001</c:v>
                </c:pt>
                <c:pt idx="45">
                  <c:v>163.6489</c:v>
                </c:pt>
                <c:pt idx="46">
                  <c:v>141.0926</c:v>
                </c:pt>
                <c:pt idx="47">
                  <c:v>126.8686</c:v>
                </c:pt>
                <c:pt idx="48">
                  <c:v>126.7653</c:v>
                </c:pt>
                <c:pt idx="49">
                  <c:v>128.46469999999999</c:v>
                </c:pt>
                <c:pt idx="50">
                  <c:v>129.58439999999999</c:v>
                </c:pt>
                <c:pt idx="51">
                  <c:v>134.11259999999999</c:v>
                </c:pt>
                <c:pt idx="52">
                  <c:v>129.12299999999999</c:v>
                </c:pt>
                <c:pt idx="53">
                  <c:v>114.4799</c:v>
                </c:pt>
                <c:pt idx="54">
                  <c:v>117.7123</c:v>
                </c:pt>
                <c:pt idx="55">
                  <c:v>109.67189999999999</c:v>
                </c:pt>
                <c:pt idx="56">
                  <c:v>114.54340000000001</c:v>
                </c:pt>
                <c:pt idx="57">
                  <c:v>111.81789999999999</c:v>
                </c:pt>
                <c:pt idx="58">
                  <c:v>119.1943</c:v>
                </c:pt>
                <c:pt idx="59">
                  <c:v>122.54900000000001</c:v>
                </c:pt>
                <c:pt idx="60">
                  <c:v>117.45489999999999</c:v>
                </c:pt>
                <c:pt idx="61">
                  <c:v>101.4847</c:v>
                </c:pt>
                <c:pt idx="62">
                  <c:v>67.929289999999995</c:v>
                </c:pt>
                <c:pt idx="63">
                  <c:v>52.362560000000002</c:v>
                </c:pt>
                <c:pt idx="64">
                  <c:v>63.717199999999998</c:v>
                </c:pt>
                <c:pt idx="65">
                  <c:v>76.774799999999999</c:v>
                </c:pt>
                <c:pt idx="66">
                  <c:v>80.114289999999997</c:v>
                </c:pt>
                <c:pt idx="67">
                  <c:v>86.156570000000002</c:v>
                </c:pt>
                <c:pt idx="68">
                  <c:v>84.255939999999995</c:v>
                </c:pt>
                <c:pt idx="69">
                  <c:v>88.008089999999996</c:v>
                </c:pt>
                <c:pt idx="70">
                  <c:v>93.131780000000006</c:v>
                </c:pt>
                <c:pt idx="71">
                  <c:v>109.27330000000001</c:v>
                </c:pt>
                <c:pt idx="72">
                  <c:v>127.1322</c:v>
                </c:pt>
                <c:pt idx="73">
                  <c:v>125.7264</c:v>
                </c:pt>
                <c:pt idx="74">
                  <c:v>128.8973</c:v>
                </c:pt>
                <c:pt idx="75">
                  <c:v>128.79740000000001</c:v>
                </c:pt>
                <c:pt idx="76">
                  <c:v>137.91300000000001</c:v>
                </c:pt>
                <c:pt idx="77">
                  <c:v>151.08750000000001</c:v>
                </c:pt>
                <c:pt idx="78">
                  <c:v>159.56299999999999</c:v>
                </c:pt>
                <c:pt idx="79">
                  <c:v>161.39099999999999</c:v>
                </c:pt>
                <c:pt idx="80">
                  <c:v>186.4118</c:v>
                </c:pt>
                <c:pt idx="81">
                  <c:v>222.72460000000001</c:v>
                </c:pt>
                <c:pt idx="82">
                  <c:v>203.67959999999999</c:v>
                </c:pt>
                <c:pt idx="83">
                  <c:v>206.767</c:v>
                </c:pt>
                <c:pt idx="84">
                  <c:v>206.22620000000001</c:v>
                </c:pt>
                <c:pt idx="85">
                  <c:v>220.1671</c:v>
                </c:pt>
                <c:pt idx="86">
                  <c:v>277.20010000000002</c:v>
                </c:pt>
                <c:pt idx="87">
                  <c:v>249.6968</c:v>
                </c:pt>
                <c:pt idx="88">
                  <c:v>252.0215</c:v>
                </c:pt>
                <c:pt idx="89">
                  <c:v>265.9939</c:v>
                </c:pt>
                <c:pt idx="90">
                  <c:v>278.7432</c:v>
                </c:pt>
                <c:pt idx="91">
                  <c:v>305.28339999999997</c:v>
                </c:pt>
                <c:pt idx="92">
                  <c:v>267.18819999999999</c:v>
                </c:pt>
                <c:pt idx="93">
                  <c:v>209.45249999999999</c:v>
                </c:pt>
                <c:pt idx="94">
                  <c:v>207.24469999999999</c:v>
                </c:pt>
                <c:pt idx="95">
                  <c:v>209.21180000000001</c:v>
                </c:pt>
              </c:numCache>
            </c:numRef>
          </c:val>
          <c:smooth val="0"/>
          <c:extLst>
            <c:ext xmlns:c16="http://schemas.microsoft.com/office/drawing/2014/chart" uri="{C3380CC4-5D6E-409C-BE32-E72D297353CC}">
              <c16:uniqueId val="{00000003-DA8F-4C0A-907B-2DEE832E2D78}"/>
            </c:ext>
          </c:extLst>
        </c:ser>
        <c:ser>
          <c:idx val="6"/>
          <c:order val="4"/>
          <c:tx>
            <c:strRef>
              <c:f>Commodities!$T$6</c:f>
              <c:strCache>
                <c:ptCount val="1"/>
                <c:pt idx="0">
                  <c:v>Сви производи</c:v>
                </c:pt>
              </c:strCache>
            </c:strRef>
          </c:tx>
          <c:spPr>
            <a:ln w="22225" cap="rnd">
              <a:solidFill>
                <a:srgbClr val="003891"/>
              </a:solidFill>
              <a:prstDash val="sysDash"/>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Commodities!$T$20:$T$123</c:f>
              <c:numCache>
                <c:formatCode>General</c:formatCode>
                <c:ptCount val="104"/>
                <c:pt idx="95" formatCode="#.#00">
                  <c:v>156.43979999999999</c:v>
                </c:pt>
                <c:pt idx="96" formatCode="#.#00">
                  <c:v>138.50919999999999</c:v>
                </c:pt>
                <c:pt idx="97" formatCode="#.#00">
                  <c:v>130.2423</c:v>
                </c:pt>
                <c:pt idx="98" formatCode="#.#00">
                  <c:v>130.10919999999999</c:v>
                </c:pt>
                <c:pt idx="99" formatCode="#.#00">
                  <c:v>131.19659999999999</c:v>
                </c:pt>
                <c:pt idx="100" formatCode="#.#00">
                  <c:v>131.7415</c:v>
                </c:pt>
                <c:pt idx="101" formatCode="#.#00">
                  <c:v>129.57499999999999</c:v>
                </c:pt>
                <c:pt idx="102" formatCode="#.#00">
                  <c:v>128.86500000000001</c:v>
                </c:pt>
                <c:pt idx="103" formatCode="#.#00">
                  <c:v>129.42310000000001</c:v>
                </c:pt>
              </c:numCache>
            </c:numRef>
          </c:val>
          <c:smooth val="0"/>
          <c:extLst>
            <c:ext xmlns:c16="http://schemas.microsoft.com/office/drawing/2014/chart" uri="{C3380CC4-5D6E-409C-BE32-E72D297353CC}">
              <c16:uniqueId val="{00000004-DA8F-4C0A-907B-2DEE832E2D78}"/>
            </c:ext>
          </c:extLst>
        </c:ser>
        <c:ser>
          <c:idx val="7"/>
          <c:order val="5"/>
          <c:tx>
            <c:strRef>
              <c:f>Commodities!$U$6</c:f>
              <c:strCache>
                <c:ptCount val="1"/>
                <c:pt idx="0">
                  <c:v>Основни метали</c:v>
                </c:pt>
              </c:strCache>
            </c:strRef>
          </c:tx>
          <c:spPr>
            <a:ln w="22225" cap="rnd">
              <a:solidFill>
                <a:srgbClr val="EC008C"/>
              </a:solidFill>
              <a:prstDash val="sysDash"/>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Commodities!$U$20:$U$123</c:f>
              <c:numCache>
                <c:formatCode>General</c:formatCode>
                <c:ptCount val="104"/>
                <c:pt idx="95" formatCode="#.#00">
                  <c:v>149.0994</c:v>
                </c:pt>
                <c:pt idx="96" formatCode="#.#00">
                  <c:v>164.31649999999999</c:v>
                </c:pt>
                <c:pt idx="97" formatCode="#.#00">
                  <c:v>159.68790000000001</c:v>
                </c:pt>
                <c:pt idx="98" formatCode="#.#00">
                  <c:v>158.8312</c:v>
                </c:pt>
                <c:pt idx="99" formatCode="#.#00">
                  <c:v>157.8954</c:v>
                </c:pt>
                <c:pt idx="100" formatCode="#.#00">
                  <c:v>157.05459999999999</c:v>
                </c:pt>
                <c:pt idx="101" formatCode="#.#00">
                  <c:v>156.29939999999999</c:v>
                </c:pt>
                <c:pt idx="102" formatCode="#.#00">
                  <c:v>155.60939999999999</c:v>
                </c:pt>
                <c:pt idx="103" formatCode="#.#00">
                  <c:v>154.94200000000001</c:v>
                </c:pt>
              </c:numCache>
            </c:numRef>
          </c:val>
          <c:smooth val="0"/>
          <c:extLst>
            <c:ext xmlns:c16="http://schemas.microsoft.com/office/drawing/2014/chart" uri="{C3380CC4-5D6E-409C-BE32-E72D297353CC}">
              <c16:uniqueId val="{00000005-DA8F-4C0A-907B-2DEE832E2D78}"/>
            </c:ext>
          </c:extLst>
        </c:ser>
        <c:ser>
          <c:idx val="8"/>
          <c:order val="6"/>
          <c:tx>
            <c:strRef>
              <c:f>Commodities!$V$6</c:f>
              <c:strCache>
                <c:ptCount val="1"/>
                <c:pt idx="0">
                  <c:v>Храна</c:v>
                </c:pt>
              </c:strCache>
            </c:strRef>
          </c:tx>
          <c:spPr>
            <a:ln w="22225" cap="rnd">
              <a:solidFill>
                <a:srgbClr val="7F3F98"/>
              </a:solidFill>
              <a:prstDash val="sysDash"/>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Commodities!$V$20:$V$123</c:f>
              <c:numCache>
                <c:formatCode>General</c:formatCode>
                <c:ptCount val="104"/>
                <c:pt idx="95" formatCode="#.#00">
                  <c:v>110.38</c:v>
                </c:pt>
                <c:pt idx="96" formatCode="#.#00">
                  <c:v>111.6666</c:v>
                </c:pt>
                <c:pt idx="97" formatCode="#.#00">
                  <c:v>111.2777</c:v>
                </c:pt>
                <c:pt idx="98" formatCode="#.#00">
                  <c:v>108.40049999999999</c:v>
                </c:pt>
                <c:pt idx="99" formatCode="#.#00">
                  <c:v>106.738</c:v>
                </c:pt>
                <c:pt idx="100" formatCode="#.#00">
                  <c:v>107.2518</c:v>
                </c:pt>
                <c:pt idx="101" formatCode="#.#00">
                  <c:v>107.8707</c:v>
                </c:pt>
                <c:pt idx="102" formatCode="#.#00">
                  <c:v>105.5027</c:v>
                </c:pt>
                <c:pt idx="103" formatCode="#.#00">
                  <c:v>105.0355</c:v>
                </c:pt>
              </c:numCache>
            </c:numRef>
          </c:val>
          <c:smooth val="0"/>
          <c:extLst>
            <c:ext xmlns:c16="http://schemas.microsoft.com/office/drawing/2014/chart" uri="{C3380CC4-5D6E-409C-BE32-E72D297353CC}">
              <c16:uniqueId val="{00000006-DA8F-4C0A-907B-2DEE832E2D78}"/>
            </c:ext>
          </c:extLst>
        </c:ser>
        <c:ser>
          <c:idx val="9"/>
          <c:order val="7"/>
          <c:tx>
            <c:strRef>
              <c:f>Commodities!$W$6</c:f>
              <c:strCache>
                <c:ptCount val="1"/>
                <c:pt idx="0">
                  <c:v>Енергија</c:v>
                </c:pt>
              </c:strCache>
            </c:strRef>
          </c:tx>
          <c:spPr>
            <a:ln w="22225" cap="rnd">
              <a:solidFill>
                <a:srgbClr val="00A651"/>
              </a:solidFill>
              <a:prstDash val="sysDash"/>
              <a:round/>
            </a:ln>
            <a:effectLst/>
          </c:spPr>
          <c:marker>
            <c:symbol val="none"/>
          </c:marker>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Commodities!$W$20:$W$123</c:f>
              <c:numCache>
                <c:formatCode>General</c:formatCode>
                <c:ptCount val="104"/>
                <c:pt idx="95" formatCode="#.#00">
                  <c:v>209.21180000000001</c:v>
                </c:pt>
                <c:pt idx="96" formatCode="#.#00">
                  <c:v>161.5163</c:v>
                </c:pt>
                <c:pt idx="97" formatCode="#.#00">
                  <c:v>141.53299999999999</c:v>
                </c:pt>
                <c:pt idx="98" formatCode="#.#00">
                  <c:v>142.97329999999999</c:v>
                </c:pt>
                <c:pt idx="99" formatCode="#.#00">
                  <c:v>146.64529999999999</c:v>
                </c:pt>
                <c:pt idx="100" formatCode="#.#00">
                  <c:v>147.5471</c:v>
                </c:pt>
                <c:pt idx="101" formatCode="#.#00">
                  <c:v>141.76</c:v>
                </c:pt>
                <c:pt idx="102" formatCode="#.#00">
                  <c:v>141.5001</c:v>
                </c:pt>
                <c:pt idx="103" formatCode="#.#00">
                  <c:v>143.1147</c:v>
                </c:pt>
              </c:numCache>
            </c:numRef>
          </c:val>
          <c:smooth val="0"/>
          <c:extLst>
            <c:ext xmlns:c16="http://schemas.microsoft.com/office/drawing/2014/chart" uri="{C3380CC4-5D6E-409C-BE32-E72D297353CC}">
              <c16:uniqueId val="{00000007-DA8F-4C0A-907B-2DEE832E2D78}"/>
            </c:ext>
          </c:extLst>
        </c:ser>
        <c:ser>
          <c:idx val="3"/>
          <c:order val="8"/>
          <c:tx>
            <c:strRef>
              <c:f>Commodities!$X$6</c:f>
              <c:strCache>
                <c:ptCount val="1"/>
                <c:pt idx="0">
                  <c:v>100</c:v>
                </c:pt>
              </c:strCache>
            </c:strRef>
          </c:tx>
          <c:spPr>
            <a:ln w="6350" cap="rnd">
              <a:solidFill>
                <a:srgbClr val="898989"/>
              </a:solidFill>
              <a:round/>
            </a:ln>
            <a:effectLst/>
          </c:spPr>
          <c:marker>
            <c:symbol val="none"/>
          </c:marker>
          <c:dPt>
            <c:idx val="0"/>
            <c:marker>
              <c:symbol val="none"/>
            </c:marker>
            <c:bubble3D val="0"/>
            <c:extLst>
              <c:ext xmlns:c16="http://schemas.microsoft.com/office/drawing/2014/chart" uri="{C3380CC4-5D6E-409C-BE32-E72D297353CC}">
                <c16:uniqueId val="{00000008-DA8F-4C0A-907B-2DEE832E2D78}"/>
              </c:ext>
            </c:extLst>
          </c:dPt>
          <c:dPt>
            <c:idx val="12"/>
            <c:marker>
              <c:symbol val="none"/>
            </c:marker>
            <c:bubble3D val="0"/>
            <c:extLst>
              <c:ext xmlns:c16="http://schemas.microsoft.com/office/drawing/2014/chart" uri="{C3380CC4-5D6E-409C-BE32-E72D297353CC}">
                <c16:uniqueId val="{00000009-DA8F-4C0A-907B-2DEE832E2D78}"/>
              </c:ext>
            </c:extLst>
          </c:dPt>
          <c:dPt>
            <c:idx val="24"/>
            <c:marker>
              <c:symbol val="none"/>
            </c:marker>
            <c:bubble3D val="0"/>
            <c:extLst>
              <c:ext xmlns:c16="http://schemas.microsoft.com/office/drawing/2014/chart" uri="{C3380CC4-5D6E-409C-BE32-E72D297353CC}">
                <c16:uniqueId val="{0000000A-DA8F-4C0A-907B-2DEE832E2D78}"/>
              </c:ext>
            </c:extLst>
          </c:dPt>
          <c:dPt>
            <c:idx val="36"/>
            <c:marker>
              <c:symbol val="none"/>
            </c:marker>
            <c:bubble3D val="0"/>
            <c:extLst>
              <c:ext xmlns:c16="http://schemas.microsoft.com/office/drawing/2014/chart" uri="{C3380CC4-5D6E-409C-BE32-E72D297353CC}">
                <c16:uniqueId val="{0000000B-DA8F-4C0A-907B-2DEE832E2D78}"/>
              </c:ext>
            </c:extLst>
          </c:dPt>
          <c:dPt>
            <c:idx val="48"/>
            <c:marker>
              <c:symbol val="none"/>
            </c:marker>
            <c:bubble3D val="0"/>
            <c:extLst>
              <c:ext xmlns:c16="http://schemas.microsoft.com/office/drawing/2014/chart" uri="{C3380CC4-5D6E-409C-BE32-E72D297353CC}">
                <c16:uniqueId val="{0000000C-DA8F-4C0A-907B-2DEE832E2D78}"/>
              </c:ext>
            </c:extLst>
          </c:dPt>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Commodities!$X$20:$X$123</c:f>
              <c:numCache>
                <c:formatCode>General</c:formatCode>
                <c:ptCount val="104"/>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100</c:v>
                </c:pt>
                <c:pt idx="17">
                  <c:v>100</c:v>
                </c:pt>
                <c:pt idx="18">
                  <c:v>100</c:v>
                </c:pt>
                <c:pt idx="19">
                  <c:v>100</c:v>
                </c:pt>
                <c:pt idx="20">
                  <c:v>100</c:v>
                </c:pt>
                <c:pt idx="21">
                  <c:v>100</c:v>
                </c:pt>
                <c:pt idx="22">
                  <c:v>100</c:v>
                </c:pt>
                <c:pt idx="23">
                  <c:v>100</c:v>
                </c:pt>
                <c:pt idx="24">
                  <c:v>100</c:v>
                </c:pt>
                <c:pt idx="25">
                  <c:v>100</c:v>
                </c:pt>
                <c:pt idx="26">
                  <c:v>100</c:v>
                </c:pt>
                <c:pt idx="27">
                  <c:v>100</c:v>
                </c:pt>
                <c:pt idx="28">
                  <c:v>100</c:v>
                </c:pt>
                <c:pt idx="29">
                  <c:v>100</c:v>
                </c:pt>
                <c:pt idx="30">
                  <c:v>100</c:v>
                </c:pt>
                <c:pt idx="31">
                  <c:v>100</c:v>
                </c:pt>
                <c:pt idx="32">
                  <c:v>100</c:v>
                </c:pt>
                <c:pt idx="33">
                  <c:v>100</c:v>
                </c:pt>
                <c:pt idx="34">
                  <c:v>100</c:v>
                </c:pt>
                <c:pt idx="35">
                  <c:v>100</c:v>
                </c:pt>
                <c:pt idx="36">
                  <c:v>100</c:v>
                </c:pt>
                <c:pt idx="37">
                  <c:v>100</c:v>
                </c:pt>
                <c:pt idx="38">
                  <c:v>100</c:v>
                </c:pt>
                <c:pt idx="39">
                  <c:v>100</c:v>
                </c:pt>
                <c:pt idx="40">
                  <c:v>100</c:v>
                </c:pt>
                <c:pt idx="41">
                  <c:v>100</c:v>
                </c:pt>
                <c:pt idx="42">
                  <c:v>100</c:v>
                </c:pt>
                <c:pt idx="43">
                  <c:v>100</c:v>
                </c:pt>
                <c:pt idx="44">
                  <c:v>100</c:v>
                </c:pt>
                <c:pt idx="45">
                  <c:v>100</c:v>
                </c:pt>
                <c:pt idx="46">
                  <c:v>100</c:v>
                </c:pt>
                <c:pt idx="47">
                  <c:v>100</c:v>
                </c:pt>
                <c:pt idx="48">
                  <c:v>100</c:v>
                </c:pt>
                <c:pt idx="49">
                  <c:v>100</c:v>
                </c:pt>
                <c:pt idx="50">
                  <c:v>100</c:v>
                </c:pt>
                <c:pt idx="51">
                  <c:v>100</c:v>
                </c:pt>
                <c:pt idx="52">
                  <c:v>100</c:v>
                </c:pt>
                <c:pt idx="53">
                  <c:v>100</c:v>
                </c:pt>
                <c:pt idx="54">
                  <c:v>100</c:v>
                </c:pt>
                <c:pt idx="55">
                  <c:v>100</c:v>
                </c:pt>
                <c:pt idx="56">
                  <c:v>100</c:v>
                </c:pt>
                <c:pt idx="57">
                  <c:v>100</c:v>
                </c:pt>
                <c:pt idx="58">
                  <c:v>100</c:v>
                </c:pt>
                <c:pt idx="59">
                  <c:v>100</c:v>
                </c:pt>
                <c:pt idx="60">
                  <c:v>100</c:v>
                </c:pt>
                <c:pt idx="61">
                  <c:v>100</c:v>
                </c:pt>
                <c:pt idx="62">
                  <c:v>100</c:v>
                </c:pt>
                <c:pt idx="63">
                  <c:v>100</c:v>
                </c:pt>
                <c:pt idx="64">
                  <c:v>100</c:v>
                </c:pt>
                <c:pt idx="65">
                  <c:v>100</c:v>
                </c:pt>
                <c:pt idx="66">
                  <c:v>100</c:v>
                </c:pt>
                <c:pt idx="67">
                  <c:v>100</c:v>
                </c:pt>
                <c:pt idx="68">
                  <c:v>100</c:v>
                </c:pt>
                <c:pt idx="69">
                  <c:v>100</c:v>
                </c:pt>
                <c:pt idx="70">
                  <c:v>100</c:v>
                </c:pt>
                <c:pt idx="71">
                  <c:v>100</c:v>
                </c:pt>
                <c:pt idx="72">
                  <c:v>100</c:v>
                </c:pt>
                <c:pt idx="73">
                  <c:v>100</c:v>
                </c:pt>
                <c:pt idx="74">
                  <c:v>100</c:v>
                </c:pt>
                <c:pt idx="75">
                  <c:v>100</c:v>
                </c:pt>
                <c:pt idx="76">
                  <c:v>100</c:v>
                </c:pt>
                <c:pt idx="77">
                  <c:v>100</c:v>
                </c:pt>
                <c:pt idx="78">
                  <c:v>100</c:v>
                </c:pt>
                <c:pt idx="79">
                  <c:v>100</c:v>
                </c:pt>
                <c:pt idx="80">
                  <c:v>100</c:v>
                </c:pt>
                <c:pt idx="81">
                  <c:v>100</c:v>
                </c:pt>
                <c:pt idx="82">
                  <c:v>100</c:v>
                </c:pt>
                <c:pt idx="83">
                  <c:v>100</c:v>
                </c:pt>
                <c:pt idx="84">
                  <c:v>100</c:v>
                </c:pt>
                <c:pt idx="85">
                  <c:v>100</c:v>
                </c:pt>
                <c:pt idx="86">
                  <c:v>100</c:v>
                </c:pt>
                <c:pt idx="87">
                  <c:v>100</c:v>
                </c:pt>
                <c:pt idx="88">
                  <c:v>100</c:v>
                </c:pt>
                <c:pt idx="89">
                  <c:v>100</c:v>
                </c:pt>
                <c:pt idx="90">
                  <c:v>100</c:v>
                </c:pt>
                <c:pt idx="91">
                  <c:v>100</c:v>
                </c:pt>
                <c:pt idx="92">
                  <c:v>100</c:v>
                </c:pt>
                <c:pt idx="93">
                  <c:v>100</c:v>
                </c:pt>
                <c:pt idx="94">
                  <c:v>100</c:v>
                </c:pt>
                <c:pt idx="95">
                  <c:v>100</c:v>
                </c:pt>
                <c:pt idx="96">
                  <c:v>100</c:v>
                </c:pt>
                <c:pt idx="97">
                  <c:v>100</c:v>
                </c:pt>
                <c:pt idx="98">
                  <c:v>100</c:v>
                </c:pt>
                <c:pt idx="99">
                  <c:v>100</c:v>
                </c:pt>
                <c:pt idx="100">
                  <c:v>100</c:v>
                </c:pt>
                <c:pt idx="101">
                  <c:v>100</c:v>
                </c:pt>
                <c:pt idx="102">
                  <c:v>100</c:v>
                </c:pt>
                <c:pt idx="103">
                  <c:v>100</c:v>
                </c:pt>
              </c:numCache>
            </c:numRef>
          </c:val>
          <c:smooth val="0"/>
          <c:extLst>
            <c:ext xmlns:c16="http://schemas.microsoft.com/office/drawing/2014/chart" uri="{C3380CC4-5D6E-409C-BE32-E72D297353CC}">
              <c16:uniqueId val="{0000000D-DA8F-4C0A-907B-2DEE832E2D78}"/>
            </c:ext>
          </c:extLst>
        </c:ser>
        <c:ser>
          <c:idx val="5"/>
          <c:order val="9"/>
          <c:tx>
            <c:strRef>
              <c:f>Commodities!$Y$6</c:f>
              <c:strCache>
                <c:ptCount val="1"/>
                <c:pt idx="0">
                  <c:v>Series 4</c:v>
                </c:pt>
              </c:strCache>
            </c:strRef>
          </c:tx>
          <c:spPr>
            <a:ln w="28575" cap="rnd">
              <a:noFill/>
              <a:round/>
            </a:ln>
            <a:effectLst/>
          </c:spPr>
          <c:marker>
            <c:symbol val="square"/>
            <c:size val="3"/>
            <c:spPr>
              <a:solidFill>
                <a:schemeClr val="bg1"/>
              </a:solidFill>
              <a:ln w="9525">
                <a:noFill/>
              </a:ln>
              <a:effectLst/>
            </c:spPr>
          </c:marker>
          <c:dLbls>
            <c:dLbl>
              <c:idx val="0"/>
              <c:layout>
                <c:manualLayout>
                  <c:x val="-3.7505861656176379E-2"/>
                  <c:y val="7.3590840840840846E-2"/>
                </c:manualLayout>
              </c:layout>
              <c:dLblPos val="r"/>
              <c:showLegendKey val="0"/>
              <c:showVal val="0"/>
              <c:showCatName val="1"/>
              <c:showSerName val="0"/>
              <c:showPercent val="0"/>
              <c:showBubbleSize val="0"/>
              <c:extLst>
                <c:ext xmlns:c15="http://schemas.microsoft.com/office/drawing/2012/chart" uri="{CE6537A1-D6FC-4f65-9D91-7224C49458BB}">
                  <c15:layout>
                    <c:manualLayout>
                      <c:w val="0.11669545489230061"/>
                      <c:h val="7.7261761761761749E-2"/>
                    </c:manualLayout>
                  </c15:layout>
                </c:ext>
                <c:ext xmlns:c16="http://schemas.microsoft.com/office/drawing/2014/chart" uri="{C3380CC4-5D6E-409C-BE32-E72D297353CC}">
                  <c16:uniqueId val="{0000000E-DA8F-4C0A-907B-2DEE832E2D78}"/>
                </c:ext>
              </c:extLst>
            </c:dLbl>
            <c:dLbl>
              <c:idx val="12"/>
              <c:layout>
                <c:manualLayout>
                  <c:x val="-2.8248054359058798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DA8F-4C0A-907B-2DEE832E2D78}"/>
                </c:ext>
              </c:extLst>
            </c:dLbl>
            <c:dLbl>
              <c:idx val="24"/>
              <c:layout>
                <c:manualLayout>
                  <c:x val="-2.8233522556818016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0-DA8F-4C0A-907B-2DEE832E2D78}"/>
                </c:ext>
              </c:extLst>
            </c:dLbl>
            <c:dLbl>
              <c:idx val="36"/>
              <c:layout>
                <c:manualLayout>
                  <c:x val="-2.359698892911542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1-DA8F-4C0A-907B-2DEE832E2D78}"/>
                </c:ext>
              </c:extLst>
            </c:dLbl>
            <c:dLbl>
              <c:idx val="48"/>
              <c:layout>
                <c:manualLayout>
                  <c:x val="-2.35897073686479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2-DA8F-4C0A-907B-2DEE832E2D78}"/>
                </c:ext>
              </c:extLst>
            </c:dLbl>
            <c:dLbl>
              <c:idx val="60"/>
              <c:layout>
                <c:manualLayout>
                  <c:x val="-2.3595532617021957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3-DA8F-4C0A-907B-2DEE832E2D78}"/>
                </c:ext>
              </c:extLst>
            </c:dLbl>
            <c:dLbl>
              <c:idx val="72"/>
              <c:layout>
                <c:manualLayout>
                  <c:x val="-1.8965916471763648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4-DA8F-4C0A-907B-2DEE832E2D78}"/>
                </c:ext>
              </c:extLst>
            </c:dLbl>
            <c:dLbl>
              <c:idx val="84"/>
              <c:layout>
                <c:manualLayout>
                  <c:x val="-2.3663383540472076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5-DA8F-4C0A-907B-2DEE832E2D78}"/>
                </c:ext>
              </c:extLst>
            </c:dLbl>
            <c:dLbl>
              <c:idx val="96"/>
              <c:layout>
                <c:manualLayout>
                  <c:x val="-2.3611187972027159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6-DA8F-4C0A-907B-2DEE832E2D78}"/>
                </c:ext>
              </c:extLst>
            </c:dLbl>
            <c:dLbl>
              <c:idx val="100"/>
              <c:layout>
                <c:manualLayout>
                  <c:x val="-1.592435091954969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7-DA8F-4C0A-907B-2DEE832E2D7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Arial" panose="020B0604020202020204" pitchFamily="34" charset="0"/>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Commodities!$I$20:$I$123</c:f>
              <c:numCache>
                <c:formatCode>yyyy</c:formatCode>
                <c:ptCount val="104"/>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45017</c:v>
                </c:pt>
                <c:pt idx="98">
                  <c:v>45108</c:v>
                </c:pt>
                <c:pt idx="99">
                  <c:v>45200</c:v>
                </c:pt>
                <c:pt idx="100">
                  <c:v>45292</c:v>
                </c:pt>
                <c:pt idx="101">
                  <c:v>45383</c:v>
                </c:pt>
                <c:pt idx="102">
                  <c:v>45474</c:v>
                </c:pt>
                <c:pt idx="103">
                  <c:v>45566</c:v>
                </c:pt>
              </c:numCache>
            </c:numRef>
          </c:cat>
          <c:val>
            <c:numRef>
              <c:f>Commodities!$Y$20:$Y$123</c:f>
              <c:numCache>
                <c:formatCode>General</c:formatCode>
                <c:ptCount val="104"/>
                <c:pt idx="0">
                  <c:v>20</c:v>
                </c:pt>
                <c:pt idx="12">
                  <c:v>20</c:v>
                </c:pt>
                <c:pt idx="24">
                  <c:v>20</c:v>
                </c:pt>
                <c:pt idx="36">
                  <c:v>20</c:v>
                </c:pt>
                <c:pt idx="48">
                  <c:v>20</c:v>
                </c:pt>
                <c:pt idx="60">
                  <c:v>20</c:v>
                </c:pt>
                <c:pt idx="72">
                  <c:v>20</c:v>
                </c:pt>
                <c:pt idx="84">
                  <c:v>20</c:v>
                </c:pt>
                <c:pt idx="96">
                  <c:v>20</c:v>
                </c:pt>
                <c:pt idx="100">
                  <c:v>20</c:v>
                </c:pt>
              </c:numCache>
            </c:numRef>
          </c:val>
          <c:smooth val="0"/>
          <c:extLst>
            <c:ext xmlns:c16="http://schemas.microsoft.com/office/drawing/2014/chart" uri="{C3380CC4-5D6E-409C-BE32-E72D297353CC}">
              <c16:uniqueId val="{00000018-DA8F-4C0A-907B-2DEE832E2D78}"/>
            </c:ext>
          </c:extLst>
        </c:ser>
        <c:dLbls>
          <c:showLegendKey val="0"/>
          <c:showVal val="0"/>
          <c:showCatName val="0"/>
          <c:showSerName val="0"/>
          <c:showPercent val="0"/>
          <c:showBubbleSize val="0"/>
        </c:dLbls>
        <c:smooth val="0"/>
        <c:axId val="1768785920"/>
        <c:axId val="1768787008"/>
      </c:lineChart>
      <c:dateAx>
        <c:axId val="176878592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7008"/>
        <c:crosses val="autoZero"/>
        <c:auto val="1"/>
        <c:lblOffset val="100"/>
        <c:baseTimeUnit val="months"/>
        <c:majorUnit val="12"/>
        <c:minorUnit val="1"/>
      </c:dateAx>
      <c:valAx>
        <c:axId val="1768787008"/>
        <c:scaling>
          <c:orientation val="minMax"/>
          <c:max val="340"/>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5920"/>
        <c:crosses val="autoZero"/>
        <c:crossBetween val="between"/>
        <c:majorUnit val="40"/>
      </c:valAx>
      <c:spPr>
        <a:noFill/>
        <a:ln>
          <a:noFill/>
        </a:ln>
        <a:effectLst/>
      </c:spPr>
    </c:plotArea>
    <c:legend>
      <c:legendPos val="b"/>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ayout>
        <c:manualLayout>
          <c:xMode val="edge"/>
          <c:yMode val="edge"/>
          <c:x val="0.1174303732866725"/>
          <c:y val="0.8752442442442443"/>
          <c:w val="0.77902814231554385"/>
          <c:h val="0.124755755755755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410569105691"/>
          <c:y val="5.8005314731772131E-2"/>
          <c:w val="0.83454945799457991"/>
          <c:h val="0.56175672877323946"/>
        </c:manualLayout>
      </c:layout>
      <c:lineChart>
        <c:grouping val="standard"/>
        <c:varyColors val="0"/>
        <c:ser>
          <c:idx val="0"/>
          <c:order val="0"/>
          <c:tx>
            <c:strRef>
              <c:f>'Commodities 2'!$K$145</c:f>
              <c:strCache>
                <c:ptCount val="1"/>
              </c:strCache>
            </c:strRef>
          </c:tx>
          <c:spPr>
            <a:ln w="22225" cap="rnd">
              <a:solidFill>
                <a:srgbClr val="00A651"/>
              </a:solidFill>
              <a:prstDash val="sysDot"/>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2'!$K$147:$K$154</c:f>
              <c:numCache>
                <c:formatCode>#.#00</c:formatCode>
                <c:ptCount val="8"/>
                <c:pt idx="0">
                  <c:v>100</c:v>
                </c:pt>
                <c:pt idx="1">
                  <c:v>101.68159404246752</c:v>
                </c:pt>
                <c:pt idx="2">
                  <c:v>128.2419241219684</c:v>
                </c:pt>
                <c:pt idx="3">
                  <c:v>146.48183556405351</c:v>
                </c:pt>
                <c:pt idx="4">
                  <c:v>137.93901579953706</c:v>
                </c:pt>
                <c:pt idx="5">
                  <c:v>135.12327664284993</c:v>
                </c:pt>
                <c:pt idx="6">
                  <c:v>132.59333802958639</c:v>
                </c:pt>
                <c:pt idx="7">
                  <c:v>132.33974036429507</c:v>
                </c:pt>
              </c:numCache>
            </c:numRef>
          </c:val>
          <c:smooth val="0"/>
          <c:extLst>
            <c:ext xmlns:c16="http://schemas.microsoft.com/office/drawing/2014/chart" uri="{C3380CC4-5D6E-409C-BE32-E72D297353CC}">
              <c16:uniqueId val="{00000000-1290-499F-90E5-6ADFBF8BA214}"/>
            </c:ext>
          </c:extLst>
        </c:ser>
        <c:ser>
          <c:idx val="1"/>
          <c:order val="1"/>
          <c:tx>
            <c:strRef>
              <c:f>'Commodities 2'!$L$145</c:f>
              <c:strCache>
                <c:ptCount val="1"/>
              </c:strCache>
            </c:strRef>
          </c:tx>
          <c:spPr>
            <a:ln w="22225" cap="rnd">
              <a:solidFill>
                <a:srgbClr val="EC008C"/>
              </a:solidFill>
              <a:prstDash val="sysDot"/>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2'!$L$147:$L$154</c:f>
              <c:numCache>
                <c:formatCode>#.#00</c:formatCode>
                <c:ptCount val="8"/>
                <c:pt idx="0">
                  <c:v>100</c:v>
                </c:pt>
                <c:pt idx="1">
                  <c:v>103.46585870529117</c:v>
                </c:pt>
                <c:pt idx="2">
                  <c:v>151.79796039018626</c:v>
                </c:pt>
                <c:pt idx="3">
                  <c:v>143.47989949748745</c:v>
                </c:pt>
                <c:pt idx="4">
                  <c:v>126.25110848359444</c:v>
                </c:pt>
                <c:pt idx="5">
                  <c:v>126.00280815843928</c:v>
                </c:pt>
                <c:pt idx="6">
                  <c:v>125.8624002364765</c:v>
                </c:pt>
                <c:pt idx="7">
                  <c:v>126.0567543600355</c:v>
                </c:pt>
              </c:numCache>
            </c:numRef>
          </c:val>
          <c:smooth val="0"/>
          <c:extLst>
            <c:ext xmlns:c16="http://schemas.microsoft.com/office/drawing/2014/chart" uri="{C3380CC4-5D6E-409C-BE32-E72D297353CC}">
              <c16:uniqueId val="{00000001-1290-499F-90E5-6ADFBF8BA214}"/>
            </c:ext>
          </c:extLst>
        </c:ser>
        <c:ser>
          <c:idx val="2"/>
          <c:order val="2"/>
          <c:tx>
            <c:strRef>
              <c:f>'Commodities 2'!$M$145</c:f>
              <c:strCache>
                <c:ptCount val="1"/>
              </c:strCache>
            </c:strRef>
          </c:tx>
          <c:spPr>
            <a:ln w="22225" cap="rnd">
              <a:solidFill>
                <a:srgbClr val="003891"/>
              </a:solidFill>
              <a:prstDash val="sysDot"/>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2'!$M$147:$M$154</c:f>
              <c:numCache>
                <c:formatCode>#.#00</c:formatCode>
                <c:ptCount val="8"/>
                <c:pt idx="0">
                  <c:v>100</c:v>
                </c:pt>
                <c:pt idx="1">
                  <c:v>68.333944747015835</c:v>
                </c:pt>
                <c:pt idx="2">
                  <c:v>113.38643226006717</c:v>
                </c:pt>
                <c:pt idx="3">
                  <c:v>160.36910573694163</c:v>
                </c:pt>
                <c:pt idx="4">
                  <c:v>139.64500380957756</c:v>
                </c:pt>
                <c:pt idx="5">
                  <c:v>130.95140672178798</c:v>
                </c:pt>
                <c:pt idx="6">
                  <c:v>124.49770014391738</c:v>
                </c:pt>
                <c:pt idx="7">
                  <c:v>119.63837232271356</c:v>
                </c:pt>
              </c:numCache>
            </c:numRef>
          </c:val>
          <c:smooth val="0"/>
          <c:extLst>
            <c:ext xmlns:c16="http://schemas.microsoft.com/office/drawing/2014/chart" uri="{C3380CC4-5D6E-409C-BE32-E72D297353CC}">
              <c16:uniqueId val="{00000002-1290-499F-90E5-6ADFBF8BA214}"/>
            </c:ext>
          </c:extLst>
        </c:ser>
        <c:ser>
          <c:idx val="3"/>
          <c:order val="3"/>
          <c:tx>
            <c:strRef>
              <c:f>'Commodities 2'!$N$145</c:f>
              <c:strCache>
                <c:ptCount val="1"/>
              </c:strCache>
            </c:strRef>
          </c:tx>
          <c:spPr>
            <a:ln w="22225" cap="rnd">
              <a:solidFill>
                <a:srgbClr val="00A651"/>
              </a:solidFill>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2'!$N$147:$N$154</c:f>
              <c:numCache>
                <c:formatCode>#.#00</c:formatCode>
                <c:ptCount val="8"/>
                <c:pt idx="0">
                  <c:v>100</c:v>
                </c:pt>
                <c:pt idx="1">
                  <c:v>101.68159404246752</c:v>
                </c:pt>
                <c:pt idx="2">
                  <c:v>128.23991144208514</c:v>
                </c:pt>
                <c:pt idx="3">
                  <c:v>146.28358659555195</c:v>
                </c:pt>
                <c:pt idx="4">
                  <c:v>138.12619502868068</c:v>
                </c:pt>
                <c:pt idx="5">
                  <c:v>134.20951997584785</c:v>
                </c:pt>
                <c:pt idx="6">
                  <c:v>131.26899466639833</c:v>
                </c:pt>
                <c:pt idx="7">
                  <c:v>130.55650598772266</c:v>
                </c:pt>
              </c:numCache>
            </c:numRef>
          </c:val>
          <c:smooth val="0"/>
          <c:extLst>
            <c:ext xmlns:c16="http://schemas.microsoft.com/office/drawing/2014/chart" uri="{C3380CC4-5D6E-409C-BE32-E72D297353CC}">
              <c16:uniqueId val="{00000003-1290-499F-90E5-6ADFBF8BA214}"/>
            </c:ext>
          </c:extLst>
        </c:ser>
        <c:ser>
          <c:idx val="4"/>
          <c:order val="4"/>
          <c:tx>
            <c:strRef>
              <c:f>'Commodities 2'!$O$145</c:f>
              <c:strCache>
                <c:ptCount val="1"/>
              </c:strCache>
            </c:strRef>
          </c:tx>
          <c:spPr>
            <a:ln w="22225" cap="rnd">
              <a:solidFill>
                <a:srgbClr val="EC008C"/>
              </a:solidFill>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2'!$O$147:$O$154</c:f>
              <c:numCache>
                <c:formatCode>#.#00</c:formatCode>
                <c:ptCount val="8"/>
                <c:pt idx="0">
                  <c:v>100</c:v>
                </c:pt>
                <c:pt idx="1">
                  <c:v>103.46585870529117</c:v>
                </c:pt>
                <c:pt idx="2">
                  <c:v>151.79796039018626</c:v>
                </c:pt>
                <c:pt idx="3">
                  <c:v>143.28628436299144</c:v>
                </c:pt>
                <c:pt idx="4">
                  <c:v>148.31658291457288</c:v>
                </c:pt>
                <c:pt idx="5">
                  <c:v>144.42211055276383</c:v>
                </c:pt>
                <c:pt idx="6">
                  <c:v>142.23100798108192</c:v>
                </c:pt>
                <c:pt idx="7">
                  <c:v>141.5637008572273</c:v>
                </c:pt>
              </c:numCache>
            </c:numRef>
          </c:val>
          <c:smooth val="0"/>
          <c:extLst>
            <c:ext xmlns:c16="http://schemas.microsoft.com/office/drawing/2014/chart" uri="{C3380CC4-5D6E-409C-BE32-E72D297353CC}">
              <c16:uniqueId val="{00000004-1290-499F-90E5-6ADFBF8BA214}"/>
            </c:ext>
          </c:extLst>
        </c:ser>
        <c:ser>
          <c:idx val="5"/>
          <c:order val="5"/>
          <c:tx>
            <c:strRef>
              <c:f>'Commodities 2'!$P$145</c:f>
              <c:strCache>
                <c:ptCount val="1"/>
              </c:strCache>
            </c:strRef>
          </c:tx>
          <c:spPr>
            <a:ln w="22225" cap="rnd">
              <a:solidFill>
                <a:srgbClr val="003891"/>
              </a:solidFill>
              <a:round/>
            </a:ln>
            <a:effectLst/>
          </c:spPr>
          <c:marker>
            <c:symbol val="none"/>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2'!$P$147:$P$154</c:f>
              <c:numCache>
                <c:formatCode>#.#00</c:formatCode>
                <c:ptCount val="8"/>
                <c:pt idx="0">
                  <c:v>100</c:v>
                </c:pt>
                <c:pt idx="1">
                  <c:v>67.984943361711103</c:v>
                </c:pt>
                <c:pt idx="2">
                  <c:v>112.70738056708647</c:v>
                </c:pt>
                <c:pt idx="3">
                  <c:v>156.808555547738</c:v>
                </c:pt>
                <c:pt idx="4">
                  <c:v>119.03890804193344</c:v>
                </c:pt>
                <c:pt idx="5">
                  <c:v>112.13818335326815</c:v>
                </c:pt>
                <c:pt idx="6">
                  <c:v>108.98402870611412</c:v>
                </c:pt>
                <c:pt idx="7">
                  <c:v>106.43917540280026</c:v>
                </c:pt>
              </c:numCache>
            </c:numRef>
          </c:val>
          <c:smooth val="0"/>
          <c:extLst>
            <c:ext xmlns:c16="http://schemas.microsoft.com/office/drawing/2014/chart" uri="{C3380CC4-5D6E-409C-BE32-E72D297353CC}">
              <c16:uniqueId val="{00000005-1290-499F-90E5-6ADFBF8BA214}"/>
            </c:ext>
          </c:extLst>
        </c:ser>
        <c:ser>
          <c:idx val="6"/>
          <c:order val="6"/>
          <c:tx>
            <c:strRef>
              <c:f>'Commodities 2'!$Q$145</c:f>
              <c:strCache>
                <c:ptCount val="1"/>
              </c:strCache>
            </c:strRef>
          </c:tx>
          <c:spPr>
            <a:ln w="28575" cap="rnd">
              <a:noFill/>
              <a:round/>
            </a:ln>
            <a:effectLst/>
          </c:spPr>
          <c:marker>
            <c:symbol val="square"/>
            <c:size val="2"/>
            <c:spPr>
              <a:solidFill>
                <a:schemeClr val="bg1"/>
              </a:solidFill>
              <a:ln w="9525">
                <a:noFill/>
              </a:ln>
              <a:effectLst/>
            </c:spPr>
          </c:marker>
          <c:cat>
            <c:numRef>
              <c:f>'Commodities 2'!$J$147:$J$154</c:f>
              <c:numCache>
                <c:formatCode>General</c:formatCode>
                <c:ptCount val="8"/>
                <c:pt idx="0">
                  <c:v>2019</c:v>
                </c:pt>
                <c:pt idx="1">
                  <c:v>2020</c:v>
                </c:pt>
                <c:pt idx="2">
                  <c:v>2021</c:v>
                </c:pt>
                <c:pt idx="3">
                  <c:v>2022</c:v>
                </c:pt>
                <c:pt idx="4">
                  <c:v>2023</c:v>
                </c:pt>
                <c:pt idx="5">
                  <c:v>2024</c:v>
                </c:pt>
                <c:pt idx="6">
                  <c:v>2025</c:v>
                </c:pt>
                <c:pt idx="7">
                  <c:v>2026</c:v>
                </c:pt>
              </c:numCache>
            </c:numRef>
          </c:cat>
          <c:val>
            <c:numRef>
              <c:f>'Commodities 2'!$Q$147:$Q$154</c:f>
              <c:numCache>
                <c:formatCode>General</c:formatCode>
                <c:ptCount val="8"/>
                <c:pt idx="0">
                  <c:v>60</c:v>
                </c:pt>
                <c:pt idx="1">
                  <c:v>60</c:v>
                </c:pt>
                <c:pt idx="2">
                  <c:v>60</c:v>
                </c:pt>
                <c:pt idx="3">
                  <c:v>60</c:v>
                </c:pt>
                <c:pt idx="4">
                  <c:v>60</c:v>
                </c:pt>
                <c:pt idx="5">
                  <c:v>60</c:v>
                </c:pt>
                <c:pt idx="6">
                  <c:v>60</c:v>
                </c:pt>
                <c:pt idx="7">
                  <c:v>60</c:v>
                </c:pt>
              </c:numCache>
            </c:numRef>
          </c:val>
          <c:smooth val="0"/>
          <c:extLst>
            <c:ext xmlns:c16="http://schemas.microsoft.com/office/drawing/2014/chart" uri="{C3380CC4-5D6E-409C-BE32-E72D297353CC}">
              <c16:uniqueId val="{00000006-1290-499F-90E5-6ADFBF8BA214}"/>
            </c:ext>
          </c:extLst>
        </c:ser>
        <c:dLbls>
          <c:showLegendKey val="0"/>
          <c:showVal val="0"/>
          <c:showCatName val="0"/>
          <c:showSerName val="0"/>
          <c:showPercent val="0"/>
          <c:showBubbleSize val="0"/>
        </c:dLbls>
        <c:smooth val="0"/>
        <c:axId val="1767812416"/>
        <c:axId val="1767804256"/>
      </c:lineChart>
      <c:catAx>
        <c:axId val="176781241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04256"/>
        <c:crosses val="autoZero"/>
        <c:auto val="1"/>
        <c:lblAlgn val="ctr"/>
        <c:lblOffset val="100"/>
        <c:noMultiLvlLbl val="0"/>
      </c:catAx>
      <c:valAx>
        <c:axId val="1767804256"/>
        <c:scaling>
          <c:orientation val="minMax"/>
          <c:max val="160"/>
          <c:min val="6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12416"/>
        <c:crosses val="autoZero"/>
        <c:crossBetween val="midCat"/>
        <c:majorUnit val="20"/>
      </c:valAx>
      <c:spPr>
        <a:noFill/>
        <a:ln>
          <a:noFill/>
        </a:ln>
        <a:effectLst/>
      </c:spPr>
    </c:plotArea>
    <c:legend>
      <c:legendPos val="b"/>
      <c:layout>
        <c:manualLayout>
          <c:xMode val="edge"/>
          <c:yMode val="edge"/>
          <c:x val="0.33384259259259258"/>
          <c:y val="0.83893875035986121"/>
          <c:w val="0.55453703703703705"/>
          <c:h val="0.1069415665147119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055612097101833E-2"/>
          <c:y val="5.8666642029756626E-2"/>
          <c:w val="0.86447596098653134"/>
          <c:h val="0.63977673920136935"/>
        </c:manualLayout>
      </c:layout>
      <c:lineChart>
        <c:grouping val="standard"/>
        <c:varyColors val="0"/>
        <c:ser>
          <c:idx val="0"/>
          <c:order val="0"/>
          <c:tx>
            <c:strRef>
              <c:f>'NBS kretanje referentne ks'!$H$10</c:f>
              <c:strCache>
                <c:ptCount val="1"/>
                <c:pt idx="0">
                  <c:v>САД</c:v>
                </c:pt>
              </c:strCache>
            </c:strRef>
          </c:tx>
          <c:spPr>
            <a:ln w="22225" cap="rnd">
              <a:solidFill>
                <a:srgbClr val="00A651"/>
              </a:solidFill>
              <a:round/>
            </a:ln>
            <a:effectLst/>
          </c:spPr>
          <c:marker>
            <c:symbol val="none"/>
          </c:marker>
          <c:cat>
            <c:numRef>
              <c:f>'NBS kretanje referentne ks'!$G$131:$G$159</c:f>
              <c:numCache>
                <c:formatCode>mm\-yyyy</c:formatCode>
                <c:ptCount val="29"/>
                <c:pt idx="0">
                  <c:v>44227</c:v>
                </c:pt>
                <c:pt idx="1">
                  <c:v>44255</c:v>
                </c:pt>
                <c:pt idx="2">
                  <c:v>44286</c:v>
                </c:pt>
                <c:pt idx="3">
                  <c:v>44316</c:v>
                </c:pt>
                <c:pt idx="4">
                  <c:v>44347</c:v>
                </c:pt>
                <c:pt idx="5">
                  <c:v>44377</c:v>
                </c:pt>
                <c:pt idx="6">
                  <c:v>44408</c:v>
                </c:pt>
                <c:pt idx="7">
                  <c:v>44439</c:v>
                </c:pt>
                <c:pt idx="8">
                  <c:v>44469</c:v>
                </c:pt>
                <c:pt idx="9">
                  <c:v>44500</c:v>
                </c:pt>
                <c:pt idx="10">
                  <c:v>44530</c:v>
                </c:pt>
                <c:pt idx="11">
                  <c:v>44561</c:v>
                </c:pt>
                <c:pt idx="12" formatCode="m\/yyyy">
                  <c:v>44592</c:v>
                </c:pt>
                <c:pt idx="13" formatCode="m\/yyyy">
                  <c:v>44620</c:v>
                </c:pt>
                <c:pt idx="14" formatCode="m\/yyyy">
                  <c:v>44651</c:v>
                </c:pt>
                <c:pt idx="15" formatCode="m\/yyyy">
                  <c:v>44681</c:v>
                </c:pt>
                <c:pt idx="16" formatCode="m\/yyyy">
                  <c:v>44712</c:v>
                </c:pt>
                <c:pt idx="17" formatCode="m\/yyyy">
                  <c:v>44742</c:v>
                </c:pt>
                <c:pt idx="18" formatCode="m\/yyyy">
                  <c:v>44773</c:v>
                </c:pt>
                <c:pt idx="19" formatCode="m\/yyyy">
                  <c:v>44804</c:v>
                </c:pt>
                <c:pt idx="20" formatCode="m\/yyyy">
                  <c:v>44834</c:v>
                </c:pt>
                <c:pt idx="21" formatCode="m\/yyyy">
                  <c:v>44865</c:v>
                </c:pt>
                <c:pt idx="22" formatCode="m\/yyyy">
                  <c:v>44895</c:v>
                </c:pt>
                <c:pt idx="23" formatCode="m\/yyyy">
                  <c:v>44926</c:v>
                </c:pt>
                <c:pt idx="24" formatCode="m\/yyyy">
                  <c:v>44957</c:v>
                </c:pt>
                <c:pt idx="25" formatCode="m\/yyyy">
                  <c:v>44985</c:v>
                </c:pt>
                <c:pt idx="26" formatCode="m\/yyyy">
                  <c:v>45016</c:v>
                </c:pt>
                <c:pt idx="27" formatCode="m\/yyyy">
                  <c:v>45046</c:v>
                </c:pt>
                <c:pt idx="28" formatCode="m\/yyyy">
                  <c:v>45077</c:v>
                </c:pt>
              </c:numCache>
            </c:numRef>
          </c:cat>
          <c:val>
            <c:numRef>
              <c:f>'NBS kretanje referentne ks'!$H$131:$H$159</c:f>
              <c:numCache>
                <c:formatCode>#.000</c:formatCode>
                <c:ptCount val="29"/>
                <c:pt idx="0">
                  <c:v>0.25</c:v>
                </c:pt>
                <c:pt idx="1">
                  <c:v>0.25</c:v>
                </c:pt>
                <c:pt idx="2">
                  <c:v>0.25</c:v>
                </c:pt>
                <c:pt idx="3">
                  <c:v>0.25</c:v>
                </c:pt>
                <c:pt idx="4">
                  <c:v>0.25</c:v>
                </c:pt>
                <c:pt idx="5">
                  <c:v>0.25</c:v>
                </c:pt>
                <c:pt idx="6">
                  <c:v>0.25</c:v>
                </c:pt>
                <c:pt idx="7">
                  <c:v>0.25</c:v>
                </c:pt>
                <c:pt idx="8">
                  <c:v>0.25</c:v>
                </c:pt>
                <c:pt idx="9">
                  <c:v>0.25</c:v>
                </c:pt>
                <c:pt idx="10">
                  <c:v>0.25</c:v>
                </c:pt>
                <c:pt idx="11">
                  <c:v>0.25</c:v>
                </c:pt>
                <c:pt idx="12">
                  <c:v>0.25</c:v>
                </c:pt>
                <c:pt idx="13">
                  <c:v>0.25</c:v>
                </c:pt>
                <c:pt idx="14">
                  <c:v>0.5</c:v>
                </c:pt>
                <c:pt idx="15">
                  <c:v>0.5</c:v>
                </c:pt>
                <c:pt idx="16">
                  <c:v>1</c:v>
                </c:pt>
                <c:pt idx="17">
                  <c:v>1.75</c:v>
                </c:pt>
                <c:pt idx="18">
                  <c:v>2.5</c:v>
                </c:pt>
                <c:pt idx="19">
                  <c:v>2.5</c:v>
                </c:pt>
                <c:pt idx="20">
                  <c:v>3.25</c:v>
                </c:pt>
                <c:pt idx="21">
                  <c:v>3.25</c:v>
                </c:pt>
                <c:pt idx="22">
                  <c:v>4</c:v>
                </c:pt>
                <c:pt idx="23">
                  <c:v>4.5</c:v>
                </c:pt>
                <c:pt idx="24">
                  <c:v>4.5</c:v>
                </c:pt>
                <c:pt idx="25">
                  <c:v>4.75</c:v>
                </c:pt>
                <c:pt idx="26">
                  <c:v>5</c:v>
                </c:pt>
                <c:pt idx="27">
                  <c:v>5</c:v>
                </c:pt>
                <c:pt idx="28">
                  <c:v>5.25</c:v>
                </c:pt>
              </c:numCache>
            </c:numRef>
          </c:val>
          <c:smooth val="0"/>
          <c:extLst>
            <c:ext xmlns:c16="http://schemas.microsoft.com/office/drawing/2014/chart" uri="{C3380CC4-5D6E-409C-BE32-E72D297353CC}">
              <c16:uniqueId val="{00000000-4AF6-434C-810B-8732882918E9}"/>
            </c:ext>
          </c:extLst>
        </c:ser>
        <c:ser>
          <c:idx val="1"/>
          <c:order val="1"/>
          <c:tx>
            <c:strRef>
              <c:f>'NBS kretanje referentne ks'!$I$10</c:f>
              <c:strCache>
                <c:ptCount val="1"/>
                <c:pt idx="0">
                  <c:v>Еврозона</c:v>
                </c:pt>
              </c:strCache>
            </c:strRef>
          </c:tx>
          <c:spPr>
            <a:ln w="22225" cap="rnd">
              <a:solidFill>
                <a:srgbClr val="7F3F98"/>
              </a:solidFill>
              <a:round/>
            </a:ln>
            <a:effectLst/>
          </c:spPr>
          <c:marker>
            <c:symbol val="none"/>
          </c:marker>
          <c:cat>
            <c:numRef>
              <c:f>'NBS kretanje referentne ks'!$G$131:$G$159</c:f>
              <c:numCache>
                <c:formatCode>mm\-yyyy</c:formatCode>
                <c:ptCount val="29"/>
                <c:pt idx="0">
                  <c:v>44227</c:v>
                </c:pt>
                <c:pt idx="1">
                  <c:v>44255</c:v>
                </c:pt>
                <c:pt idx="2">
                  <c:v>44286</c:v>
                </c:pt>
                <c:pt idx="3">
                  <c:v>44316</c:v>
                </c:pt>
                <c:pt idx="4">
                  <c:v>44347</c:v>
                </c:pt>
                <c:pt idx="5">
                  <c:v>44377</c:v>
                </c:pt>
                <c:pt idx="6">
                  <c:v>44408</c:v>
                </c:pt>
                <c:pt idx="7">
                  <c:v>44439</c:v>
                </c:pt>
                <c:pt idx="8">
                  <c:v>44469</c:v>
                </c:pt>
                <c:pt idx="9">
                  <c:v>44500</c:v>
                </c:pt>
                <c:pt idx="10">
                  <c:v>44530</c:v>
                </c:pt>
                <c:pt idx="11">
                  <c:v>44561</c:v>
                </c:pt>
                <c:pt idx="12" formatCode="m\/yyyy">
                  <c:v>44592</c:v>
                </c:pt>
                <c:pt idx="13" formatCode="m\/yyyy">
                  <c:v>44620</c:v>
                </c:pt>
                <c:pt idx="14" formatCode="m\/yyyy">
                  <c:v>44651</c:v>
                </c:pt>
                <c:pt idx="15" formatCode="m\/yyyy">
                  <c:v>44681</c:v>
                </c:pt>
                <c:pt idx="16" formatCode="m\/yyyy">
                  <c:v>44712</c:v>
                </c:pt>
                <c:pt idx="17" formatCode="m\/yyyy">
                  <c:v>44742</c:v>
                </c:pt>
                <c:pt idx="18" formatCode="m\/yyyy">
                  <c:v>44773</c:v>
                </c:pt>
                <c:pt idx="19" formatCode="m\/yyyy">
                  <c:v>44804</c:v>
                </c:pt>
                <c:pt idx="20" formatCode="m\/yyyy">
                  <c:v>44834</c:v>
                </c:pt>
                <c:pt idx="21" formatCode="m\/yyyy">
                  <c:v>44865</c:v>
                </c:pt>
                <c:pt idx="22" formatCode="m\/yyyy">
                  <c:v>44895</c:v>
                </c:pt>
                <c:pt idx="23" formatCode="m\/yyyy">
                  <c:v>44926</c:v>
                </c:pt>
                <c:pt idx="24" formatCode="m\/yyyy">
                  <c:v>44957</c:v>
                </c:pt>
                <c:pt idx="25" formatCode="m\/yyyy">
                  <c:v>44985</c:v>
                </c:pt>
                <c:pt idx="26" formatCode="m\/yyyy">
                  <c:v>45016</c:v>
                </c:pt>
                <c:pt idx="27" formatCode="m\/yyyy">
                  <c:v>45046</c:v>
                </c:pt>
                <c:pt idx="28" formatCode="m\/yyyy">
                  <c:v>45077</c:v>
                </c:pt>
              </c:numCache>
            </c:numRef>
          </c:cat>
          <c:val>
            <c:numRef>
              <c:f>'NBS kretanje referentne ks'!$I$131:$I$159</c:f>
              <c:numCache>
                <c:formatCode>#.000</c:formatCode>
                <c:ptCount val="2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0.5</c:v>
                </c:pt>
                <c:pt idx="19">
                  <c:v>0.5</c:v>
                </c:pt>
                <c:pt idx="20">
                  <c:v>1.25</c:v>
                </c:pt>
                <c:pt idx="21">
                  <c:v>1.25</c:v>
                </c:pt>
                <c:pt idx="22">
                  <c:v>2</c:v>
                </c:pt>
                <c:pt idx="23">
                  <c:v>2.5</c:v>
                </c:pt>
                <c:pt idx="24">
                  <c:v>2.5</c:v>
                </c:pt>
                <c:pt idx="25">
                  <c:v>3</c:v>
                </c:pt>
                <c:pt idx="26">
                  <c:v>3.5</c:v>
                </c:pt>
                <c:pt idx="27">
                  <c:v>3.5</c:v>
                </c:pt>
                <c:pt idx="28">
                  <c:v>3.75</c:v>
                </c:pt>
              </c:numCache>
            </c:numRef>
          </c:val>
          <c:smooth val="0"/>
          <c:extLst>
            <c:ext xmlns:c16="http://schemas.microsoft.com/office/drawing/2014/chart" uri="{C3380CC4-5D6E-409C-BE32-E72D297353CC}">
              <c16:uniqueId val="{00000001-4AF6-434C-810B-8732882918E9}"/>
            </c:ext>
          </c:extLst>
        </c:ser>
        <c:ser>
          <c:idx val="2"/>
          <c:order val="2"/>
          <c:tx>
            <c:strRef>
              <c:f>'NBS kretanje referentne ks'!$J$10</c:f>
              <c:strCache>
                <c:ptCount val="1"/>
                <c:pt idx="0">
                  <c:v>Велика Британија</c:v>
                </c:pt>
              </c:strCache>
            </c:strRef>
          </c:tx>
          <c:spPr>
            <a:ln w="22225" cap="rnd">
              <a:solidFill>
                <a:srgbClr val="EC008C"/>
              </a:solidFill>
              <a:round/>
            </a:ln>
            <a:effectLst/>
          </c:spPr>
          <c:marker>
            <c:symbol val="none"/>
          </c:marker>
          <c:cat>
            <c:numRef>
              <c:f>'NBS kretanje referentne ks'!$G$131:$G$159</c:f>
              <c:numCache>
                <c:formatCode>mm\-yyyy</c:formatCode>
                <c:ptCount val="29"/>
                <c:pt idx="0">
                  <c:v>44227</c:v>
                </c:pt>
                <c:pt idx="1">
                  <c:v>44255</c:v>
                </c:pt>
                <c:pt idx="2">
                  <c:v>44286</c:v>
                </c:pt>
                <c:pt idx="3">
                  <c:v>44316</c:v>
                </c:pt>
                <c:pt idx="4">
                  <c:v>44347</c:v>
                </c:pt>
                <c:pt idx="5">
                  <c:v>44377</c:v>
                </c:pt>
                <c:pt idx="6">
                  <c:v>44408</c:v>
                </c:pt>
                <c:pt idx="7">
                  <c:v>44439</c:v>
                </c:pt>
                <c:pt idx="8">
                  <c:v>44469</c:v>
                </c:pt>
                <c:pt idx="9">
                  <c:v>44500</c:v>
                </c:pt>
                <c:pt idx="10">
                  <c:v>44530</c:v>
                </c:pt>
                <c:pt idx="11">
                  <c:v>44561</c:v>
                </c:pt>
                <c:pt idx="12" formatCode="m\/yyyy">
                  <c:v>44592</c:v>
                </c:pt>
                <c:pt idx="13" formatCode="m\/yyyy">
                  <c:v>44620</c:v>
                </c:pt>
                <c:pt idx="14" formatCode="m\/yyyy">
                  <c:v>44651</c:v>
                </c:pt>
                <c:pt idx="15" formatCode="m\/yyyy">
                  <c:v>44681</c:v>
                </c:pt>
                <c:pt idx="16" formatCode="m\/yyyy">
                  <c:v>44712</c:v>
                </c:pt>
                <c:pt idx="17" formatCode="m\/yyyy">
                  <c:v>44742</c:v>
                </c:pt>
                <c:pt idx="18" formatCode="m\/yyyy">
                  <c:v>44773</c:v>
                </c:pt>
                <c:pt idx="19" formatCode="m\/yyyy">
                  <c:v>44804</c:v>
                </c:pt>
                <c:pt idx="20" formatCode="m\/yyyy">
                  <c:v>44834</c:v>
                </c:pt>
                <c:pt idx="21" formatCode="m\/yyyy">
                  <c:v>44865</c:v>
                </c:pt>
                <c:pt idx="22" formatCode="m\/yyyy">
                  <c:v>44895</c:v>
                </c:pt>
                <c:pt idx="23" formatCode="m\/yyyy">
                  <c:v>44926</c:v>
                </c:pt>
                <c:pt idx="24" formatCode="m\/yyyy">
                  <c:v>44957</c:v>
                </c:pt>
                <c:pt idx="25" formatCode="m\/yyyy">
                  <c:v>44985</c:v>
                </c:pt>
                <c:pt idx="26" formatCode="m\/yyyy">
                  <c:v>45016</c:v>
                </c:pt>
                <c:pt idx="27" formatCode="m\/yyyy">
                  <c:v>45046</c:v>
                </c:pt>
                <c:pt idx="28" formatCode="m\/yyyy">
                  <c:v>45077</c:v>
                </c:pt>
              </c:numCache>
            </c:numRef>
          </c:cat>
          <c:val>
            <c:numRef>
              <c:f>'NBS kretanje referentne ks'!$J$131:$J$159</c:f>
              <c:numCache>
                <c:formatCode>#.000</c:formatCode>
                <c:ptCount val="29"/>
                <c:pt idx="0">
                  <c:v>0.1</c:v>
                </c:pt>
                <c:pt idx="1">
                  <c:v>0.1</c:v>
                </c:pt>
                <c:pt idx="2">
                  <c:v>0.1</c:v>
                </c:pt>
                <c:pt idx="3">
                  <c:v>0.1</c:v>
                </c:pt>
                <c:pt idx="4">
                  <c:v>0.1</c:v>
                </c:pt>
                <c:pt idx="5">
                  <c:v>0.1</c:v>
                </c:pt>
                <c:pt idx="6">
                  <c:v>0.1</c:v>
                </c:pt>
                <c:pt idx="7">
                  <c:v>0.1</c:v>
                </c:pt>
                <c:pt idx="8">
                  <c:v>0.1</c:v>
                </c:pt>
                <c:pt idx="9">
                  <c:v>0.1</c:v>
                </c:pt>
                <c:pt idx="10">
                  <c:v>0.1</c:v>
                </c:pt>
                <c:pt idx="11">
                  <c:v>0.25</c:v>
                </c:pt>
                <c:pt idx="12">
                  <c:v>0.25</c:v>
                </c:pt>
                <c:pt idx="13">
                  <c:v>0.5</c:v>
                </c:pt>
                <c:pt idx="14">
                  <c:v>0.75</c:v>
                </c:pt>
                <c:pt idx="15">
                  <c:v>0.75</c:v>
                </c:pt>
                <c:pt idx="16">
                  <c:v>1</c:v>
                </c:pt>
                <c:pt idx="17">
                  <c:v>1.25</c:v>
                </c:pt>
                <c:pt idx="18">
                  <c:v>1.25</c:v>
                </c:pt>
                <c:pt idx="19">
                  <c:v>1.75</c:v>
                </c:pt>
                <c:pt idx="20">
                  <c:v>2.25</c:v>
                </c:pt>
                <c:pt idx="21">
                  <c:v>2.25</c:v>
                </c:pt>
                <c:pt idx="22">
                  <c:v>3</c:v>
                </c:pt>
                <c:pt idx="23">
                  <c:v>3.5</c:v>
                </c:pt>
                <c:pt idx="24">
                  <c:v>3.5</c:v>
                </c:pt>
                <c:pt idx="25">
                  <c:v>4</c:v>
                </c:pt>
                <c:pt idx="26">
                  <c:v>4.25</c:v>
                </c:pt>
                <c:pt idx="27">
                  <c:v>4.25</c:v>
                </c:pt>
                <c:pt idx="28">
                  <c:v>4.5</c:v>
                </c:pt>
              </c:numCache>
            </c:numRef>
          </c:val>
          <c:smooth val="0"/>
          <c:extLst>
            <c:ext xmlns:c16="http://schemas.microsoft.com/office/drawing/2014/chart" uri="{C3380CC4-5D6E-409C-BE32-E72D297353CC}">
              <c16:uniqueId val="{00000002-4AF6-434C-810B-8732882918E9}"/>
            </c:ext>
          </c:extLst>
        </c:ser>
        <c:dLbls>
          <c:showLegendKey val="0"/>
          <c:showVal val="0"/>
          <c:showCatName val="0"/>
          <c:showSerName val="0"/>
          <c:showPercent val="0"/>
          <c:showBubbleSize val="0"/>
        </c:dLbls>
        <c:smooth val="0"/>
        <c:axId val="1425258495"/>
        <c:axId val="1425258911"/>
      </c:lineChart>
      <c:dateAx>
        <c:axId val="1425258495"/>
        <c:scaling>
          <c:orientation val="minMax"/>
        </c:scaling>
        <c:delete val="0"/>
        <c:axPos val="b"/>
        <c:numFmt formatCode="mm\-yyyy"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911"/>
        <c:crosses val="autoZero"/>
        <c:auto val="1"/>
        <c:lblOffset val="100"/>
        <c:baseTimeUnit val="days"/>
      </c:dateAx>
      <c:valAx>
        <c:axId val="1425258911"/>
        <c:scaling>
          <c:orientation val="minMax"/>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495"/>
        <c:crosses val="autoZero"/>
        <c:crossBetween val="between"/>
      </c:valAx>
      <c:spPr>
        <a:noFill/>
        <a:ln>
          <a:noFill/>
        </a:ln>
        <a:effectLst/>
      </c:spPr>
    </c:plotArea>
    <c:legend>
      <c:legendPos val="b"/>
      <c:layout>
        <c:manualLayout>
          <c:xMode val="edge"/>
          <c:yMode val="edge"/>
          <c:x val="6.9348127600554782E-2"/>
          <c:y val="0.91519648416041022"/>
          <c:w val="0.87900189660758421"/>
          <c:h val="8.0338443952359492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pPr>
      <a:endParaRPr lang="sr-Latn-R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agregati'!$B$6</c:f>
              <c:strCache>
                <c:ptCount val="1"/>
                <c:pt idx="0">
                  <c:v>Реални раст БДП, %</c:v>
                </c:pt>
              </c:strCache>
            </c:strRef>
          </c:tx>
          <c:spPr>
            <a:solidFill>
              <a:srgbClr val="00389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C852-4E3D-846A-D4054AA4C98D}"/>
              </c:ext>
            </c:extLst>
          </c:dPt>
          <c:dPt>
            <c:idx val="1"/>
            <c:invertIfNegative val="0"/>
            <c:bubble3D val="0"/>
            <c:spPr>
              <a:solidFill>
                <a:srgbClr val="ED1C24"/>
              </a:solidFill>
              <a:ln>
                <a:noFill/>
              </a:ln>
              <a:effectLst/>
            </c:spPr>
            <c:extLst>
              <c:ext xmlns:c16="http://schemas.microsoft.com/office/drawing/2014/chart" uri="{C3380CC4-5D6E-409C-BE32-E72D297353CC}">
                <c16:uniqueId val="{00000003-C852-4E3D-846A-D4054AA4C98D}"/>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C852-4E3D-846A-D4054AA4C98D}"/>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C852-4E3D-846A-D4054AA4C98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agregati'!$C$6,'Osn. makroekon. agregati'!$D$6)</c:f>
              <c:numCache>
                <c:formatCode>#.#00</c:formatCode>
                <c:ptCount val="2"/>
                <c:pt idx="0">
                  <c:v>2.5</c:v>
                </c:pt>
                <c:pt idx="1">
                  <c:v>2.5</c:v>
                </c:pt>
              </c:numCache>
            </c:numRef>
          </c:val>
          <c:extLst>
            <c:ext xmlns:c16="http://schemas.microsoft.com/office/drawing/2014/chart" uri="{C3380CC4-5D6E-409C-BE32-E72D297353CC}">
              <c16:uniqueId val="{00000004-C852-4E3D-846A-D4054AA4C98D}"/>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590421037E-2"/>
          <c:y val="0.11348336551369499"/>
          <c:w val="0.91418918918918923"/>
          <c:h val="0.73303303303303291"/>
        </c:manualLayout>
      </c:layout>
      <c:barChart>
        <c:barDir val="col"/>
        <c:grouping val="clustered"/>
        <c:varyColors val="0"/>
        <c:ser>
          <c:idx val="0"/>
          <c:order val="0"/>
          <c:tx>
            <c:strRef>
              <c:f>'Osn. makroekon. agregati'!$B$6</c:f>
              <c:strCache>
                <c:ptCount val="1"/>
                <c:pt idx="0">
                  <c:v>Реални раст БДП,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57B9-4504-BBE2-BDBE9B625AE7}"/>
              </c:ext>
            </c:extLst>
          </c:dPt>
          <c:dPt>
            <c:idx val="1"/>
            <c:invertIfNegative val="0"/>
            <c:bubble3D val="0"/>
            <c:spPr>
              <a:solidFill>
                <a:srgbClr val="ED1C24"/>
              </a:solidFill>
              <a:ln>
                <a:noFill/>
              </a:ln>
              <a:effectLst/>
            </c:spPr>
            <c:extLst>
              <c:ext xmlns:c16="http://schemas.microsoft.com/office/drawing/2014/chart" uri="{C3380CC4-5D6E-409C-BE32-E72D297353CC}">
                <c16:uniqueId val="{00000003-57B9-4504-BBE2-BDBE9B625AE7}"/>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7B9-4504-BBE2-BDBE9B625AE7}"/>
                </c:ext>
              </c:extLst>
            </c:dLbl>
            <c:dLbl>
              <c:idx val="1"/>
              <c:layout>
                <c:manualLayout>
                  <c:x val="-8.7398890260461573E-17"/>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7B9-4504-BBE2-BDBE9B625AE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agregati'!$E$6,'Osn. makroekon. agregati'!$F$6)</c:f>
              <c:numCache>
                <c:formatCode>#.#00</c:formatCode>
                <c:ptCount val="2"/>
                <c:pt idx="0">
                  <c:v>3.5</c:v>
                </c:pt>
                <c:pt idx="1">
                  <c:v>3.5</c:v>
                </c:pt>
              </c:numCache>
            </c:numRef>
          </c:val>
          <c:extLst>
            <c:ext xmlns:c16="http://schemas.microsoft.com/office/drawing/2014/chart" uri="{C3380CC4-5D6E-409C-BE32-E72D297353CC}">
              <c16:uniqueId val="{00000004-57B9-4504-BBE2-BDBE9B625AE7}"/>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85F-45D5-BF2B-A77519482B06}"/>
              </c:ext>
            </c:extLst>
          </c:dPt>
          <c:dPt>
            <c:idx val="1"/>
            <c:invertIfNegative val="0"/>
            <c:bubble3D val="0"/>
            <c:spPr>
              <a:solidFill>
                <a:srgbClr val="ED1C24"/>
              </a:solidFill>
              <a:ln>
                <a:noFill/>
              </a:ln>
              <a:effectLst/>
            </c:spPr>
            <c:extLst>
              <c:ext xmlns:c16="http://schemas.microsoft.com/office/drawing/2014/chart" uri="{C3380CC4-5D6E-409C-BE32-E72D297353CC}">
                <c16:uniqueId val="{00000003-385F-45D5-BF2B-A77519482B06}"/>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85F-45D5-BF2B-A77519482B06}"/>
                </c:ext>
              </c:extLst>
            </c:dLbl>
            <c:dLbl>
              <c:idx val="1"/>
              <c:tx>
                <c:rich>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r>
                      <a:rPr lang="en-US"/>
                      <a:t>-5.3</a:t>
                    </a:r>
                  </a:p>
                </c:rich>
              </c:tx>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385F-45D5-BF2B-A77519482B0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agregati'!$C$7,'Osn. makroekon. agregati'!$D$7)</c:f>
              <c:numCache>
                <c:formatCode>#.#00</c:formatCode>
                <c:ptCount val="2"/>
                <c:pt idx="0">
                  <c:v>-8.5</c:v>
                </c:pt>
                <c:pt idx="1">
                  <c:v>-5.4</c:v>
                </c:pt>
              </c:numCache>
            </c:numRef>
          </c:val>
          <c:extLst>
            <c:ext xmlns:c16="http://schemas.microsoft.com/office/drawing/2014/chart" uri="{C3380CC4-5D6E-409C-BE32-E72D297353CC}">
              <c16:uniqueId val="{00000004-385F-45D5-BF2B-A77519482B06}"/>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79B1-4540-BF5A-09308F8AEDEE}"/>
              </c:ext>
            </c:extLst>
          </c:dPt>
          <c:dPt>
            <c:idx val="1"/>
            <c:invertIfNegative val="0"/>
            <c:bubble3D val="0"/>
            <c:spPr>
              <a:solidFill>
                <a:srgbClr val="ED1C24"/>
              </a:solidFill>
              <a:ln>
                <a:noFill/>
              </a:ln>
              <a:effectLst/>
            </c:spPr>
            <c:extLst>
              <c:ext xmlns:c16="http://schemas.microsoft.com/office/drawing/2014/chart" uri="{C3380CC4-5D6E-409C-BE32-E72D297353CC}">
                <c16:uniqueId val="{00000003-79B1-4540-BF5A-09308F8AEDEE}"/>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9B1-4540-BF5A-09308F8AEDEE}"/>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9B1-4540-BF5A-09308F8AED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agregati'!$E$7,'Osn. makroekon. agregati'!$F$7)</c:f>
              <c:numCache>
                <c:formatCode>#.#00</c:formatCode>
                <c:ptCount val="2"/>
                <c:pt idx="0">
                  <c:v>-6.7</c:v>
                </c:pt>
                <c:pt idx="1">
                  <c:v>-5.2</c:v>
                </c:pt>
              </c:numCache>
            </c:numRef>
          </c:val>
          <c:extLst>
            <c:ext xmlns:c16="http://schemas.microsoft.com/office/drawing/2014/chart" uri="{C3380CC4-5D6E-409C-BE32-E72D297353CC}">
              <c16:uniqueId val="{00000004-79B1-4540-BF5A-09308F8AEDEE}"/>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525F-4B84-8095-88E8D7E965B6}"/>
              </c:ext>
            </c:extLst>
          </c:dPt>
          <c:dPt>
            <c:idx val="1"/>
            <c:invertIfNegative val="0"/>
            <c:bubble3D val="0"/>
            <c:spPr>
              <a:solidFill>
                <a:srgbClr val="ED1C24"/>
              </a:solidFill>
              <a:ln>
                <a:noFill/>
              </a:ln>
              <a:effectLst/>
            </c:spPr>
            <c:extLst>
              <c:ext xmlns:c16="http://schemas.microsoft.com/office/drawing/2014/chart" uri="{C3380CC4-5D6E-409C-BE32-E72D297353CC}">
                <c16:uniqueId val="{00000003-525F-4B84-8095-88E8D7E965B6}"/>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525F-4B84-8095-88E8D7E965B6}"/>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525F-4B84-8095-88E8D7E965B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agregati'!$C$8,'Osn. makroekon. agregati'!$D$8)</c:f>
              <c:numCache>
                <c:formatCode>#.#00</c:formatCode>
                <c:ptCount val="2"/>
                <c:pt idx="0">
                  <c:v>11.1</c:v>
                </c:pt>
                <c:pt idx="1">
                  <c:v>12.5</c:v>
                </c:pt>
              </c:numCache>
            </c:numRef>
          </c:val>
          <c:extLst>
            <c:ext xmlns:c16="http://schemas.microsoft.com/office/drawing/2014/chart" uri="{C3380CC4-5D6E-409C-BE32-E72D297353CC}">
              <c16:uniqueId val="{00000004-525F-4B84-8095-88E8D7E965B6}"/>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4"/>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4C5-4302-A19F-031F7DADC8CB}"/>
              </c:ext>
            </c:extLst>
          </c:dPt>
          <c:dPt>
            <c:idx val="1"/>
            <c:invertIfNegative val="0"/>
            <c:bubble3D val="0"/>
            <c:spPr>
              <a:solidFill>
                <a:srgbClr val="ED1C24"/>
              </a:solidFill>
              <a:ln>
                <a:noFill/>
              </a:ln>
              <a:effectLst/>
            </c:spPr>
            <c:extLst>
              <c:ext xmlns:c16="http://schemas.microsoft.com/office/drawing/2014/chart" uri="{C3380CC4-5D6E-409C-BE32-E72D297353CC}">
                <c16:uniqueId val="{00000003-34C5-4302-A19F-031F7DADC8CB}"/>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34C5-4302-A19F-031F7DADC8CB}"/>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34C5-4302-A19F-031F7DADC8C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agregati'!$E$8,'Osn. makroekon. agregati'!$F$8)</c:f>
              <c:numCache>
                <c:formatCode>#.#00</c:formatCode>
                <c:ptCount val="2"/>
                <c:pt idx="0">
                  <c:v>5</c:v>
                </c:pt>
                <c:pt idx="1">
                  <c:v>4.9000000000000004</c:v>
                </c:pt>
              </c:numCache>
            </c:numRef>
          </c:val>
          <c:extLst>
            <c:ext xmlns:c16="http://schemas.microsoft.com/office/drawing/2014/chart" uri="{C3380CC4-5D6E-409C-BE32-E72D297353CC}">
              <c16:uniqueId val="{00000004-34C5-4302-A19F-031F7DADC8CB}"/>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4"/>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9EB1-4C0B-A6F9-8F55437CB9B4}"/>
              </c:ext>
            </c:extLst>
          </c:dPt>
          <c:dPt>
            <c:idx val="1"/>
            <c:invertIfNegative val="0"/>
            <c:bubble3D val="0"/>
            <c:spPr>
              <a:solidFill>
                <a:srgbClr val="ED1C24"/>
              </a:solidFill>
              <a:ln>
                <a:noFill/>
              </a:ln>
              <a:effectLst/>
            </c:spPr>
            <c:extLst>
              <c:ext xmlns:c16="http://schemas.microsoft.com/office/drawing/2014/chart" uri="{C3380CC4-5D6E-409C-BE32-E72D297353CC}">
                <c16:uniqueId val="{00000003-9EB1-4C0B-A6F9-8F55437CB9B4}"/>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9EB1-4C0B-A6F9-8F55437CB9B4}"/>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9EB1-4C0B-A6F9-8F55437CB9B4}"/>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agregati'!$C$9,'Osn. makroekon. agregati'!$D$9)</c:f>
              <c:numCache>
                <c:formatCode>#.#00</c:formatCode>
                <c:ptCount val="2"/>
                <c:pt idx="0">
                  <c:v>-3.3</c:v>
                </c:pt>
                <c:pt idx="1">
                  <c:v>-3</c:v>
                </c:pt>
              </c:numCache>
            </c:numRef>
          </c:val>
          <c:extLst>
            <c:ext xmlns:c16="http://schemas.microsoft.com/office/drawing/2014/chart" uri="{C3380CC4-5D6E-409C-BE32-E72D297353CC}">
              <c16:uniqueId val="{00000004-9EB1-4C0B-A6F9-8F55437CB9B4}"/>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0667-4475-8C7E-51ECAA07607E}"/>
              </c:ext>
            </c:extLst>
          </c:dPt>
          <c:dPt>
            <c:idx val="1"/>
            <c:invertIfNegative val="0"/>
            <c:bubble3D val="0"/>
            <c:spPr>
              <a:solidFill>
                <a:srgbClr val="ED1C24"/>
              </a:solidFill>
              <a:ln>
                <a:noFill/>
              </a:ln>
              <a:effectLst/>
            </c:spPr>
            <c:extLst>
              <c:ext xmlns:c16="http://schemas.microsoft.com/office/drawing/2014/chart" uri="{C3380CC4-5D6E-409C-BE32-E72D297353CC}">
                <c16:uniqueId val="{00000003-0667-4475-8C7E-51ECAA07607E}"/>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0667-4475-8C7E-51ECAA07607E}"/>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agregati'!$E$9,'Osn. makroekon. agregati'!$F$9)</c:f>
              <c:numCache>
                <c:formatCode>#.#00</c:formatCode>
                <c:ptCount val="2"/>
                <c:pt idx="0">
                  <c:v>-2.2000000000000002</c:v>
                </c:pt>
                <c:pt idx="1">
                  <c:v>-2.2000000000000002</c:v>
                </c:pt>
              </c:numCache>
            </c:numRef>
          </c:val>
          <c:extLst>
            <c:ext xmlns:c16="http://schemas.microsoft.com/office/drawing/2014/chart" uri="{C3380CC4-5D6E-409C-BE32-E72D297353CC}">
              <c16:uniqueId val="{00000004-0667-4475-8C7E-51ECAA07607E}"/>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7F5E-4F3D-98EC-617F74845C4F}"/>
              </c:ext>
            </c:extLst>
          </c:dPt>
          <c:dPt>
            <c:idx val="1"/>
            <c:invertIfNegative val="0"/>
            <c:bubble3D val="0"/>
            <c:spPr>
              <a:solidFill>
                <a:srgbClr val="ED1C24"/>
              </a:solidFill>
              <a:ln>
                <a:noFill/>
              </a:ln>
              <a:effectLst/>
            </c:spPr>
            <c:extLst>
              <c:ext xmlns:c16="http://schemas.microsoft.com/office/drawing/2014/chart" uri="{C3380CC4-5D6E-409C-BE32-E72D297353CC}">
                <c16:uniqueId val="{00000003-7F5E-4F3D-98EC-617F74845C4F}"/>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7F5E-4F3D-98EC-617F74845C4F}"/>
                </c:ext>
              </c:extLst>
            </c:dLbl>
            <c:dLbl>
              <c:idx val="1"/>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7F5E-4F3D-98EC-617F74845C4F}"/>
                </c:ext>
              </c:extLst>
            </c:dLbl>
            <c:spPr>
              <a:noFill/>
              <a:ln>
                <a:noFill/>
              </a:ln>
              <a:effectLst/>
            </c:spPr>
            <c:txPr>
              <a:bodyPr rot="0" spcFirstLastPara="1" vertOverflow="ellipsis" vert="horz" wrap="non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agregati'!$C$10,'Osn. makroekon. agregati'!$D$10)</c:f>
              <c:numCache>
                <c:formatCode>#.#00</c:formatCode>
                <c:ptCount val="2"/>
                <c:pt idx="0">
                  <c:v>56.1</c:v>
                </c:pt>
                <c:pt idx="1">
                  <c:v>54.3</c:v>
                </c:pt>
              </c:numCache>
            </c:numRef>
          </c:val>
          <c:extLst>
            <c:ext xmlns:c16="http://schemas.microsoft.com/office/drawing/2014/chart" uri="{C3380CC4-5D6E-409C-BE32-E72D297353CC}">
              <c16:uniqueId val="{00000004-7F5E-4F3D-98EC-617F74845C4F}"/>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2023</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5A84-4435-ADA6-082571496E1B}"/>
              </c:ext>
            </c:extLst>
          </c:dPt>
          <c:dPt>
            <c:idx val="1"/>
            <c:invertIfNegative val="0"/>
            <c:bubble3D val="0"/>
            <c:spPr>
              <a:solidFill>
                <a:srgbClr val="ED1C24"/>
              </a:solidFill>
              <a:ln>
                <a:noFill/>
              </a:ln>
              <a:effectLst/>
            </c:spPr>
            <c:extLst>
              <c:ext xmlns:c16="http://schemas.microsoft.com/office/drawing/2014/chart" uri="{C3380CC4-5D6E-409C-BE32-E72D297353CC}">
                <c16:uniqueId val="{00000003-5A84-4435-ADA6-082571496E1B}"/>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5A84-4435-ADA6-082571496E1B}"/>
                </c:ext>
              </c:extLst>
            </c:dLbl>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agregati'!$E$10,'Osn. makroekon. agregati'!$F$10)</c:f>
              <c:numCache>
                <c:formatCode>#.#00</c:formatCode>
                <c:ptCount val="2"/>
                <c:pt idx="0">
                  <c:v>55.1</c:v>
                </c:pt>
                <c:pt idx="1">
                  <c:v>54</c:v>
                </c:pt>
              </c:numCache>
            </c:numRef>
          </c:val>
          <c:extLst>
            <c:ext xmlns:c16="http://schemas.microsoft.com/office/drawing/2014/chart" uri="{C3380CC4-5D6E-409C-BE32-E72D297353CC}">
              <c16:uniqueId val="{00000004-5A84-4435-ADA6-082571496E1B}"/>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1">
    <c:autoUpdate val="0"/>
  </c:externalData>
  <c:userShapes r:id="rId2"/>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2091256084322588"/>
        </c:manualLayout>
      </c:layout>
      <c:barChart>
        <c:barDir val="col"/>
        <c:grouping val="stacked"/>
        <c:varyColors val="0"/>
        <c:ser>
          <c:idx val="0"/>
          <c:order val="0"/>
          <c:tx>
            <c:strRef>
              <c:f>BDPQ_doprinosi!$R$34</c:f>
              <c:strCache>
                <c:ptCount val="1"/>
                <c:pt idx="0">
                  <c:v>Пољопривреда</c:v>
                </c:pt>
              </c:strCache>
            </c:strRef>
          </c:tx>
          <c:spPr>
            <a:solidFill>
              <a:srgbClr val="10103C"/>
            </a:solidFill>
            <a:ln>
              <a:noFill/>
            </a:ln>
            <a:effectLst/>
          </c:spPr>
          <c:invertIfNegative val="0"/>
          <c:cat>
            <c:multiLvlStrRef>
              <c:f>BDPQ_doprinosi!$BC$32:$BK$33</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BDPQ_doprinosi!$BC$34:$BK$34</c:f>
              <c:numCache>
                <c:formatCode>#.#00</c:formatCode>
                <c:ptCount val="9"/>
                <c:pt idx="0">
                  <c:v>-0.33796361791823232</c:v>
                </c:pt>
                <c:pt idx="1">
                  <c:v>-0.33263579462299186</c:v>
                </c:pt>
                <c:pt idx="2">
                  <c:v>-0.38875138265755815</c:v>
                </c:pt>
                <c:pt idx="3">
                  <c:v>-0.37559192336871122</c:v>
                </c:pt>
                <c:pt idx="4">
                  <c:v>-0.55981426828514813</c:v>
                </c:pt>
                <c:pt idx="5">
                  <c:v>-0.5607893414736429</c:v>
                </c:pt>
                <c:pt idx="6">
                  <c:v>-0.49783772320356096</c:v>
                </c:pt>
                <c:pt idx="7">
                  <c:v>-0.47560865354630355</c:v>
                </c:pt>
                <c:pt idx="8">
                  <c:v>0.06</c:v>
                </c:pt>
              </c:numCache>
            </c:numRef>
          </c:val>
          <c:extLst>
            <c:ext xmlns:c16="http://schemas.microsoft.com/office/drawing/2014/chart" uri="{C3380CC4-5D6E-409C-BE32-E72D297353CC}">
              <c16:uniqueId val="{00000000-56D5-4EAF-973C-DD4A6AB64D64}"/>
            </c:ext>
          </c:extLst>
        </c:ser>
        <c:ser>
          <c:idx val="1"/>
          <c:order val="1"/>
          <c:tx>
            <c:strRef>
              <c:f>BDPQ_doprinosi!$R$35</c:f>
              <c:strCache>
                <c:ptCount val="1"/>
                <c:pt idx="0">
                  <c:v>Индустрија</c:v>
                </c:pt>
              </c:strCache>
            </c:strRef>
          </c:tx>
          <c:spPr>
            <a:solidFill>
              <a:srgbClr val="29489A"/>
            </a:solidFill>
            <a:ln>
              <a:noFill/>
            </a:ln>
            <a:effectLst/>
          </c:spPr>
          <c:invertIfNegative val="0"/>
          <c:cat>
            <c:multiLvlStrRef>
              <c:f>BDPQ_doprinosi!$BC$32:$BK$33</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BDPQ_doprinosi!$BC$35:$BK$35</c:f>
              <c:numCache>
                <c:formatCode>#.#00</c:formatCode>
                <c:ptCount val="9"/>
                <c:pt idx="0">
                  <c:v>0.85561448249336991</c:v>
                </c:pt>
                <c:pt idx="1">
                  <c:v>3.0008200829102956</c:v>
                </c:pt>
                <c:pt idx="2">
                  <c:v>0.44505246092327222</c:v>
                </c:pt>
                <c:pt idx="3">
                  <c:v>0.77995423198070291</c:v>
                </c:pt>
                <c:pt idx="4">
                  <c:v>0.3855096943071612</c:v>
                </c:pt>
                <c:pt idx="5">
                  <c:v>0.88233755799950375</c:v>
                </c:pt>
                <c:pt idx="6">
                  <c:v>-5.7172071532649679E-2</c:v>
                </c:pt>
                <c:pt idx="7">
                  <c:v>0.22646803283821235</c:v>
                </c:pt>
                <c:pt idx="8">
                  <c:v>0.46</c:v>
                </c:pt>
              </c:numCache>
            </c:numRef>
          </c:val>
          <c:extLst>
            <c:ext xmlns:c16="http://schemas.microsoft.com/office/drawing/2014/chart" uri="{C3380CC4-5D6E-409C-BE32-E72D297353CC}">
              <c16:uniqueId val="{00000001-56D5-4EAF-973C-DD4A6AB64D64}"/>
            </c:ext>
          </c:extLst>
        </c:ser>
        <c:ser>
          <c:idx val="2"/>
          <c:order val="2"/>
          <c:tx>
            <c:strRef>
              <c:f>BDPQ_doprinosi!$R$36</c:f>
              <c:strCache>
                <c:ptCount val="1"/>
                <c:pt idx="0">
                  <c:v>Грађевинарство</c:v>
                </c:pt>
              </c:strCache>
            </c:strRef>
          </c:tx>
          <c:spPr>
            <a:solidFill>
              <a:srgbClr val="2183C4"/>
            </a:solidFill>
            <a:ln>
              <a:noFill/>
            </a:ln>
            <a:effectLst/>
          </c:spPr>
          <c:invertIfNegative val="0"/>
          <c:cat>
            <c:multiLvlStrRef>
              <c:f>BDPQ_doprinosi!$BC$32:$BK$33</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BDPQ_doprinosi!$BC$36:$BK$36</c:f>
              <c:numCache>
                <c:formatCode>#.#00</c:formatCode>
                <c:ptCount val="9"/>
                <c:pt idx="0">
                  <c:v>0.8782964750331147</c:v>
                </c:pt>
                <c:pt idx="1">
                  <c:v>0.97600347698533241</c:v>
                </c:pt>
                <c:pt idx="2">
                  <c:v>1.0663578838736805</c:v>
                </c:pt>
                <c:pt idx="3">
                  <c:v>0.91674545657571305</c:v>
                </c:pt>
                <c:pt idx="4">
                  <c:v>-0.29515738096225391</c:v>
                </c:pt>
                <c:pt idx="5">
                  <c:v>-0.3858936327207903</c:v>
                </c:pt>
                <c:pt idx="6">
                  <c:v>-0.7457039846706528</c:v>
                </c:pt>
                <c:pt idx="7">
                  <c:v>-0.87303588643804797</c:v>
                </c:pt>
                <c:pt idx="8">
                  <c:v>-0.1</c:v>
                </c:pt>
              </c:numCache>
            </c:numRef>
          </c:val>
          <c:extLst>
            <c:ext xmlns:c16="http://schemas.microsoft.com/office/drawing/2014/chart" uri="{C3380CC4-5D6E-409C-BE32-E72D297353CC}">
              <c16:uniqueId val="{00000002-56D5-4EAF-973C-DD4A6AB64D64}"/>
            </c:ext>
          </c:extLst>
        </c:ser>
        <c:ser>
          <c:idx val="3"/>
          <c:order val="3"/>
          <c:tx>
            <c:strRef>
              <c:f>BDPQ_doprinosi!$R$37</c:f>
              <c:strCache>
                <c:ptCount val="1"/>
                <c:pt idx="0">
                  <c:v>Услуге</c:v>
                </c:pt>
              </c:strCache>
            </c:strRef>
          </c:tx>
          <c:spPr>
            <a:solidFill>
              <a:srgbClr val="51BBE7"/>
            </a:solidFill>
            <a:ln>
              <a:noFill/>
            </a:ln>
            <a:effectLst/>
          </c:spPr>
          <c:invertIfNegative val="0"/>
          <c:cat>
            <c:multiLvlStrRef>
              <c:f>BDPQ_doprinosi!$BC$32:$BK$33</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BDPQ_doprinosi!$BC$37:$BK$37</c:f>
              <c:numCache>
                <c:formatCode>#.#00</c:formatCode>
                <c:ptCount val="9"/>
                <c:pt idx="0">
                  <c:v>0.42786413675887347</c:v>
                </c:pt>
                <c:pt idx="1">
                  <c:v>7.2407425053940688</c:v>
                </c:pt>
                <c:pt idx="2">
                  <c:v>5.1557596544354016</c:v>
                </c:pt>
                <c:pt idx="3">
                  <c:v>4.5697268222208773</c:v>
                </c:pt>
                <c:pt idx="4">
                  <c:v>3.2004730015832905</c:v>
                </c:pt>
                <c:pt idx="5">
                  <c:v>2.9701999460722757</c:v>
                </c:pt>
                <c:pt idx="6">
                  <c:v>1.8488936723940406</c:v>
                </c:pt>
                <c:pt idx="7">
                  <c:v>1.3610376477442494</c:v>
                </c:pt>
                <c:pt idx="8">
                  <c:v>0.64</c:v>
                </c:pt>
              </c:numCache>
            </c:numRef>
          </c:val>
          <c:extLst>
            <c:ext xmlns:c16="http://schemas.microsoft.com/office/drawing/2014/chart" uri="{C3380CC4-5D6E-409C-BE32-E72D297353CC}">
              <c16:uniqueId val="{00000003-56D5-4EAF-973C-DD4A6AB64D64}"/>
            </c:ext>
          </c:extLst>
        </c:ser>
        <c:ser>
          <c:idx val="4"/>
          <c:order val="4"/>
          <c:tx>
            <c:strRef>
              <c:f>BDPQ_doprinosi!$R$38</c:f>
              <c:strCache>
                <c:ptCount val="1"/>
                <c:pt idx="0">
                  <c:v>Нето порези</c:v>
                </c:pt>
              </c:strCache>
            </c:strRef>
          </c:tx>
          <c:spPr>
            <a:solidFill>
              <a:srgbClr val="9ED1E6"/>
            </a:solidFill>
            <a:ln>
              <a:noFill/>
            </a:ln>
            <a:effectLst/>
          </c:spPr>
          <c:invertIfNegative val="0"/>
          <c:cat>
            <c:multiLvlStrRef>
              <c:f>BDPQ_doprinosi!$BC$32:$BK$33</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BDPQ_doprinosi!$BC$38:$BK$38</c:f>
              <c:numCache>
                <c:formatCode>#.#00</c:formatCode>
                <c:ptCount val="9"/>
                <c:pt idx="0">
                  <c:v>-0.12443513452618839</c:v>
                </c:pt>
                <c:pt idx="1">
                  <c:v>2.8924738803409342</c:v>
                </c:pt>
                <c:pt idx="2">
                  <c:v>1.5293853120250744</c:v>
                </c:pt>
                <c:pt idx="3">
                  <c:v>1.3535394537837966</c:v>
                </c:pt>
                <c:pt idx="4">
                  <c:v>1.3592431591521643</c:v>
                </c:pt>
                <c:pt idx="5">
                  <c:v>0.93131297641094124</c:v>
                </c:pt>
                <c:pt idx="6">
                  <c:v>0.4387186942515493</c:v>
                </c:pt>
                <c:pt idx="7">
                  <c:v>0.18006766887486736</c:v>
                </c:pt>
                <c:pt idx="8">
                  <c:v>-0.32000000000001938</c:v>
                </c:pt>
              </c:numCache>
            </c:numRef>
          </c:val>
          <c:extLst>
            <c:ext xmlns:c16="http://schemas.microsoft.com/office/drawing/2014/chart" uri="{C3380CC4-5D6E-409C-BE32-E72D297353CC}">
              <c16:uniqueId val="{00000004-56D5-4EAF-973C-DD4A6AB64D64}"/>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BDPQ_doprinosi!$R$39</c:f>
              <c:strCache>
                <c:ptCount val="1"/>
                <c:pt idx="0">
                  <c:v>Реални раст БДП</c:v>
                </c:pt>
              </c:strCache>
            </c:strRef>
          </c:tx>
          <c:spPr>
            <a:ln w="28575" cap="rnd">
              <a:solidFill>
                <a:srgbClr val="FF0000"/>
              </a:solidFill>
              <a:round/>
            </a:ln>
            <a:effectLst/>
          </c:spPr>
          <c:marker>
            <c:symbol val="none"/>
          </c:marker>
          <c:dLbls>
            <c:dLbl>
              <c:idx val="0"/>
              <c:layout>
                <c:manualLayout>
                  <c:x val="-8.4733887430737995E-2"/>
                  <c:y val="-5.67912128958457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6D5-4EAF-973C-DD4A6AB64D64}"/>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BDPQ_doprinosi!$BC$32:$BK$33</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BDPQ_doprinosi!$BC$39:$BK$39</c:f>
              <c:numCache>
                <c:formatCode>#.#00</c:formatCode>
                <c:ptCount val="9"/>
                <c:pt idx="0">
                  <c:v>1.6993763418409458</c:v>
                </c:pt>
                <c:pt idx="1">
                  <c:v>13.77740415100763</c:v>
                </c:pt>
                <c:pt idx="2">
                  <c:v>7.8078039285997818</c:v>
                </c:pt>
                <c:pt idx="3">
                  <c:v>7.2443740411923869</c:v>
                </c:pt>
                <c:pt idx="4">
                  <c:v>4.0902542057952473</c:v>
                </c:pt>
                <c:pt idx="5">
                  <c:v>3.8371675062882815</c:v>
                </c:pt>
                <c:pt idx="6">
                  <c:v>0.98689858723879809</c:v>
                </c:pt>
                <c:pt idx="7">
                  <c:v>0.4189288094729875</c:v>
                </c:pt>
                <c:pt idx="8">
                  <c:v>0.73999999999998067</c:v>
                </c:pt>
              </c:numCache>
            </c:numRef>
          </c:val>
          <c:smooth val="0"/>
          <c:extLst>
            <c:ext xmlns:c16="http://schemas.microsoft.com/office/drawing/2014/chart" uri="{C3380CC4-5D6E-409C-BE32-E72D297353CC}">
              <c16:uniqueId val="{00000006-56D5-4EAF-973C-DD4A6AB64D64}"/>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0"/>
        <c:noMultiLvlLbl val="0"/>
      </c:catAx>
      <c:valAx>
        <c:axId val="1768858336"/>
        <c:scaling>
          <c:orientation val="minMax"/>
          <c:min val="-8"/>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4"/>
      </c:valAx>
      <c:spPr>
        <a:noFill/>
        <a:ln>
          <a:noFill/>
        </a:ln>
        <a:effectLst/>
      </c:spPr>
    </c:plotArea>
    <c:legend>
      <c:legendPos val="b"/>
      <c:layout>
        <c:manualLayout>
          <c:xMode val="edge"/>
          <c:yMode val="edge"/>
          <c:x val="2.9349664625255175E-2"/>
          <c:y val="0.84945769449176611"/>
          <c:w val="0.93586103820355804"/>
          <c:h val="0.147572875260268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3880572945331671"/>
        </c:manualLayout>
      </c:layout>
      <c:barChart>
        <c:barDir val="col"/>
        <c:grouping val="stacked"/>
        <c:varyColors val="0"/>
        <c:ser>
          <c:idx val="2"/>
          <c:order val="0"/>
          <c:tx>
            <c:strRef>
              <c:f>BDPQ_doprinosi!$R$8</c:f>
              <c:strCache>
                <c:ptCount val="1"/>
                <c:pt idx="0">
                  <c:v>Приватна потрошња</c:v>
                </c:pt>
              </c:strCache>
            </c:strRef>
          </c:tx>
          <c:spPr>
            <a:solidFill>
              <a:srgbClr val="10103C"/>
            </a:solidFill>
            <a:ln>
              <a:noFill/>
            </a:ln>
            <a:effectLst/>
          </c:spPr>
          <c:invertIfNegative val="0"/>
          <c:cat>
            <c:multiLvlStrRef>
              <c:f>BDPQ_doprinosi!$BC$5:$BK$6</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BDPQ_doprinosi!$BC$8:$BK$8</c:f>
              <c:numCache>
                <c:formatCode>#.#00</c:formatCode>
                <c:ptCount val="9"/>
                <c:pt idx="0">
                  <c:v>-1.2224093353133605</c:v>
                </c:pt>
                <c:pt idx="1">
                  <c:v>11.711167341667769</c:v>
                </c:pt>
                <c:pt idx="2">
                  <c:v>5.5898462999304019</c:v>
                </c:pt>
                <c:pt idx="3">
                  <c:v>4.9109641220346507</c:v>
                </c:pt>
                <c:pt idx="4">
                  <c:v>4.3562138609628791</c:v>
                </c:pt>
                <c:pt idx="5">
                  <c:v>2.5734599089418517</c:v>
                </c:pt>
                <c:pt idx="6">
                  <c:v>2.0244983752744909</c:v>
                </c:pt>
                <c:pt idx="7">
                  <c:v>0.9613311359993495</c:v>
                </c:pt>
                <c:pt idx="8">
                  <c:v>-0.60085463237761505</c:v>
                </c:pt>
              </c:numCache>
            </c:numRef>
          </c:val>
          <c:extLst>
            <c:ext xmlns:c16="http://schemas.microsoft.com/office/drawing/2014/chart" uri="{C3380CC4-5D6E-409C-BE32-E72D297353CC}">
              <c16:uniqueId val="{00000000-F0B1-4CBA-A1E7-5AEF15DFBCB5}"/>
            </c:ext>
          </c:extLst>
        </c:ser>
        <c:ser>
          <c:idx val="3"/>
          <c:order val="1"/>
          <c:tx>
            <c:strRef>
              <c:f>BDPQ_doprinosi!$R$9</c:f>
              <c:strCache>
                <c:ptCount val="1"/>
                <c:pt idx="0">
                  <c:v>Државна потрошња</c:v>
                </c:pt>
              </c:strCache>
            </c:strRef>
          </c:tx>
          <c:spPr>
            <a:solidFill>
              <a:srgbClr val="29489A"/>
            </a:solidFill>
            <a:ln>
              <a:noFill/>
            </a:ln>
            <a:effectLst/>
          </c:spPr>
          <c:invertIfNegative val="0"/>
          <c:cat>
            <c:multiLvlStrRef>
              <c:f>BDPQ_doprinosi!$BC$5:$BK$6</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BDPQ_doprinosi!$BC$9:$BK$9</c:f>
              <c:numCache>
                <c:formatCode>#.#00</c:formatCode>
                <c:ptCount val="9"/>
                <c:pt idx="0">
                  <c:v>0.29106207813261836</c:v>
                </c:pt>
                <c:pt idx="1">
                  <c:v>-0.25514224040459144</c:v>
                </c:pt>
                <c:pt idx="2">
                  <c:v>1.4891193576646236</c:v>
                </c:pt>
                <c:pt idx="3">
                  <c:v>1.2340192025730987</c:v>
                </c:pt>
                <c:pt idx="4">
                  <c:v>0.46147385969663662</c:v>
                </c:pt>
                <c:pt idx="5">
                  <c:v>0.8107802610397471</c:v>
                </c:pt>
                <c:pt idx="6">
                  <c:v>-0.61233769464172338</c:v>
                </c:pt>
                <c:pt idx="7">
                  <c:v>-0.41267670033016324</c:v>
                </c:pt>
                <c:pt idx="8">
                  <c:v>-0.60425124132614672</c:v>
                </c:pt>
              </c:numCache>
            </c:numRef>
          </c:val>
          <c:extLst>
            <c:ext xmlns:c16="http://schemas.microsoft.com/office/drawing/2014/chart" uri="{C3380CC4-5D6E-409C-BE32-E72D297353CC}">
              <c16:uniqueId val="{00000001-F0B1-4CBA-A1E7-5AEF15DFBCB5}"/>
            </c:ext>
          </c:extLst>
        </c:ser>
        <c:ser>
          <c:idx val="1"/>
          <c:order val="2"/>
          <c:tx>
            <c:strRef>
              <c:f>BDPQ_doprinosi!$R$10</c:f>
              <c:strCache>
                <c:ptCount val="1"/>
                <c:pt idx="0">
                  <c:v>Инвестиције</c:v>
                </c:pt>
              </c:strCache>
            </c:strRef>
          </c:tx>
          <c:spPr>
            <a:solidFill>
              <a:srgbClr val="2183C4"/>
            </a:solidFill>
            <a:ln>
              <a:noFill/>
            </a:ln>
            <a:effectLst/>
          </c:spPr>
          <c:invertIfNegative val="0"/>
          <c:cat>
            <c:multiLvlStrRef>
              <c:f>BDPQ_doprinosi!$BC$5:$BK$6</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BDPQ_doprinosi!$BC$10:$BK$10</c:f>
              <c:numCache>
                <c:formatCode>#.#00</c:formatCode>
                <c:ptCount val="9"/>
                <c:pt idx="0">
                  <c:v>2.3335824521108401</c:v>
                </c:pt>
                <c:pt idx="1">
                  <c:v>4.9526564595132685</c:v>
                </c:pt>
                <c:pt idx="2">
                  <c:v>3.3722145009004758</c:v>
                </c:pt>
                <c:pt idx="3">
                  <c:v>3.0654950208302294</c:v>
                </c:pt>
                <c:pt idx="4">
                  <c:v>0.25113969632995292</c:v>
                </c:pt>
                <c:pt idx="5">
                  <c:v>0.44262795750976758</c:v>
                </c:pt>
                <c:pt idx="6">
                  <c:v>-0.4378774757674061</c:v>
                </c:pt>
                <c:pt idx="7">
                  <c:v>-0.69770696657433029</c:v>
                </c:pt>
                <c:pt idx="8">
                  <c:v>2.2175470041726014E-2</c:v>
                </c:pt>
              </c:numCache>
            </c:numRef>
          </c:val>
          <c:extLst>
            <c:ext xmlns:c16="http://schemas.microsoft.com/office/drawing/2014/chart" uri="{C3380CC4-5D6E-409C-BE32-E72D297353CC}">
              <c16:uniqueId val="{00000002-F0B1-4CBA-A1E7-5AEF15DFBCB5}"/>
            </c:ext>
          </c:extLst>
        </c:ser>
        <c:ser>
          <c:idx val="0"/>
          <c:order val="3"/>
          <c:tx>
            <c:strRef>
              <c:f>BDPQ_doprinosi!$R$11</c:f>
              <c:strCache>
                <c:ptCount val="1"/>
                <c:pt idx="0">
                  <c:v>Нето извоз</c:v>
                </c:pt>
              </c:strCache>
            </c:strRef>
          </c:tx>
          <c:spPr>
            <a:solidFill>
              <a:srgbClr val="51BBE7"/>
            </a:solidFill>
            <a:ln>
              <a:noFill/>
            </a:ln>
            <a:effectLst/>
          </c:spPr>
          <c:invertIfNegative val="0"/>
          <c:cat>
            <c:multiLvlStrRef>
              <c:f>BDPQ_doprinosi!$BC$5:$BK$6</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BDPQ_doprinosi!$BC$11:$BK$11</c:f>
              <c:numCache>
                <c:formatCode>#.#00</c:formatCode>
                <c:ptCount val="9"/>
                <c:pt idx="0">
                  <c:v>5.1788697151113174</c:v>
                </c:pt>
                <c:pt idx="1">
                  <c:v>-5.4768714456351084</c:v>
                </c:pt>
                <c:pt idx="2">
                  <c:v>-1.1687398229370576</c:v>
                </c:pt>
                <c:pt idx="3">
                  <c:v>-1.0192816837314016</c:v>
                </c:pt>
                <c:pt idx="4">
                  <c:v>-9.1033555943743458</c:v>
                </c:pt>
                <c:pt idx="5">
                  <c:v>-2.9063912731620558</c:v>
                </c:pt>
                <c:pt idx="6">
                  <c:v>2.2656642914402951</c:v>
                </c:pt>
                <c:pt idx="7">
                  <c:v>2.8655519225579686</c:v>
                </c:pt>
                <c:pt idx="8">
                  <c:v>8.7007634197194026</c:v>
                </c:pt>
              </c:numCache>
            </c:numRef>
          </c:val>
          <c:extLst>
            <c:ext xmlns:c16="http://schemas.microsoft.com/office/drawing/2014/chart" uri="{C3380CC4-5D6E-409C-BE32-E72D297353CC}">
              <c16:uniqueId val="{00000003-F0B1-4CBA-A1E7-5AEF15DFBCB5}"/>
            </c:ext>
          </c:extLst>
        </c:ser>
        <c:ser>
          <c:idx val="4"/>
          <c:order val="4"/>
          <c:tx>
            <c:strRef>
              <c:f>BDPQ_doprinosi!$R$12</c:f>
              <c:strCache>
                <c:ptCount val="1"/>
                <c:pt idx="0">
                  <c:v>Промена у залихама</c:v>
                </c:pt>
              </c:strCache>
            </c:strRef>
          </c:tx>
          <c:spPr>
            <a:solidFill>
              <a:srgbClr val="9ED1E6"/>
            </a:solidFill>
            <a:ln>
              <a:noFill/>
            </a:ln>
            <a:effectLst/>
          </c:spPr>
          <c:invertIfNegative val="0"/>
          <c:cat>
            <c:multiLvlStrRef>
              <c:f>BDPQ_doprinosi!$BC$5:$BK$6</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BDPQ_doprinosi!$BC$12:$BK$12</c:f>
              <c:numCache>
                <c:formatCode>#.#00</c:formatCode>
                <c:ptCount val="9"/>
                <c:pt idx="0">
                  <c:v>-4.8817285682004758</c:v>
                </c:pt>
                <c:pt idx="1">
                  <c:v>2.8455940358662986</c:v>
                </c:pt>
                <c:pt idx="2">
                  <c:v>-1.4746364069586608</c:v>
                </c:pt>
                <c:pt idx="3">
                  <c:v>-0.94682262051420096</c:v>
                </c:pt>
                <c:pt idx="4">
                  <c:v>8.1247823831801274</c:v>
                </c:pt>
                <c:pt idx="5">
                  <c:v>2.9166906519589801</c:v>
                </c:pt>
                <c:pt idx="6">
                  <c:v>-2.2530489090668695</c:v>
                </c:pt>
                <c:pt idx="7">
                  <c:v>-2.2975705821798389</c:v>
                </c:pt>
                <c:pt idx="8">
                  <c:v>-6.7778330160573796</c:v>
                </c:pt>
              </c:numCache>
            </c:numRef>
          </c:val>
          <c:extLst>
            <c:ext xmlns:c16="http://schemas.microsoft.com/office/drawing/2014/chart" uri="{C3380CC4-5D6E-409C-BE32-E72D297353CC}">
              <c16:uniqueId val="{00000004-F0B1-4CBA-A1E7-5AEF15DFBCB5}"/>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BDPQ_doprinosi!$R$13</c:f>
              <c:strCache>
                <c:ptCount val="1"/>
                <c:pt idx="0">
                  <c:v>Реални раст БДП</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BDPQ_doprinosi!$BC$5:$BK$6</c:f>
              <c:multiLvlStrCache>
                <c:ptCount val="9"/>
                <c:lvl>
                  <c:pt idx="0">
                    <c:v>Q1</c:v>
                  </c:pt>
                  <c:pt idx="1">
                    <c:v>Q2</c:v>
                  </c:pt>
                  <c:pt idx="2">
                    <c:v>Q3</c:v>
                  </c:pt>
                  <c:pt idx="3">
                    <c:v>Q4</c:v>
                  </c:pt>
                  <c:pt idx="4">
                    <c:v>Q1</c:v>
                  </c:pt>
                  <c:pt idx="5">
                    <c:v>Q2</c:v>
                  </c:pt>
                  <c:pt idx="6">
                    <c:v>Q3</c:v>
                  </c:pt>
                  <c:pt idx="7">
                    <c:v>Q4</c:v>
                  </c:pt>
                  <c:pt idx="8">
                    <c:v>Q1*</c:v>
                  </c:pt>
                </c:lvl>
                <c:lvl>
                  <c:pt idx="0">
                    <c:v>2021</c:v>
                  </c:pt>
                  <c:pt idx="4">
                    <c:v>2022</c:v>
                  </c:pt>
                  <c:pt idx="8">
                    <c:v>2023</c:v>
                  </c:pt>
                </c:lvl>
              </c:multiLvlStrCache>
            </c:multiLvlStrRef>
          </c:cat>
          <c:val>
            <c:numRef>
              <c:f>BDPQ_doprinosi!$BC$13:$BK$13</c:f>
              <c:numCache>
                <c:formatCode>#.#00</c:formatCode>
                <c:ptCount val="9"/>
                <c:pt idx="0">
                  <c:v>1.6993763418409458</c:v>
                </c:pt>
                <c:pt idx="1">
                  <c:v>13.77740415100763</c:v>
                </c:pt>
                <c:pt idx="2">
                  <c:v>7.8078039285997818</c:v>
                </c:pt>
                <c:pt idx="3">
                  <c:v>7.2443740411923869</c:v>
                </c:pt>
                <c:pt idx="4">
                  <c:v>4.0902542057952473</c:v>
                </c:pt>
                <c:pt idx="5">
                  <c:v>3.8371675062882815</c:v>
                </c:pt>
                <c:pt idx="6">
                  <c:v>0.98689858723879809</c:v>
                </c:pt>
                <c:pt idx="7">
                  <c:v>0.4189288094729875</c:v>
                </c:pt>
                <c:pt idx="8">
                  <c:v>0.73999999999998067</c:v>
                </c:pt>
              </c:numCache>
            </c:numRef>
          </c:val>
          <c:smooth val="0"/>
          <c:extLst>
            <c:ext xmlns:c16="http://schemas.microsoft.com/office/drawing/2014/chart" uri="{C3380CC4-5D6E-409C-BE32-E72D297353CC}">
              <c16:uniqueId val="{00000005-F0B1-4CBA-A1E7-5AEF15DFBCB5}"/>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0"/>
        <c:noMultiLvlLbl val="0"/>
      </c:catAx>
      <c:valAx>
        <c:axId val="1768855072"/>
        <c:scaling>
          <c:orientation val="minMax"/>
          <c:max val="22"/>
          <c:min val="-1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majorUnit val="4"/>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graf'!$BV$7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9A1-49AD-82CD-132944796914}"/>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9A1-49AD-82CD-132944796914}"/>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9A1-49AD-82CD-132944796914}"/>
                </c:ext>
              </c:extLst>
            </c:dLbl>
            <c:dLbl>
              <c:idx val="36"/>
              <c:layout>
                <c:manualLayout>
                  <c:x val="-1.4599455874578638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9A1-49AD-82CD-13294479691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graf'!$BV$44:$BV$82</c:f>
              <c:numCache>
                <c:formatCode>General</c:formatCode>
                <c:ptCount val="39"/>
                <c:pt idx="0">
                  <c:v>70</c:v>
                </c:pt>
                <c:pt idx="12">
                  <c:v>70</c:v>
                </c:pt>
                <c:pt idx="24">
                  <c:v>70</c:v>
                </c:pt>
                <c:pt idx="36">
                  <c:v>70</c:v>
                </c:pt>
              </c:numCache>
            </c:numRef>
          </c:val>
          <c:smooth val="0"/>
          <c:extLst>
            <c:ext xmlns:c16="http://schemas.microsoft.com/office/drawing/2014/chart" uri="{C3380CC4-5D6E-409C-BE32-E72D297353CC}">
              <c16:uniqueId val="{00000004-29A1-49AD-82CD-132944796914}"/>
            </c:ext>
          </c:extLst>
        </c:ser>
        <c:ser>
          <c:idx val="4"/>
          <c:order val="1"/>
          <c:tx>
            <c:strRef>
              <c:f>'Prerađivačka_6 graf'!$BW$7</c:f>
              <c:strCache>
                <c:ptCount val="1"/>
                <c:pt idx="0">
                  <c:v>Series5</c:v>
                </c:pt>
              </c:strCache>
            </c:strRef>
          </c:tx>
          <c:spPr>
            <a:ln w="25400" cap="rnd">
              <a:noFill/>
              <a:round/>
            </a:ln>
            <a:effectLst/>
          </c:spPr>
          <c:marker>
            <c:symbol val="none"/>
          </c:marker>
          <c:dLbls>
            <c:dLbl>
              <c:idx val="0"/>
              <c:tx>
                <c:rich>
                  <a:bodyPr/>
                  <a:lstStyle/>
                  <a:p>
                    <a:fld id="{2D21D940-DA27-47B3-AD8A-652514FBD12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29A1-49AD-82CD-132944796914}"/>
                </c:ext>
              </c:extLst>
            </c:dLbl>
            <c:dLbl>
              <c:idx val="1"/>
              <c:tx>
                <c:rich>
                  <a:bodyPr/>
                  <a:lstStyle/>
                  <a:p>
                    <a:fld id="{0D361994-B2C7-4AA0-AA1E-E1FAA641C26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29A1-49AD-82CD-132944796914}"/>
                </c:ext>
              </c:extLst>
            </c:dLbl>
            <c:dLbl>
              <c:idx val="2"/>
              <c:tx>
                <c:rich>
                  <a:bodyPr/>
                  <a:lstStyle/>
                  <a:p>
                    <a:fld id="{634ECB69-F9FF-478C-94FC-EDFFCDAD4A9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29A1-49AD-82CD-132944796914}"/>
                </c:ext>
              </c:extLst>
            </c:dLbl>
            <c:dLbl>
              <c:idx val="3"/>
              <c:tx>
                <c:rich>
                  <a:bodyPr/>
                  <a:lstStyle/>
                  <a:p>
                    <a:fld id="{7292C8E1-2EA0-42DB-A870-1BF6EDED2AF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9A1-49AD-82CD-132944796914}"/>
                </c:ext>
              </c:extLst>
            </c:dLbl>
            <c:dLbl>
              <c:idx val="4"/>
              <c:tx>
                <c:rich>
                  <a:bodyPr/>
                  <a:lstStyle/>
                  <a:p>
                    <a:fld id="{35AE747C-C187-427B-8D0B-1066874060C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29A1-49AD-82CD-132944796914}"/>
                </c:ext>
              </c:extLst>
            </c:dLbl>
            <c:dLbl>
              <c:idx val="5"/>
              <c:tx>
                <c:rich>
                  <a:bodyPr/>
                  <a:lstStyle/>
                  <a:p>
                    <a:fld id="{D3829B35-7C3C-4000-9216-AEB52EB493D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29A1-49AD-82CD-132944796914}"/>
                </c:ext>
              </c:extLst>
            </c:dLbl>
            <c:dLbl>
              <c:idx val="6"/>
              <c:tx>
                <c:rich>
                  <a:bodyPr/>
                  <a:lstStyle/>
                  <a:p>
                    <a:fld id="{DE7D56C7-7206-4E45-AD5D-F33C3B44682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9A1-49AD-82CD-132944796914}"/>
                </c:ext>
              </c:extLst>
            </c:dLbl>
            <c:dLbl>
              <c:idx val="7"/>
              <c:tx>
                <c:rich>
                  <a:bodyPr/>
                  <a:lstStyle/>
                  <a:p>
                    <a:fld id="{AF675360-20C9-47C0-BB09-65C29DF383B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29A1-49AD-82CD-132944796914}"/>
                </c:ext>
              </c:extLst>
            </c:dLbl>
            <c:dLbl>
              <c:idx val="8"/>
              <c:tx>
                <c:rich>
                  <a:bodyPr/>
                  <a:lstStyle/>
                  <a:p>
                    <a:fld id="{1D076D54-887E-487B-A591-B4562577862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29A1-49AD-82CD-132944796914}"/>
                </c:ext>
              </c:extLst>
            </c:dLbl>
            <c:dLbl>
              <c:idx val="9"/>
              <c:tx>
                <c:rich>
                  <a:bodyPr/>
                  <a:lstStyle/>
                  <a:p>
                    <a:fld id="{C7AEAC42-A472-4271-AEEE-81163929366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9A1-49AD-82CD-132944796914}"/>
                </c:ext>
              </c:extLst>
            </c:dLbl>
            <c:dLbl>
              <c:idx val="10"/>
              <c:tx>
                <c:rich>
                  <a:bodyPr/>
                  <a:lstStyle/>
                  <a:p>
                    <a:fld id="{D33BEA06-83A1-41F8-8EB8-8025567A3B8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29A1-49AD-82CD-132944796914}"/>
                </c:ext>
              </c:extLst>
            </c:dLbl>
            <c:dLbl>
              <c:idx val="11"/>
              <c:tx>
                <c:rich>
                  <a:bodyPr/>
                  <a:lstStyle/>
                  <a:p>
                    <a:fld id="{8874FAD2-3C41-45C1-ABC3-035A74105AB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29A1-49AD-82CD-132944796914}"/>
                </c:ext>
              </c:extLst>
            </c:dLbl>
            <c:dLbl>
              <c:idx val="12"/>
              <c:tx>
                <c:rich>
                  <a:bodyPr/>
                  <a:lstStyle/>
                  <a:p>
                    <a:fld id="{9BBD0A84-D4ED-445E-863D-431A78B8624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29A1-49AD-82CD-132944796914}"/>
                </c:ext>
              </c:extLst>
            </c:dLbl>
            <c:dLbl>
              <c:idx val="13"/>
              <c:tx>
                <c:rich>
                  <a:bodyPr/>
                  <a:lstStyle/>
                  <a:p>
                    <a:fld id="{56F55B0E-E72C-481D-8939-879AE8EB3F5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29A1-49AD-82CD-132944796914}"/>
                </c:ext>
              </c:extLst>
            </c:dLbl>
            <c:dLbl>
              <c:idx val="14"/>
              <c:tx>
                <c:rich>
                  <a:bodyPr/>
                  <a:lstStyle/>
                  <a:p>
                    <a:fld id="{6C59E345-AF3E-4282-B682-A55D0DE944E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29A1-49AD-82CD-132944796914}"/>
                </c:ext>
              </c:extLst>
            </c:dLbl>
            <c:dLbl>
              <c:idx val="15"/>
              <c:tx>
                <c:rich>
                  <a:bodyPr/>
                  <a:lstStyle/>
                  <a:p>
                    <a:fld id="{DD0A7290-8C4D-4568-B0E8-3C581BC92BB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29A1-49AD-82CD-132944796914}"/>
                </c:ext>
              </c:extLst>
            </c:dLbl>
            <c:dLbl>
              <c:idx val="16"/>
              <c:tx>
                <c:rich>
                  <a:bodyPr/>
                  <a:lstStyle/>
                  <a:p>
                    <a:fld id="{05050E3A-1DAB-4215-ABFB-5BF3EA110E6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29A1-49AD-82CD-132944796914}"/>
                </c:ext>
              </c:extLst>
            </c:dLbl>
            <c:dLbl>
              <c:idx val="17"/>
              <c:tx>
                <c:rich>
                  <a:bodyPr/>
                  <a:lstStyle/>
                  <a:p>
                    <a:fld id="{68C78A8F-381B-4258-8B88-0ECBBBB4C38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29A1-49AD-82CD-132944796914}"/>
                </c:ext>
              </c:extLst>
            </c:dLbl>
            <c:dLbl>
              <c:idx val="18"/>
              <c:tx>
                <c:rich>
                  <a:bodyPr/>
                  <a:lstStyle/>
                  <a:p>
                    <a:fld id="{7BBC3E2B-9680-4102-8641-992902481AD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29A1-49AD-82CD-132944796914}"/>
                </c:ext>
              </c:extLst>
            </c:dLbl>
            <c:dLbl>
              <c:idx val="19"/>
              <c:tx>
                <c:rich>
                  <a:bodyPr/>
                  <a:lstStyle/>
                  <a:p>
                    <a:fld id="{6A14EADC-9BD3-4064-8771-DB1173C4C60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29A1-49AD-82CD-132944796914}"/>
                </c:ext>
              </c:extLst>
            </c:dLbl>
            <c:dLbl>
              <c:idx val="20"/>
              <c:tx>
                <c:rich>
                  <a:bodyPr/>
                  <a:lstStyle/>
                  <a:p>
                    <a:fld id="{589F528C-8C18-4231-8191-2AE221A4E64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29A1-49AD-82CD-132944796914}"/>
                </c:ext>
              </c:extLst>
            </c:dLbl>
            <c:dLbl>
              <c:idx val="21"/>
              <c:tx>
                <c:rich>
                  <a:bodyPr/>
                  <a:lstStyle/>
                  <a:p>
                    <a:fld id="{D467045C-3250-4D81-86F1-D87882492F5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29A1-49AD-82CD-132944796914}"/>
                </c:ext>
              </c:extLst>
            </c:dLbl>
            <c:dLbl>
              <c:idx val="22"/>
              <c:tx>
                <c:rich>
                  <a:bodyPr/>
                  <a:lstStyle/>
                  <a:p>
                    <a:fld id="{F4D5F336-0996-4D7B-A3F8-81D1E03DF99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29A1-49AD-82CD-132944796914}"/>
                </c:ext>
              </c:extLst>
            </c:dLbl>
            <c:dLbl>
              <c:idx val="23"/>
              <c:tx>
                <c:rich>
                  <a:bodyPr/>
                  <a:lstStyle/>
                  <a:p>
                    <a:fld id="{54EB609E-79BE-40B2-8F4A-ECA4FAE3884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29A1-49AD-82CD-132944796914}"/>
                </c:ext>
              </c:extLst>
            </c:dLbl>
            <c:dLbl>
              <c:idx val="24"/>
              <c:tx>
                <c:rich>
                  <a:bodyPr/>
                  <a:lstStyle/>
                  <a:p>
                    <a:fld id="{839B8058-D709-44DF-8530-DD1192D1A05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29A1-49AD-82CD-132944796914}"/>
                </c:ext>
              </c:extLst>
            </c:dLbl>
            <c:dLbl>
              <c:idx val="25"/>
              <c:tx>
                <c:rich>
                  <a:bodyPr/>
                  <a:lstStyle/>
                  <a:p>
                    <a:fld id="{9021D5FA-7B8E-46BA-A389-DEC673CFB4B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29A1-49AD-82CD-132944796914}"/>
                </c:ext>
              </c:extLst>
            </c:dLbl>
            <c:dLbl>
              <c:idx val="26"/>
              <c:tx>
                <c:rich>
                  <a:bodyPr/>
                  <a:lstStyle/>
                  <a:p>
                    <a:fld id="{6BFA5549-0E96-4A39-A99D-4ADCFBB1125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29A1-49AD-82CD-132944796914}"/>
                </c:ext>
              </c:extLst>
            </c:dLbl>
            <c:dLbl>
              <c:idx val="27"/>
              <c:tx>
                <c:rich>
                  <a:bodyPr/>
                  <a:lstStyle/>
                  <a:p>
                    <a:fld id="{73F535D5-A4F5-4287-9F30-062435A94AE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29A1-49AD-82CD-132944796914}"/>
                </c:ext>
              </c:extLst>
            </c:dLbl>
            <c:dLbl>
              <c:idx val="28"/>
              <c:tx>
                <c:rich>
                  <a:bodyPr/>
                  <a:lstStyle/>
                  <a:p>
                    <a:fld id="{2BDE73FA-D2C4-4E43-B9FB-9A1EE7FEDFC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29A1-49AD-82CD-132944796914}"/>
                </c:ext>
              </c:extLst>
            </c:dLbl>
            <c:dLbl>
              <c:idx val="29"/>
              <c:tx>
                <c:rich>
                  <a:bodyPr/>
                  <a:lstStyle/>
                  <a:p>
                    <a:fld id="{CC89707E-CFC7-4D4C-9681-1E8D8346771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29A1-49AD-82CD-132944796914}"/>
                </c:ext>
              </c:extLst>
            </c:dLbl>
            <c:dLbl>
              <c:idx val="30"/>
              <c:tx>
                <c:rich>
                  <a:bodyPr/>
                  <a:lstStyle/>
                  <a:p>
                    <a:fld id="{CD969959-BC15-43ED-B671-730F54499DD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29A1-49AD-82CD-132944796914}"/>
                </c:ext>
              </c:extLst>
            </c:dLbl>
            <c:dLbl>
              <c:idx val="31"/>
              <c:tx>
                <c:rich>
                  <a:bodyPr/>
                  <a:lstStyle/>
                  <a:p>
                    <a:fld id="{75912156-CE66-4627-B5AD-882F00FD917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29A1-49AD-82CD-132944796914}"/>
                </c:ext>
              </c:extLst>
            </c:dLbl>
            <c:dLbl>
              <c:idx val="32"/>
              <c:tx>
                <c:rich>
                  <a:bodyPr/>
                  <a:lstStyle/>
                  <a:p>
                    <a:fld id="{17DC80C2-7F81-4ACE-AE95-5F9D947D47A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29A1-49AD-82CD-132944796914}"/>
                </c:ext>
              </c:extLst>
            </c:dLbl>
            <c:dLbl>
              <c:idx val="33"/>
              <c:tx>
                <c:rich>
                  <a:bodyPr/>
                  <a:lstStyle/>
                  <a:p>
                    <a:fld id="{70C5B436-20AA-4970-9F4F-A46DCF654EE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29A1-49AD-82CD-132944796914}"/>
                </c:ext>
              </c:extLst>
            </c:dLbl>
            <c:dLbl>
              <c:idx val="34"/>
              <c:tx>
                <c:rich>
                  <a:bodyPr/>
                  <a:lstStyle/>
                  <a:p>
                    <a:fld id="{52C3452A-53B6-437A-B6A1-38B4F596A35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29A1-49AD-82CD-132944796914}"/>
                </c:ext>
              </c:extLst>
            </c:dLbl>
            <c:dLbl>
              <c:idx val="35"/>
              <c:tx>
                <c:rich>
                  <a:bodyPr/>
                  <a:lstStyle/>
                  <a:p>
                    <a:fld id="{67700193-0DB5-4EA1-8F49-91F2AC2E15F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29A1-49AD-82CD-132944796914}"/>
                </c:ext>
              </c:extLst>
            </c:dLbl>
            <c:dLbl>
              <c:idx val="36"/>
              <c:tx>
                <c:rich>
                  <a:bodyPr/>
                  <a:lstStyle/>
                  <a:p>
                    <a:fld id="{3DF6656E-5E15-467B-ABA0-7DAE25ED4E4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29A1-49AD-82CD-132944796914}"/>
                </c:ext>
              </c:extLst>
            </c:dLbl>
            <c:dLbl>
              <c:idx val="37"/>
              <c:tx>
                <c:rich>
                  <a:bodyPr/>
                  <a:lstStyle/>
                  <a:p>
                    <a:fld id="{0D6348AD-EC20-445C-B233-14BBACD77DF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29A1-49AD-82CD-132944796914}"/>
                </c:ext>
              </c:extLst>
            </c:dLbl>
            <c:dLbl>
              <c:idx val="38"/>
              <c:tx>
                <c:rich>
                  <a:bodyPr/>
                  <a:lstStyle/>
                  <a:p>
                    <a:fld id="{8D5BE98F-35A9-4EB3-A35C-177513BB231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29A1-49AD-82CD-132944796914}"/>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graf'!$BW$44:$BW$82</c:f>
              <c:numCache>
                <c:formatCode>General</c:formatCode>
                <c:ptCount val="39"/>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29A1-49AD-82CD-132944796914}"/>
            </c:ext>
          </c:extLst>
        </c:ser>
        <c:ser>
          <c:idx val="0"/>
          <c:order val="2"/>
          <c:tx>
            <c:strRef>
              <c:f>'Prerađivačka_6 graf'!$BX$7</c:f>
              <c:strCache>
                <c:ptCount val="1"/>
                <c:pt idx="0">
                  <c:v>y</c:v>
                </c:pt>
              </c:strCache>
            </c:strRef>
          </c:tx>
          <c:spPr>
            <a:ln w="12700" cap="rnd">
              <a:solidFill>
                <a:srgbClr val="92278F"/>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graf'!$BX$44:$BX$82</c:f>
              <c:numCache>
                <c:formatCode>#.#00</c:formatCode>
                <c:ptCount val="39"/>
                <c:pt idx="0">
                  <c:v>121.209938783</c:v>
                </c:pt>
                <c:pt idx="1">
                  <c:v>117.42888008600001</c:v>
                </c:pt>
                <c:pt idx="2">
                  <c:v>125.315088225</c:v>
                </c:pt>
                <c:pt idx="3">
                  <c:v>93.446164925999994</c:v>
                </c:pt>
                <c:pt idx="4">
                  <c:v>88.368743248000001</c:v>
                </c:pt>
                <c:pt idx="5">
                  <c:v>91.609650701999996</c:v>
                </c:pt>
                <c:pt idx="6">
                  <c:v>96.038890889000001</c:v>
                </c:pt>
                <c:pt idx="7">
                  <c:v>102.844796543</c:v>
                </c:pt>
                <c:pt idx="8">
                  <c:v>96.903132877000004</c:v>
                </c:pt>
                <c:pt idx="9">
                  <c:v>113.86388188700001</c:v>
                </c:pt>
                <c:pt idx="10">
                  <c:v>113.86388188700001</c:v>
                </c:pt>
                <c:pt idx="11">
                  <c:v>122.074180771</c:v>
                </c:pt>
                <c:pt idx="12">
                  <c:v>135.794022326</c:v>
                </c:pt>
                <c:pt idx="13">
                  <c:v>129.52826791499999</c:v>
                </c:pt>
                <c:pt idx="14">
                  <c:v>131.68887288400001</c:v>
                </c:pt>
                <c:pt idx="15">
                  <c:v>109.97479294199999</c:v>
                </c:pt>
                <c:pt idx="16">
                  <c:v>95.390709399000002</c:v>
                </c:pt>
                <c:pt idx="17">
                  <c:v>88.692833993999997</c:v>
                </c:pt>
                <c:pt idx="18">
                  <c:v>97.551314368000007</c:v>
                </c:pt>
                <c:pt idx="19">
                  <c:v>96.471011883000003</c:v>
                </c:pt>
                <c:pt idx="20">
                  <c:v>90.097227223999994</c:v>
                </c:pt>
                <c:pt idx="21">
                  <c:v>102.08858480400001</c:v>
                </c:pt>
                <c:pt idx="22">
                  <c:v>102.196615052</c:v>
                </c:pt>
                <c:pt idx="23">
                  <c:v>112.891609651</c:v>
                </c:pt>
                <c:pt idx="24">
                  <c:v>110.6</c:v>
                </c:pt>
                <c:pt idx="25">
                  <c:v>96.219135801999997</c:v>
                </c:pt>
                <c:pt idx="26">
                  <c:v>114.44734551800001</c:v>
                </c:pt>
                <c:pt idx="27">
                  <c:v>101.3</c:v>
                </c:pt>
                <c:pt idx="28">
                  <c:v>83.5</c:v>
                </c:pt>
                <c:pt idx="29">
                  <c:v>85</c:v>
                </c:pt>
                <c:pt idx="30">
                  <c:v>92</c:v>
                </c:pt>
                <c:pt idx="31">
                  <c:v>90</c:v>
                </c:pt>
                <c:pt idx="32">
                  <c:v>90</c:v>
                </c:pt>
                <c:pt idx="33">
                  <c:v>100.9</c:v>
                </c:pt>
                <c:pt idx="34">
                  <c:v>110.4</c:v>
                </c:pt>
                <c:pt idx="35">
                  <c:v>125.7</c:v>
                </c:pt>
                <c:pt idx="36">
                  <c:v>124.4</c:v>
                </c:pt>
                <c:pt idx="37">
                  <c:v>124.7</c:v>
                </c:pt>
                <c:pt idx="38">
                  <c:v>131.5</c:v>
                </c:pt>
              </c:numCache>
            </c:numRef>
          </c:val>
          <c:smooth val="0"/>
          <c:extLst>
            <c:ext xmlns:c16="http://schemas.microsoft.com/office/drawing/2014/chart" uri="{C3380CC4-5D6E-409C-BE32-E72D297353CC}">
              <c16:uniqueId val="{0000002D-29A1-49AD-82CD-132944796914}"/>
            </c:ext>
          </c:extLst>
        </c:ser>
        <c:ser>
          <c:idx val="1"/>
          <c:order val="3"/>
          <c:tx>
            <c:strRef>
              <c:f>'Prerađivačka_6 graf'!$BY$7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graf'!$BY$44:$BY$82</c:f>
              <c:numCache>
                <c:formatCode>#.#00</c:formatCode>
                <c:ptCount val="39"/>
                <c:pt idx="0">
                  <c:v>103.328598425</c:v>
                </c:pt>
                <c:pt idx="1">
                  <c:v>103.212252608</c:v>
                </c:pt>
                <c:pt idx="2">
                  <c:v>106.065453938</c:v>
                </c:pt>
                <c:pt idx="3">
                  <c:v>96.386294139</c:v>
                </c:pt>
                <c:pt idx="4">
                  <c:v>99.773887680000001</c:v>
                </c:pt>
                <c:pt idx="5">
                  <c:v>104.57889527099999</c:v>
                </c:pt>
                <c:pt idx="6">
                  <c:v>107.69602608300001</c:v>
                </c:pt>
                <c:pt idx="7">
                  <c:v>113.748960647</c:v>
                </c:pt>
                <c:pt idx="8">
                  <c:v>111.87771388500001</c:v>
                </c:pt>
                <c:pt idx="9">
                  <c:v>115.425686023</c:v>
                </c:pt>
                <c:pt idx="10">
                  <c:v>111.529139942</c:v>
                </c:pt>
                <c:pt idx="11">
                  <c:v>107.66047530100001</c:v>
                </c:pt>
                <c:pt idx="12">
                  <c:v>116.224265277</c:v>
                </c:pt>
                <c:pt idx="13">
                  <c:v>116.361227554</c:v>
                </c:pt>
                <c:pt idx="14">
                  <c:v>111.19654111200001</c:v>
                </c:pt>
                <c:pt idx="15">
                  <c:v>113.259319969</c:v>
                </c:pt>
                <c:pt idx="16">
                  <c:v>109.367920113</c:v>
                </c:pt>
                <c:pt idx="17">
                  <c:v>101.990824516</c:v>
                </c:pt>
                <c:pt idx="18">
                  <c:v>108.77914922799999</c:v>
                </c:pt>
                <c:pt idx="19">
                  <c:v>106.896558446</c:v>
                </c:pt>
                <c:pt idx="20">
                  <c:v>103.98719717900001</c:v>
                </c:pt>
                <c:pt idx="21">
                  <c:v>103.273697993</c:v>
                </c:pt>
                <c:pt idx="22">
                  <c:v>99.870064553999995</c:v>
                </c:pt>
                <c:pt idx="23">
                  <c:v>99.043050730000004</c:v>
                </c:pt>
                <c:pt idx="24">
                  <c:v>95.187724309999993</c:v>
                </c:pt>
                <c:pt idx="25">
                  <c:v>86.115769611999994</c:v>
                </c:pt>
                <c:pt idx="26">
                  <c:v>96.796264018000002</c:v>
                </c:pt>
                <c:pt idx="27">
                  <c:v>104.231515927</c:v>
                </c:pt>
                <c:pt idx="28">
                  <c:v>96.195423328000004</c:v>
                </c:pt>
                <c:pt idx="29">
                  <c:v>98.512901436000007</c:v>
                </c:pt>
                <c:pt idx="30">
                  <c:v>102.176375067</c:v>
                </c:pt>
                <c:pt idx="31">
                  <c:v>99.759006940000006</c:v>
                </c:pt>
                <c:pt idx="32">
                  <c:v>103.635491758</c:v>
                </c:pt>
                <c:pt idx="33">
                  <c:v>102.065027048</c:v>
                </c:pt>
                <c:pt idx="34">
                  <c:v>107.639138663</c:v>
                </c:pt>
                <c:pt idx="35">
                  <c:v>109.748132734</c:v>
                </c:pt>
                <c:pt idx="36">
                  <c:v>107.214581321</c:v>
                </c:pt>
                <c:pt idx="37">
                  <c:v>111.730331194</c:v>
                </c:pt>
                <c:pt idx="38">
                  <c:v>111.513304686</c:v>
                </c:pt>
              </c:numCache>
            </c:numRef>
          </c:val>
          <c:smooth val="0"/>
          <c:extLst>
            <c:ext xmlns:c16="http://schemas.microsoft.com/office/drawing/2014/chart" uri="{C3380CC4-5D6E-409C-BE32-E72D297353CC}">
              <c16:uniqueId val="{0000002E-29A1-49AD-82CD-132944796914}"/>
            </c:ext>
          </c:extLst>
        </c:ser>
        <c:ser>
          <c:idx val="2"/>
          <c:order val="4"/>
          <c:tx>
            <c:strRef>
              <c:f>'Prerađivačka_6 graf'!$BZ$7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graf'!$BZ$44:$BZ$82</c:f>
              <c:numCache>
                <c:formatCode>#.#00</c:formatCode>
                <c:ptCount val="39"/>
                <c:pt idx="0">
                  <c:v>104.568259289</c:v>
                </c:pt>
                <c:pt idx="1">
                  <c:v>103.782702274</c:v>
                </c:pt>
                <c:pt idx="2">
                  <c:v>102.874064683</c:v>
                </c:pt>
                <c:pt idx="3">
                  <c:v>102.491587115</c:v>
                </c:pt>
                <c:pt idx="4">
                  <c:v>103.252910407</c:v>
                </c:pt>
                <c:pt idx="5">
                  <c:v>105.219069391</c:v>
                </c:pt>
                <c:pt idx="6">
                  <c:v>107.76472136</c:v>
                </c:pt>
                <c:pt idx="7">
                  <c:v>110.18414936000001</c:v>
                </c:pt>
                <c:pt idx="8">
                  <c:v>112.171849538</c:v>
                </c:pt>
                <c:pt idx="9">
                  <c:v>113.41071712500001</c:v>
                </c:pt>
                <c:pt idx="10">
                  <c:v>113.94790460599999</c:v>
                </c:pt>
                <c:pt idx="11">
                  <c:v>114.13717080799999</c:v>
                </c:pt>
                <c:pt idx="12">
                  <c:v>114.117738985</c:v>
                </c:pt>
                <c:pt idx="13">
                  <c:v>113.826286447</c:v>
                </c:pt>
                <c:pt idx="14">
                  <c:v>113.19690159</c:v>
                </c:pt>
                <c:pt idx="15">
                  <c:v>112.136737264</c:v>
                </c:pt>
                <c:pt idx="16">
                  <c:v>110.808110605</c:v>
                </c:pt>
                <c:pt idx="17">
                  <c:v>109.30871360800001</c:v>
                </c:pt>
                <c:pt idx="18">
                  <c:v>107.86528432599999</c:v>
                </c:pt>
                <c:pt idx="19">
                  <c:v>106.36486473399999</c:v>
                </c:pt>
                <c:pt idx="20">
                  <c:v>104.52603367099999</c:v>
                </c:pt>
                <c:pt idx="21">
                  <c:v>102.38338453</c:v>
                </c:pt>
                <c:pt idx="22">
                  <c:v>100.236850128</c:v>
                </c:pt>
                <c:pt idx="23">
                  <c:v>98.292654514000006</c:v>
                </c:pt>
                <c:pt idx="24">
                  <c:v>96.805061163999994</c:v>
                </c:pt>
                <c:pt idx="25">
                  <c:v>95.999259549000001</c:v>
                </c:pt>
                <c:pt idx="26">
                  <c:v>95.881416243999993</c:v>
                </c:pt>
                <c:pt idx="27">
                  <c:v>96.438016955999998</c:v>
                </c:pt>
                <c:pt idx="28">
                  <c:v>97.416278427999998</c:v>
                </c:pt>
                <c:pt idx="29">
                  <c:v>98.550209191999997</c:v>
                </c:pt>
                <c:pt idx="30">
                  <c:v>99.854702605</c:v>
                </c:pt>
                <c:pt idx="31">
                  <c:v>101.2737193</c:v>
                </c:pt>
                <c:pt idx="32">
                  <c:v>102.85567404699999</c:v>
                </c:pt>
                <c:pt idx="33">
                  <c:v>104.54222287</c:v>
                </c:pt>
                <c:pt idx="34">
                  <c:v>106.22201076899999</c:v>
                </c:pt>
                <c:pt idx="35">
                  <c:v>107.932335053</c:v>
                </c:pt>
                <c:pt idx="36">
                  <c:v>109.58664898799999</c:v>
                </c:pt>
                <c:pt idx="37">
                  <c:v>110.913458577</c:v>
                </c:pt>
                <c:pt idx="38">
                  <c:v>111.665938829</c:v>
                </c:pt>
              </c:numCache>
            </c:numRef>
          </c:val>
          <c:smooth val="0"/>
          <c:extLst>
            <c:ext xmlns:c16="http://schemas.microsoft.com/office/drawing/2014/chart" uri="{C3380CC4-5D6E-409C-BE32-E72D297353CC}">
              <c16:uniqueId val="{0000002F-29A1-49AD-82CD-132944796914}"/>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4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graf'!$BQ$7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FF7-466D-B53A-82B571555768}"/>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FF7-466D-B53A-82B571555768}"/>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FF7-466D-B53A-82B571555768}"/>
                </c:ext>
              </c:extLst>
            </c:dLbl>
            <c:dLbl>
              <c:idx val="36"/>
              <c:layout>
                <c:manualLayout>
                  <c:x val="-1.4599455874578638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FF7-466D-B53A-82B57155576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graf'!$BQ$44:$BQ$82</c:f>
              <c:numCache>
                <c:formatCode>General</c:formatCode>
                <c:ptCount val="39"/>
                <c:pt idx="0">
                  <c:v>40</c:v>
                </c:pt>
                <c:pt idx="12">
                  <c:v>40</c:v>
                </c:pt>
                <c:pt idx="24">
                  <c:v>40</c:v>
                </c:pt>
                <c:pt idx="36">
                  <c:v>40</c:v>
                </c:pt>
              </c:numCache>
            </c:numRef>
          </c:val>
          <c:smooth val="0"/>
          <c:extLst>
            <c:ext xmlns:c16="http://schemas.microsoft.com/office/drawing/2014/chart" uri="{C3380CC4-5D6E-409C-BE32-E72D297353CC}">
              <c16:uniqueId val="{00000004-2FF7-466D-B53A-82B571555768}"/>
            </c:ext>
          </c:extLst>
        </c:ser>
        <c:ser>
          <c:idx val="4"/>
          <c:order val="1"/>
          <c:tx>
            <c:strRef>
              <c:f>'Prerađivačka_6 graf'!$BR$7</c:f>
              <c:strCache>
                <c:ptCount val="1"/>
                <c:pt idx="0">
                  <c:v>Series5</c:v>
                </c:pt>
              </c:strCache>
            </c:strRef>
          </c:tx>
          <c:spPr>
            <a:ln w="25400" cap="rnd">
              <a:noFill/>
              <a:round/>
            </a:ln>
            <a:effectLst/>
          </c:spPr>
          <c:marker>
            <c:symbol val="none"/>
          </c:marker>
          <c:dLbls>
            <c:dLbl>
              <c:idx val="0"/>
              <c:tx>
                <c:rich>
                  <a:bodyPr/>
                  <a:lstStyle/>
                  <a:p>
                    <a:fld id="{2E0BE691-FB42-482F-B1D5-D749308E4CF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2FF7-466D-B53A-82B571555768}"/>
                </c:ext>
              </c:extLst>
            </c:dLbl>
            <c:dLbl>
              <c:idx val="1"/>
              <c:tx>
                <c:rich>
                  <a:bodyPr/>
                  <a:lstStyle/>
                  <a:p>
                    <a:fld id="{CBF2BA2E-6A88-468F-8CFB-8E6EA0772AE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2FF7-466D-B53A-82B571555768}"/>
                </c:ext>
              </c:extLst>
            </c:dLbl>
            <c:dLbl>
              <c:idx val="2"/>
              <c:tx>
                <c:rich>
                  <a:bodyPr/>
                  <a:lstStyle/>
                  <a:p>
                    <a:fld id="{1478E814-CB14-4B07-919D-BF39724FE3B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2FF7-466D-B53A-82B571555768}"/>
                </c:ext>
              </c:extLst>
            </c:dLbl>
            <c:dLbl>
              <c:idx val="3"/>
              <c:tx>
                <c:rich>
                  <a:bodyPr/>
                  <a:lstStyle/>
                  <a:p>
                    <a:fld id="{ACD97FCF-4C74-4E12-B143-E06C3526CB1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FF7-466D-B53A-82B571555768}"/>
                </c:ext>
              </c:extLst>
            </c:dLbl>
            <c:dLbl>
              <c:idx val="4"/>
              <c:tx>
                <c:rich>
                  <a:bodyPr/>
                  <a:lstStyle/>
                  <a:p>
                    <a:fld id="{3F4A06AD-E377-46B9-B96F-F874ABEEEB4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2FF7-466D-B53A-82B571555768}"/>
                </c:ext>
              </c:extLst>
            </c:dLbl>
            <c:dLbl>
              <c:idx val="5"/>
              <c:tx>
                <c:rich>
                  <a:bodyPr/>
                  <a:lstStyle/>
                  <a:p>
                    <a:fld id="{8141D7BE-4D01-4F72-82D4-656C7DA274A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2FF7-466D-B53A-82B571555768}"/>
                </c:ext>
              </c:extLst>
            </c:dLbl>
            <c:dLbl>
              <c:idx val="6"/>
              <c:tx>
                <c:rich>
                  <a:bodyPr/>
                  <a:lstStyle/>
                  <a:p>
                    <a:fld id="{0CAA9303-C28B-4596-A8C2-DF4F6DE7AA4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FF7-466D-B53A-82B571555768}"/>
                </c:ext>
              </c:extLst>
            </c:dLbl>
            <c:dLbl>
              <c:idx val="7"/>
              <c:tx>
                <c:rich>
                  <a:bodyPr/>
                  <a:lstStyle/>
                  <a:p>
                    <a:fld id="{4B47A7F3-D6DF-409A-BBD1-3972EDE9A70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2FF7-466D-B53A-82B571555768}"/>
                </c:ext>
              </c:extLst>
            </c:dLbl>
            <c:dLbl>
              <c:idx val="8"/>
              <c:tx>
                <c:rich>
                  <a:bodyPr/>
                  <a:lstStyle/>
                  <a:p>
                    <a:fld id="{8205B3A4-AE50-4300-88FB-85F55B8D244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2FF7-466D-B53A-82B571555768}"/>
                </c:ext>
              </c:extLst>
            </c:dLbl>
            <c:dLbl>
              <c:idx val="9"/>
              <c:tx>
                <c:rich>
                  <a:bodyPr/>
                  <a:lstStyle/>
                  <a:p>
                    <a:fld id="{68D98808-03EE-472C-A2D9-FBAEC22AD14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FF7-466D-B53A-82B571555768}"/>
                </c:ext>
              </c:extLst>
            </c:dLbl>
            <c:dLbl>
              <c:idx val="10"/>
              <c:tx>
                <c:rich>
                  <a:bodyPr/>
                  <a:lstStyle/>
                  <a:p>
                    <a:fld id="{A2483441-FCA0-4AE0-AE80-D9167EF5781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2FF7-466D-B53A-82B571555768}"/>
                </c:ext>
              </c:extLst>
            </c:dLbl>
            <c:dLbl>
              <c:idx val="11"/>
              <c:tx>
                <c:rich>
                  <a:bodyPr/>
                  <a:lstStyle/>
                  <a:p>
                    <a:fld id="{06248E03-4433-4264-A96C-375E459CC12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2FF7-466D-B53A-82B571555768}"/>
                </c:ext>
              </c:extLst>
            </c:dLbl>
            <c:dLbl>
              <c:idx val="12"/>
              <c:tx>
                <c:rich>
                  <a:bodyPr/>
                  <a:lstStyle/>
                  <a:p>
                    <a:fld id="{AD8D327C-E826-492A-9444-E76A1399AEC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2FF7-466D-B53A-82B571555768}"/>
                </c:ext>
              </c:extLst>
            </c:dLbl>
            <c:dLbl>
              <c:idx val="13"/>
              <c:tx>
                <c:rich>
                  <a:bodyPr/>
                  <a:lstStyle/>
                  <a:p>
                    <a:fld id="{E6802936-D1BF-4E37-B204-92D8DF7DFEB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2FF7-466D-B53A-82B571555768}"/>
                </c:ext>
              </c:extLst>
            </c:dLbl>
            <c:dLbl>
              <c:idx val="14"/>
              <c:tx>
                <c:rich>
                  <a:bodyPr/>
                  <a:lstStyle/>
                  <a:p>
                    <a:fld id="{1541C121-9380-4841-9BDE-C388D49B579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2FF7-466D-B53A-82B571555768}"/>
                </c:ext>
              </c:extLst>
            </c:dLbl>
            <c:dLbl>
              <c:idx val="15"/>
              <c:tx>
                <c:rich>
                  <a:bodyPr/>
                  <a:lstStyle/>
                  <a:p>
                    <a:fld id="{0EB7B412-90E6-4901-80B1-E892062FE5B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2FF7-466D-B53A-82B571555768}"/>
                </c:ext>
              </c:extLst>
            </c:dLbl>
            <c:dLbl>
              <c:idx val="16"/>
              <c:tx>
                <c:rich>
                  <a:bodyPr/>
                  <a:lstStyle/>
                  <a:p>
                    <a:fld id="{98E09716-5FAD-465D-8E86-011B9844822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2FF7-466D-B53A-82B571555768}"/>
                </c:ext>
              </c:extLst>
            </c:dLbl>
            <c:dLbl>
              <c:idx val="17"/>
              <c:tx>
                <c:rich>
                  <a:bodyPr/>
                  <a:lstStyle/>
                  <a:p>
                    <a:fld id="{EF9C4B20-9D8B-4DDA-97EA-6D5A5C61962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2FF7-466D-B53A-82B571555768}"/>
                </c:ext>
              </c:extLst>
            </c:dLbl>
            <c:dLbl>
              <c:idx val="18"/>
              <c:tx>
                <c:rich>
                  <a:bodyPr/>
                  <a:lstStyle/>
                  <a:p>
                    <a:fld id="{F264AEEB-8206-40FD-A704-408A17B9C8A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2FF7-466D-B53A-82B571555768}"/>
                </c:ext>
              </c:extLst>
            </c:dLbl>
            <c:dLbl>
              <c:idx val="19"/>
              <c:tx>
                <c:rich>
                  <a:bodyPr/>
                  <a:lstStyle/>
                  <a:p>
                    <a:fld id="{71D6FA62-8EF9-476F-9229-13A1DE4D0D6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2FF7-466D-B53A-82B571555768}"/>
                </c:ext>
              </c:extLst>
            </c:dLbl>
            <c:dLbl>
              <c:idx val="20"/>
              <c:tx>
                <c:rich>
                  <a:bodyPr/>
                  <a:lstStyle/>
                  <a:p>
                    <a:fld id="{3FC51685-D96F-476D-BAE5-FB40222ED22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2FF7-466D-B53A-82B571555768}"/>
                </c:ext>
              </c:extLst>
            </c:dLbl>
            <c:dLbl>
              <c:idx val="21"/>
              <c:tx>
                <c:rich>
                  <a:bodyPr/>
                  <a:lstStyle/>
                  <a:p>
                    <a:fld id="{B8CC3742-7C3E-47C8-933E-0C0F143715B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2FF7-466D-B53A-82B571555768}"/>
                </c:ext>
              </c:extLst>
            </c:dLbl>
            <c:dLbl>
              <c:idx val="22"/>
              <c:tx>
                <c:rich>
                  <a:bodyPr/>
                  <a:lstStyle/>
                  <a:p>
                    <a:fld id="{0852D527-3960-4811-B950-6AD82A7C276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2FF7-466D-B53A-82B571555768}"/>
                </c:ext>
              </c:extLst>
            </c:dLbl>
            <c:dLbl>
              <c:idx val="23"/>
              <c:tx>
                <c:rich>
                  <a:bodyPr/>
                  <a:lstStyle/>
                  <a:p>
                    <a:fld id="{46633E92-7BCC-4B53-918F-097CAA22259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2FF7-466D-B53A-82B571555768}"/>
                </c:ext>
              </c:extLst>
            </c:dLbl>
            <c:dLbl>
              <c:idx val="24"/>
              <c:tx>
                <c:rich>
                  <a:bodyPr/>
                  <a:lstStyle/>
                  <a:p>
                    <a:fld id="{DFDB2896-50F6-43F8-9BEC-AD206DEBBB6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2FF7-466D-B53A-82B571555768}"/>
                </c:ext>
              </c:extLst>
            </c:dLbl>
            <c:dLbl>
              <c:idx val="25"/>
              <c:tx>
                <c:rich>
                  <a:bodyPr/>
                  <a:lstStyle/>
                  <a:p>
                    <a:fld id="{1A6B323D-A94E-4D3A-B157-5FC4439CB3C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2FF7-466D-B53A-82B571555768}"/>
                </c:ext>
              </c:extLst>
            </c:dLbl>
            <c:dLbl>
              <c:idx val="26"/>
              <c:tx>
                <c:rich>
                  <a:bodyPr/>
                  <a:lstStyle/>
                  <a:p>
                    <a:fld id="{1F8B2A85-1495-4CAB-B1C5-7D5A532A6FD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2FF7-466D-B53A-82B571555768}"/>
                </c:ext>
              </c:extLst>
            </c:dLbl>
            <c:dLbl>
              <c:idx val="27"/>
              <c:tx>
                <c:rich>
                  <a:bodyPr/>
                  <a:lstStyle/>
                  <a:p>
                    <a:fld id="{A67BEDDC-5C06-4B42-B17D-C9742022DC5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2FF7-466D-B53A-82B571555768}"/>
                </c:ext>
              </c:extLst>
            </c:dLbl>
            <c:dLbl>
              <c:idx val="28"/>
              <c:tx>
                <c:rich>
                  <a:bodyPr/>
                  <a:lstStyle/>
                  <a:p>
                    <a:fld id="{176E2092-E731-4DF6-A8E9-555ED187A02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2FF7-466D-B53A-82B571555768}"/>
                </c:ext>
              </c:extLst>
            </c:dLbl>
            <c:dLbl>
              <c:idx val="29"/>
              <c:tx>
                <c:rich>
                  <a:bodyPr/>
                  <a:lstStyle/>
                  <a:p>
                    <a:fld id="{3FC946B0-5DF2-4F30-847B-6C6A431D1EF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2FF7-466D-B53A-82B571555768}"/>
                </c:ext>
              </c:extLst>
            </c:dLbl>
            <c:dLbl>
              <c:idx val="30"/>
              <c:tx>
                <c:rich>
                  <a:bodyPr/>
                  <a:lstStyle/>
                  <a:p>
                    <a:fld id="{904B40D4-9081-4D3C-BD1B-305DA040414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2FF7-466D-B53A-82B571555768}"/>
                </c:ext>
              </c:extLst>
            </c:dLbl>
            <c:dLbl>
              <c:idx val="31"/>
              <c:tx>
                <c:rich>
                  <a:bodyPr/>
                  <a:lstStyle/>
                  <a:p>
                    <a:fld id="{C778C3E6-94F1-4FF1-8497-F80F2C7605E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2FF7-466D-B53A-82B571555768}"/>
                </c:ext>
              </c:extLst>
            </c:dLbl>
            <c:dLbl>
              <c:idx val="32"/>
              <c:tx>
                <c:rich>
                  <a:bodyPr/>
                  <a:lstStyle/>
                  <a:p>
                    <a:fld id="{5FBF15F2-A9F9-426D-AF9D-8388C05B1BB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2FF7-466D-B53A-82B571555768}"/>
                </c:ext>
              </c:extLst>
            </c:dLbl>
            <c:dLbl>
              <c:idx val="33"/>
              <c:tx>
                <c:rich>
                  <a:bodyPr/>
                  <a:lstStyle/>
                  <a:p>
                    <a:fld id="{E4656CF5-FA7D-4F40-ADEB-EAA89635D32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2FF7-466D-B53A-82B571555768}"/>
                </c:ext>
              </c:extLst>
            </c:dLbl>
            <c:dLbl>
              <c:idx val="34"/>
              <c:tx>
                <c:rich>
                  <a:bodyPr/>
                  <a:lstStyle/>
                  <a:p>
                    <a:fld id="{E0CBA4AC-44F3-44BD-8004-5F288EC318A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2FF7-466D-B53A-82B571555768}"/>
                </c:ext>
              </c:extLst>
            </c:dLbl>
            <c:dLbl>
              <c:idx val="35"/>
              <c:tx>
                <c:rich>
                  <a:bodyPr/>
                  <a:lstStyle/>
                  <a:p>
                    <a:fld id="{9B19FC8B-3F42-481D-AA04-C7A89B5C84C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2FF7-466D-B53A-82B571555768}"/>
                </c:ext>
              </c:extLst>
            </c:dLbl>
            <c:dLbl>
              <c:idx val="36"/>
              <c:tx>
                <c:rich>
                  <a:bodyPr/>
                  <a:lstStyle/>
                  <a:p>
                    <a:fld id="{4305B886-C4CA-4D55-BD96-E596F7C2874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2FF7-466D-B53A-82B571555768}"/>
                </c:ext>
              </c:extLst>
            </c:dLbl>
            <c:dLbl>
              <c:idx val="37"/>
              <c:tx>
                <c:rich>
                  <a:bodyPr/>
                  <a:lstStyle/>
                  <a:p>
                    <a:fld id="{4C1581C5-8CB5-423C-9E04-04424EE469A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2FF7-466D-B53A-82B571555768}"/>
                </c:ext>
              </c:extLst>
            </c:dLbl>
            <c:dLbl>
              <c:idx val="38"/>
              <c:tx>
                <c:rich>
                  <a:bodyPr/>
                  <a:lstStyle/>
                  <a:p>
                    <a:fld id="{B45F32FC-AF2F-426F-89E3-097CCEF9AC1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2FF7-466D-B53A-82B571555768}"/>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graf'!$BR$44:$BR$82</c:f>
              <c:numCache>
                <c:formatCode>General</c:formatCode>
                <c:ptCount val="39"/>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2FF7-466D-B53A-82B571555768}"/>
            </c:ext>
          </c:extLst>
        </c:ser>
        <c:ser>
          <c:idx val="0"/>
          <c:order val="2"/>
          <c:tx>
            <c:strRef>
              <c:f>'Prerađivačka_6 graf'!$BS$7</c:f>
              <c:strCache>
                <c:ptCount val="1"/>
                <c:pt idx="0">
                  <c:v>y</c:v>
                </c:pt>
              </c:strCache>
            </c:strRef>
          </c:tx>
          <c:spPr>
            <a:ln w="12700" cap="rnd">
              <a:solidFill>
                <a:srgbClr val="92278F"/>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graf'!$BS$44:$BS$82</c:f>
              <c:numCache>
                <c:formatCode>#.#00</c:formatCode>
                <c:ptCount val="39"/>
                <c:pt idx="0">
                  <c:v>64.183908045999999</c:v>
                </c:pt>
                <c:pt idx="1">
                  <c:v>64.183908045999999</c:v>
                </c:pt>
                <c:pt idx="2">
                  <c:v>66.390804598000003</c:v>
                </c:pt>
                <c:pt idx="3">
                  <c:v>62.773946359999997</c:v>
                </c:pt>
                <c:pt idx="4">
                  <c:v>54.252873563000001</c:v>
                </c:pt>
                <c:pt idx="5">
                  <c:v>55.662835248999997</c:v>
                </c:pt>
                <c:pt idx="6">
                  <c:v>61.057471264</c:v>
                </c:pt>
                <c:pt idx="7">
                  <c:v>66.881226053999995</c:v>
                </c:pt>
                <c:pt idx="8">
                  <c:v>65.593869732000002</c:v>
                </c:pt>
                <c:pt idx="9">
                  <c:v>69.394636015000003</c:v>
                </c:pt>
                <c:pt idx="10">
                  <c:v>68.965517241000001</c:v>
                </c:pt>
                <c:pt idx="11">
                  <c:v>67.984674330000004</c:v>
                </c:pt>
                <c:pt idx="12">
                  <c:v>64.306513409999994</c:v>
                </c:pt>
                <c:pt idx="13">
                  <c:v>62.160919540000002</c:v>
                </c:pt>
                <c:pt idx="14">
                  <c:v>70.130268199</c:v>
                </c:pt>
                <c:pt idx="15">
                  <c:v>64.735632183999996</c:v>
                </c:pt>
                <c:pt idx="16">
                  <c:v>65.164750957999999</c:v>
                </c:pt>
                <c:pt idx="17">
                  <c:v>84.965517241000001</c:v>
                </c:pt>
                <c:pt idx="18">
                  <c:v>80.183908045999999</c:v>
                </c:pt>
                <c:pt idx="19">
                  <c:v>92.505747126000003</c:v>
                </c:pt>
                <c:pt idx="20">
                  <c:v>99.800766284000005</c:v>
                </c:pt>
                <c:pt idx="21">
                  <c:v>96.613026820000002</c:v>
                </c:pt>
                <c:pt idx="22">
                  <c:v>102.498084291</c:v>
                </c:pt>
                <c:pt idx="23">
                  <c:v>95.938697317999996</c:v>
                </c:pt>
                <c:pt idx="24">
                  <c:v>89</c:v>
                </c:pt>
                <c:pt idx="25">
                  <c:v>94.141414140999998</c:v>
                </c:pt>
                <c:pt idx="26">
                  <c:v>105.734406439</c:v>
                </c:pt>
                <c:pt idx="27">
                  <c:v>101.4</c:v>
                </c:pt>
                <c:pt idx="28">
                  <c:v>82.8</c:v>
                </c:pt>
                <c:pt idx="29">
                  <c:v>98.4</c:v>
                </c:pt>
                <c:pt idx="30">
                  <c:v>99.2</c:v>
                </c:pt>
                <c:pt idx="31">
                  <c:v>96.6</c:v>
                </c:pt>
                <c:pt idx="32">
                  <c:v>98.2</c:v>
                </c:pt>
                <c:pt idx="33">
                  <c:v>113.2</c:v>
                </c:pt>
                <c:pt idx="34">
                  <c:v>103.4</c:v>
                </c:pt>
                <c:pt idx="35">
                  <c:v>118</c:v>
                </c:pt>
                <c:pt idx="36">
                  <c:v>103.5</c:v>
                </c:pt>
                <c:pt idx="37">
                  <c:v>93.2</c:v>
                </c:pt>
                <c:pt idx="38">
                  <c:v>105.1</c:v>
                </c:pt>
              </c:numCache>
            </c:numRef>
          </c:val>
          <c:smooth val="0"/>
          <c:extLst>
            <c:ext xmlns:c16="http://schemas.microsoft.com/office/drawing/2014/chart" uri="{C3380CC4-5D6E-409C-BE32-E72D297353CC}">
              <c16:uniqueId val="{0000002D-2FF7-466D-B53A-82B571555768}"/>
            </c:ext>
          </c:extLst>
        </c:ser>
        <c:ser>
          <c:idx val="1"/>
          <c:order val="3"/>
          <c:tx>
            <c:strRef>
              <c:f>'Prerađivačka_6 graf'!$BT$7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graf'!$BT$44:$BT$82</c:f>
              <c:numCache>
                <c:formatCode>#.#00</c:formatCode>
                <c:ptCount val="39"/>
                <c:pt idx="0">
                  <c:v>66.199418700999999</c:v>
                </c:pt>
                <c:pt idx="1">
                  <c:v>64.769368635000006</c:v>
                </c:pt>
                <c:pt idx="2">
                  <c:v>63.273838933999997</c:v>
                </c:pt>
                <c:pt idx="3">
                  <c:v>63.621493964000003</c:v>
                </c:pt>
                <c:pt idx="4">
                  <c:v>60.490494869999999</c:v>
                </c:pt>
                <c:pt idx="5">
                  <c:v>61.253426593</c:v>
                </c:pt>
                <c:pt idx="6">
                  <c:v>61.942706301999998</c:v>
                </c:pt>
                <c:pt idx="7">
                  <c:v>64.847664433000006</c:v>
                </c:pt>
                <c:pt idx="8">
                  <c:v>63.499802506000002</c:v>
                </c:pt>
                <c:pt idx="9">
                  <c:v>63.921445915</c:v>
                </c:pt>
                <c:pt idx="10">
                  <c:v>65.492251241999995</c:v>
                </c:pt>
                <c:pt idx="11">
                  <c:v>65.059964422999997</c:v>
                </c:pt>
                <c:pt idx="12">
                  <c:v>66.005591358999993</c:v>
                </c:pt>
                <c:pt idx="13">
                  <c:v>66.592857672999997</c:v>
                </c:pt>
                <c:pt idx="14">
                  <c:v>66.530930127000005</c:v>
                </c:pt>
                <c:pt idx="15">
                  <c:v>65.175186639000003</c:v>
                </c:pt>
                <c:pt idx="16">
                  <c:v>72.696730747000004</c:v>
                </c:pt>
                <c:pt idx="17">
                  <c:v>93.182262764000001</c:v>
                </c:pt>
                <c:pt idx="18">
                  <c:v>81.413814724000005</c:v>
                </c:pt>
                <c:pt idx="19">
                  <c:v>90.530934525000006</c:v>
                </c:pt>
                <c:pt idx="20">
                  <c:v>97.487309476999997</c:v>
                </c:pt>
                <c:pt idx="21">
                  <c:v>89.063510993999998</c:v>
                </c:pt>
                <c:pt idx="22">
                  <c:v>97.358880677000002</c:v>
                </c:pt>
                <c:pt idx="23">
                  <c:v>91.847897310999997</c:v>
                </c:pt>
                <c:pt idx="24">
                  <c:v>90.861565283999994</c:v>
                </c:pt>
                <c:pt idx="25">
                  <c:v>100.26322955000001</c:v>
                </c:pt>
                <c:pt idx="26">
                  <c:v>100.10275280499999</c:v>
                </c:pt>
                <c:pt idx="27">
                  <c:v>102.043267198</c:v>
                </c:pt>
                <c:pt idx="28">
                  <c:v>92.184479210000006</c:v>
                </c:pt>
                <c:pt idx="29">
                  <c:v>107.84568799500001</c:v>
                </c:pt>
                <c:pt idx="30">
                  <c:v>100.567881938</c:v>
                </c:pt>
                <c:pt idx="31">
                  <c:v>95.146554330000001</c:v>
                </c:pt>
                <c:pt idx="32">
                  <c:v>96.302703340999997</c:v>
                </c:pt>
                <c:pt idx="33">
                  <c:v>104.558583551</c:v>
                </c:pt>
                <c:pt idx="34">
                  <c:v>98.133544802000003</c:v>
                </c:pt>
                <c:pt idx="35">
                  <c:v>113.092889696</c:v>
                </c:pt>
                <c:pt idx="36">
                  <c:v>105.32177138599999</c:v>
                </c:pt>
                <c:pt idx="37">
                  <c:v>98.951986820000002</c:v>
                </c:pt>
                <c:pt idx="38">
                  <c:v>99.470920968000001</c:v>
                </c:pt>
              </c:numCache>
            </c:numRef>
          </c:val>
          <c:smooth val="0"/>
          <c:extLst>
            <c:ext xmlns:c16="http://schemas.microsoft.com/office/drawing/2014/chart" uri="{C3380CC4-5D6E-409C-BE32-E72D297353CC}">
              <c16:uniqueId val="{0000002E-2FF7-466D-B53A-82B571555768}"/>
            </c:ext>
          </c:extLst>
        </c:ser>
        <c:ser>
          <c:idx val="2"/>
          <c:order val="4"/>
          <c:tx>
            <c:strRef>
              <c:f>'Prerađivačka_6 graf'!$BU$7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graf'!$BU$44:$BU$82</c:f>
              <c:numCache>
                <c:formatCode>#.#00</c:formatCode>
                <c:ptCount val="39"/>
                <c:pt idx="0">
                  <c:v>64.698225699000005</c:v>
                </c:pt>
                <c:pt idx="1">
                  <c:v>64.402330933000002</c:v>
                </c:pt>
                <c:pt idx="2">
                  <c:v>63.695692256000001</c:v>
                </c:pt>
                <c:pt idx="3">
                  <c:v>62.832824174999999</c:v>
                </c:pt>
                <c:pt idx="4">
                  <c:v>62.161138579999999</c:v>
                </c:pt>
                <c:pt idx="5">
                  <c:v>61.974896098000002</c:v>
                </c:pt>
                <c:pt idx="6">
                  <c:v>62.345998049000002</c:v>
                </c:pt>
                <c:pt idx="7">
                  <c:v>63.006200759000002</c:v>
                </c:pt>
                <c:pt idx="8">
                  <c:v>63.754428701999998</c:v>
                </c:pt>
                <c:pt idx="9">
                  <c:v>64.483342711000006</c:v>
                </c:pt>
                <c:pt idx="10">
                  <c:v>65.028388109000005</c:v>
                </c:pt>
                <c:pt idx="11">
                  <c:v>65.335883820999996</c:v>
                </c:pt>
                <c:pt idx="12">
                  <c:v>65.632991384999997</c:v>
                </c:pt>
                <c:pt idx="13">
                  <c:v>66.094093052000005</c:v>
                </c:pt>
                <c:pt idx="14">
                  <c:v>66.719371949000006</c:v>
                </c:pt>
                <c:pt idx="15">
                  <c:v>67.532925594000005</c:v>
                </c:pt>
                <c:pt idx="16">
                  <c:v>68.392125157999999</c:v>
                </c:pt>
                <c:pt idx="17">
                  <c:v>90.563586831999999</c:v>
                </c:pt>
                <c:pt idx="18">
                  <c:v>91.483562018000001</c:v>
                </c:pt>
                <c:pt idx="19">
                  <c:v>92.002272343000001</c:v>
                </c:pt>
                <c:pt idx="20">
                  <c:v>92.143964737000005</c:v>
                </c:pt>
                <c:pt idx="21">
                  <c:v>92.220126342</c:v>
                </c:pt>
                <c:pt idx="22">
                  <c:v>92.726023635000004</c:v>
                </c:pt>
                <c:pt idx="23">
                  <c:v>93.931596196000001</c:v>
                </c:pt>
                <c:pt idx="24">
                  <c:v>95.625025678</c:v>
                </c:pt>
                <c:pt idx="25">
                  <c:v>97.578210205999994</c:v>
                </c:pt>
                <c:pt idx="26">
                  <c:v>99.400389407000006</c:v>
                </c:pt>
                <c:pt idx="27">
                  <c:v>100.431880953</c:v>
                </c:pt>
                <c:pt idx="28">
                  <c:v>100.54163466200001</c:v>
                </c:pt>
                <c:pt idx="29">
                  <c:v>99.975350164999995</c:v>
                </c:pt>
                <c:pt idx="30">
                  <c:v>99.047790393</c:v>
                </c:pt>
                <c:pt idx="31">
                  <c:v>98.620258187000005</c:v>
                </c:pt>
                <c:pt idx="32">
                  <c:v>99.011690051000002</c:v>
                </c:pt>
                <c:pt idx="33">
                  <c:v>99.899317745000005</c:v>
                </c:pt>
                <c:pt idx="34">
                  <c:v>100.876763493</c:v>
                </c:pt>
                <c:pt idx="35">
                  <c:v>101.53845661299999</c:v>
                </c:pt>
                <c:pt idx="36">
                  <c:v>101.62770426199999</c:v>
                </c:pt>
                <c:pt idx="37">
                  <c:v>101.142578817</c:v>
                </c:pt>
                <c:pt idx="38">
                  <c:v>100.4974078</c:v>
                </c:pt>
              </c:numCache>
            </c:numRef>
          </c:val>
          <c:smooth val="0"/>
          <c:extLst>
            <c:ext xmlns:c16="http://schemas.microsoft.com/office/drawing/2014/chart" uri="{C3380CC4-5D6E-409C-BE32-E72D297353CC}">
              <c16:uniqueId val="{0000002F-2FF7-466D-B53A-82B571555768}"/>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2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graf'!$G$7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789050592671942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378-4004-9671-1321CD906926}"/>
                </c:ext>
              </c:extLst>
            </c:dLbl>
            <c:dLbl>
              <c:idx val="12"/>
              <c:layout>
                <c:manualLayout>
                  <c:x val="6.68223900225571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378-4004-9671-1321CD906926}"/>
                </c:ext>
              </c:extLst>
            </c:dLbl>
            <c:dLbl>
              <c:idx val="24"/>
              <c:layout>
                <c:manualLayout>
                  <c:x val="6.76090194131633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378-4004-9671-1321CD906926}"/>
                </c:ext>
              </c:extLst>
            </c:dLbl>
            <c:dLbl>
              <c:idx val="36"/>
              <c:layout>
                <c:manualLayout>
                  <c:x val="-1.4366068824730242E-2"/>
                  <c:y val="3.359580052493438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378-4004-9671-1321CD90692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graf'!$G$44:$G$82</c:f>
              <c:numCache>
                <c:formatCode>General</c:formatCode>
                <c:ptCount val="39"/>
                <c:pt idx="0">
                  <c:v>70</c:v>
                </c:pt>
                <c:pt idx="12">
                  <c:v>70</c:v>
                </c:pt>
                <c:pt idx="24">
                  <c:v>70</c:v>
                </c:pt>
                <c:pt idx="36">
                  <c:v>70</c:v>
                </c:pt>
              </c:numCache>
            </c:numRef>
          </c:val>
          <c:smooth val="0"/>
          <c:extLst>
            <c:ext xmlns:c16="http://schemas.microsoft.com/office/drawing/2014/chart" uri="{C3380CC4-5D6E-409C-BE32-E72D297353CC}">
              <c16:uniqueId val="{00000004-5378-4004-9671-1321CD906926}"/>
            </c:ext>
          </c:extLst>
        </c:ser>
        <c:ser>
          <c:idx val="4"/>
          <c:order val="1"/>
          <c:tx>
            <c:strRef>
              <c:f>'Prerađivačka_6 graf'!$H$7</c:f>
              <c:strCache>
                <c:ptCount val="1"/>
                <c:pt idx="0">
                  <c:v>Series5</c:v>
                </c:pt>
              </c:strCache>
            </c:strRef>
          </c:tx>
          <c:spPr>
            <a:ln w="25400" cap="rnd">
              <a:noFill/>
              <a:round/>
            </a:ln>
            <a:effectLst/>
          </c:spPr>
          <c:marker>
            <c:symbol val="none"/>
          </c:marker>
          <c:dLbls>
            <c:dLbl>
              <c:idx val="0"/>
              <c:tx>
                <c:rich>
                  <a:bodyPr/>
                  <a:lstStyle/>
                  <a:p>
                    <a:fld id="{0780AFA1-FA0C-49DB-A70B-942C647C37C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5378-4004-9671-1321CD906926}"/>
                </c:ext>
              </c:extLst>
            </c:dLbl>
            <c:dLbl>
              <c:idx val="1"/>
              <c:tx>
                <c:rich>
                  <a:bodyPr/>
                  <a:lstStyle/>
                  <a:p>
                    <a:fld id="{4DBFDE44-BE8E-4F4B-9AA5-DD35709B971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5378-4004-9671-1321CD906926}"/>
                </c:ext>
              </c:extLst>
            </c:dLbl>
            <c:dLbl>
              <c:idx val="2"/>
              <c:tx>
                <c:rich>
                  <a:bodyPr/>
                  <a:lstStyle/>
                  <a:p>
                    <a:fld id="{7C76405E-2597-4145-A6CC-4D5BB6EDBA7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5378-4004-9671-1321CD906926}"/>
                </c:ext>
              </c:extLst>
            </c:dLbl>
            <c:dLbl>
              <c:idx val="3"/>
              <c:tx>
                <c:rich>
                  <a:bodyPr/>
                  <a:lstStyle/>
                  <a:p>
                    <a:fld id="{86504CD2-8265-4F42-81CE-BD967ABBCA2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5378-4004-9671-1321CD906926}"/>
                </c:ext>
              </c:extLst>
            </c:dLbl>
            <c:dLbl>
              <c:idx val="4"/>
              <c:tx>
                <c:rich>
                  <a:bodyPr/>
                  <a:lstStyle/>
                  <a:p>
                    <a:fld id="{230D0438-C0A5-498A-840E-02D8100FF10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5378-4004-9671-1321CD906926}"/>
                </c:ext>
              </c:extLst>
            </c:dLbl>
            <c:dLbl>
              <c:idx val="5"/>
              <c:tx>
                <c:rich>
                  <a:bodyPr/>
                  <a:lstStyle/>
                  <a:p>
                    <a:fld id="{587DA560-AC53-485B-AF11-B9DDB11B3FA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5378-4004-9671-1321CD906926}"/>
                </c:ext>
              </c:extLst>
            </c:dLbl>
            <c:dLbl>
              <c:idx val="6"/>
              <c:tx>
                <c:rich>
                  <a:bodyPr/>
                  <a:lstStyle/>
                  <a:p>
                    <a:fld id="{B8CBC5A8-F33D-4B52-A801-08086C8EB6D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5378-4004-9671-1321CD906926}"/>
                </c:ext>
              </c:extLst>
            </c:dLbl>
            <c:dLbl>
              <c:idx val="7"/>
              <c:tx>
                <c:rich>
                  <a:bodyPr/>
                  <a:lstStyle/>
                  <a:p>
                    <a:fld id="{8A0E121C-83B0-4328-B573-64D7FD016F2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5378-4004-9671-1321CD906926}"/>
                </c:ext>
              </c:extLst>
            </c:dLbl>
            <c:dLbl>
              <c:idx val="8"/>
              <c:tx>
                <c:rich>
                  <a:bodyPr/>
                  <a:lstStyle/>
                  <a:p>
                    <a:fld id="{45A537DF-B14B-4D32-A52E-8E8014E6AB0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5378-4004-9671-1321CD906926}"/>
                </c:ext>
              </c:extLst>
            </c:dLbl>
            <c:dLbl>
              <c:idx val="9"/>
              <c:tx>
                <c:rich>
                  <a:bodyPr/>
                  <a:lstStyle/>
                  <a:p>
                    <a:fld id="{6CBA3A1A-57DF-4BB4-AF89-B3E01389A50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5378-4004-9671-1321CD906926}"/>
                </c:ext>
              </c:extLst>
            </c:dLbl>
            <c:dLbl>
              <c:idx val="10"/>
              <c:tx>
                <c:rich>
                  <a:bodyPr/>
                  <a:lstStyle/>
                  <a:p>
                    <a:fld id="{5D88F6FD-FFE5-4A88-8797-63EC732B55F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5378-4004-9671-1321CD906926}"/>
                </c:ext>
              </c:extLst>
            </c:dLbl>
            <c:dLbl>
              <c:idx val="11"/>
              <c:tx>
                <c:rich>
                  <a:bodyPr/>
                  <a:lstStyle/>
                  <a:p>
                    <a:fld id="{B5619B8C-2904-476E-B257-2ACBF183FAE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5378-4004-9671-1321CD906926}"/>
                </c:ext>
              </c:extLst>
            </c:dLbl>
            <c:dLbl>
              <c:idx val="12"/>
              <c:tx>
                <c:rich>
                  <a:bodyPr/>
                  <a:lstStyle/>
                  <a:p>
                    <a:fld id="{CEF7B3CB-0623-42EB-9C8A-DAC806DA969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5378-4004-9671-1321CD906926}"/>
                </c:ext>
              </c:extLst>
            </c:dLbl>
            <c:dLbl>
              <c:idx val="13"/>
              <c:tx>
                <c:rich>
                  <a:bodyPr/>
                  <a:lstStyle/>
                  <a:p>
                    <a:fld id="{C69538EE-424A-4280-9284-7326D9F85C8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5378-4004-9671-1321CD906926}"/>
                </c:ext>
              </c:extLst>
            </c:dLbl>
            <c:dLbl>
              <c:idx val="14"/>
              <c:tx>
                <c:rich>
                  <a:bodyPr/>
                  <a:lstStyle/>
                  <a:p>
                    <a:fld id="{D717F129-43D3-4BB0-BC88-FA4652E4832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5378-4004-9671-1321CD906926}"/>
                </c:ext>
              </c:extLst>
            </c:dLbl>
            <c:dLbl>
              <c:idx val="15"/>
              <c:tx>
                <c:rich>
                  <a:bodyPr/>
                  <a:lstStyle/>
                  <a:p>
                    <a:fld id="{E5FA41DC-C83D-44DA-8BB3-CF84FCF01F9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5378-4004-9671-1321CD906926}"/>
                </c:ext>
              </c:extLst>
            </c:dLbl>
            <c:dLbl>
              <c:idx val="16"/>
              <c:tx>
                <c:rich>
                  <a:bodyPr/>
                  <a:lstStyle/>
                  <a:p>
                    <a:fld id="{3C883C1A-F210-46E6-8C75-1A9AA742C15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5378-4004-9671-1321CD906926}"/>
                </c:ext>
              </c:extLst>
            </c:dLbl>
            <c:dLbl>
              <c:idx val="17"/>
              <c:tx>
                <c:rich>
                  <a:bodyPr/>
                  <a:lstStyle/>
                  <a:p>
                    <a:fld id="{A53A6A79-1BAD-4C5B-B011-A1910865192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5378-4004-9671-1321CD906926}"/>
                </c:ext>
              </c:extLst>
            </c:dLbl>
            <c:dLbl>
              <c:idx val="18"/>
              <c:tx>
                <c:rich>
                  <a:bodyPr/>
                  <a:lstStyle/>
                  <a:p>
                    <a:fld id="{0D1F57DC-BAFD-4322-868A-C076EF3A028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5378-4004-9671-1321CD906926}"/>
                </c:ext>
              </c:extLst>
            </c:dLbl>
            <c:dLbl>
              <c:idx val="19"/>
              <c:tx>
                <c:rich>
                  <a:bodyPr/>
                  <a:lstStyle/>
                  <a:p>
                    <a:fld id="{81F3698C-3461-49E7-AE25-1BC2A1949DD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5378-4004-9671-1321CD906926}"/>
                </c:ext>
              </c:extLst>
            </c:dLbl>
            <c:dLbl>
              <c:idx val="20"/>
              <c:tx>
                <c:rich>
                  <a:bodyPr/>
                  <a:lstStyle/>
                  <a:p>
                    <a:fld id="{CB4146FE-D2D5-46DD-AD41-93ACDED917A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5378-4004-9671-1321CD906926}"/>
                </c:ext>
              </c:extLst>
            </c:dLbl>
            <c:dLbl>
              <c:idx val="21"/>
              <c:tx>
                <c:rich>
                  <a:bodyPr/>
                  <a:lstStyle/>
                  <a:p>
                    <a:fld id="{28171413-DC0B-40A9-8830-477BBFECA45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5378-4004-9671-1321CD906926}"/>
                </c:ext>
              </c:extLst>
            </c:dLbl>
            <c:dLbl>
              <c:idx val="22"/>
              <c:tx>
                <c:rich>
                  <a:bodyPr/>
                  <a:lstStyle/>
                  <a:p>
                    <a:fld id="{ABC2E5B6-11BE-4AF9-916F-0138A8091A1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5378-4004-9671-1321CD906926}"/>
                </c:ext>
              </c:extLst>
            </c:dLbl>
            <c:dLbl>
              <c:idx val="23"/>
              <c:tx>
                <c:rich>
                  <a:bodyPr/>
                  <a:lstStyle/>
                  <a:p>
                    <a:fld id="{790BBA96-765D-4B0C-BFE8-96EE99FA37B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5378-4004-9671-1321CD906926}"/>
                </c:ext>
              </c:extLst>
            </c:dLbl>
            <c:dLbl>
              <c:idx val="24"/>
              <c:tx>
                <c:rich>
                  <a:bodyPr/>
                  <a:lstStyle/>
                  <a:p>
                    <a:fld id="{4277E303-B07A-44A9-BDCA-A1AE2C61E83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5378-4004-9671-1321CD906926}"/>
                </c:ext>
              </c:extLst>
            </c:dLbl>
            <c:dLbl>
              <c:idx val="25"/>
              <c:tx>
                <c:rich>
                  <a:bodyPr/>
                  <a:lstStyle/>
                  <a:p>
                    <a:fld id="{BE5BEF7A-F544-4188-B055-F62C0AC8A21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5378-4004-9671-1321CD906926}"/>
                </c:ext>
              </c:extLst>
            </c:dLbl>
            <c:dLbl>
              <c:idx val="26"/>
              <c:tx>
                <c:rich>
                  <a:bodyPr/>
                  <a:lstStyle/>
                  <a:p>
                    <a:fld id="{4DA66B75-D651-42BA-8DFB-83A82490CFF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5378-4004-9671-1321CD906926}"/>
                </c:ext>
              </c:extLst>
            </c:dLbl>
            <c:dLbl>
              <c:idx val="27"/>
              <c:tx>
                <c:rich>
                  <a:bodyPr/>
                  <a:lstStyle/>
                  <a:p>
                    <a:fld id="{65E0E864-A4FB-432E-BEC4-B2511BBD7CA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5378-4004-9671-1321CD906926}"/>
                </c:ext>
              </c:extLst>
            </c:dLbl>
            <c:dLbl>
              <c:idx val="28"/>
              <c:tx>
                <c:rich>
                  <a:bodyPr/>
                  <a:lstStyle/>
                  <a:p>
                    <a:fld id="{024F6EAA-6974-45BA-A0F0-648A7622EB0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5378-4004-9671-1321CD906926}"/>
                </c:ext>
              </c:extLst>
            </c:dLbl>
            <c:dLbl>
              <c:idx val="29"/>
              <c:tx>
                <c:rich>
                  <a:bodyPr/>
                  <a:lstStyle/>
                  <a:p>
                    <a:fld id="{D0079FB2-465B-4288-8D8A-E8A1643F7AA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5378-4004-9671-1321CD906926}"/>
                </c:ext>
              </c:extLst>
            </c:dLbl>
            <c:dLbl>
              <c:idx val="30"/>
              <c:tx>
                <c:rich>
                  <a:bodyPr/>
                  <a:lstStyle/>
                  <a:p>
                    <a:fld id="{7D43B4F8-E851-46D1-A1C9-14C63CB4604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5378-4004-9671-1321CD906926}"/>
                </c:ext>
              </c:extLst>
            </c:dLbl>
            <c:dLbl>
              <c:idx val="31"/>
              <c:tx>
                <c:rich>
                  <a:bodyPr/>
                  <a:lstStyle/>
                  <a:p>
                    <a:fld id="{BD2C2343-1536-4499-BA13-98A8F3BAC12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5378-4004-9671-1321CD906926}"/>
                </c:ext>
              </c:extLst>
            </c:dLbl>
            <c:dLbl>
              <c:idx val="32"/>
              <c:tx>
                <c:rich>
                  <a:bodyPr/>
                  <a:lstStyle/>
                  <a:p>
                    <a:fld id="{82971E27-D467-4EB2-BED2-D6995241AA0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5378-4004-9671-1321CD906926}"/>
                </c:ext>
              </c:extLst>
            </c:dLbl>
            <c:dLbl>
              <c:idx val="33"/>
              <c:tx>
                <c:rich>
                  <a:bodyPr/>
                  <a:lstStyle/>
                  <a:p>
                    <a:fld id="{15DFA1D7-90C5-4C23-AFD3-A35A68B69AE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5378-4004-9671-1321CD906926}"/>
                </c:ext>
              </c:extLst>
            </c:dLbl>
            <c:dLbl>
              <c:idx val="34"/>
              <c:tx>
                <c:rich>
                  <a:bodyPr/>
                  <a:lstStyle/>
                  <a:p>
                    <a:fld id="{251409F5-DB42-4122-8ABB-FEA9B789F5C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5378-4004-9671-1321CD906926}"/>
                </c:ext>
              </c:extLst>
            </c:dLbl>
            <c:dLbl>
              <c:idx val="35"/>
              <c:tx>
                <c:rich>
                  <a:bodyPr/>
                  <a:lstStyle/>
                  <a:p>
                    <a:fld id="{DD9C9208-C131-4123-A812-5E2AF768BAB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5378-4004-9671-1321CD906926}"/>
                </c:ext>
              </c:extLst>
            </c:dLbl>
            <c:dLbl>
              <c:idx val="36"/>
              <c:tx>
                <c:rich>
                  <a:bodyPr/>
                  <a:lstStyle/>
                  <a:p>
                    <a:fld id="{721DD08E-D2BC-40D6-BE01-80BDE8420B0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5378-4004-9671-1321CD906926}"/>
                </c:ext>
              </c:extLst>
            </c:dLbl>
            <c:dLbl>
              <c:idx val="37"/>
              <c:tx>
                <c:rich>
                  <a:bodyPr/>
                  <a:lstStyle/>
                  <a:p>
                    <a:fld id="{B45D80E8-EAD9-4493-9CEB-B45F3B20244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5378-4004-9671-1321CD906926}"/>
                </c:ext>
              </c:extLst>
            </c:dLbl>
            <c:dLbl>
              <c:idx val="38"/>
              <c:tx>
                <c:rich>
                  <a:bodyPr/>
                  <a:lstStyle/>
                  <a:p>
                    <a:fld id="{53D86B29-D02B-4189-BDEF-8B23084DC5F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5378-4004-9671-1321CD906926}"/>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graf'!$H$44:$H$82</c:f>
              <c:numCache>
                <c:formatCode>General</c:formatCode>
                <c:ptCount val="39"/>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5378-4004-9671-1321CD906926}"/>
            </c:ext>
          </c:extLst>
        </c:ser>
        <c:ser>
          <c:idx val="0"/>
          <c:order val="2"/>
          <c:tx>
            <c:strRef>
              <c:f>'Prerađivačka_6 graf'!$I$7</c:f>
              <c:strCache>
                <c:ptCount val="1"/>
                <c:pt idx="0">
                  <c:v>y</c:v>
                </c:pt>
              </c:strCache>
            </c:strRef>
          </c:tx>
          <c:spPr>
            <a:ln w="12700" cap="rnd">
              <a:solidFill>
                <a:srgbClr val="7F3F98"/>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graf'!$I$44:$I$82</c:f>
              <c:numCache>
                <c:formatCode>#.#00</c:formatCode>
                <c:ptCount val="39"/>
                <c:pt idx="0">
                  <c:v>82.356119967576319</c:v>
                </c:pt>
                <c:pt idx="1">
                  <c:v>90.05674142123749</c:v>
                </c:pt>
                <c:pt idx="2">
                  <c:v>91.840043231559036</c:v>
                </c:pt>
                <c:pt idx="3">
                  <c:v>70.19724398811131</c:v>
                </c:pt>
                <c:pt idx="4">
                  <c:v>87.219670359362325</c:v>
                </c:pt>
                <c:pt idx="5">
                  <c:v>97.27100783572007</c:v>
                </c:pt>
                <c:pt idx="6">
                  <c:v>98.324777087273702</c:v>
                </c:pt>
                <c:pt idx="7">
                  <c:v>93.055930829505527</c:v>
                </c:pt>
                <c:pt idx="8">
                  <c:v>104.64739259659549</c:v>
                </c:pt>
                <c:pt idx="9">
                  <c:v>106.43069440691706</c:v>
                </c:pt>
                <c:pt idx="10">
                  <c:v>98.162658740880843</c:v>
                </c:pt>
                <c:pt idx="11">
                  <c:v>101.40502566873818</c:v>
                </c:pt>
                <c:pt idx="12">
                  <c:v>82.19400162118346</c:v>
                </c:pt>
                <c:pt idx="13">
                  <c:v>91.353688192380432</c:v>
                </c:pt>
                <c:pt idx="14">
                  <c:v>98.973250472845166</c:v>
                </c:pt>
                <c:pt idx="15">
                  <c:v>99.540664685220207</c:v>
                </c:pt>
                <c:pt idx="16">
                  <c:v>95.81194271818427</c:v>
                </c:pt>
                <c:pt idx="17">
                  <c:v>103.43150499864899</c:v>
                </c:pt>
                <c:pt idx="18">
                  <c:v>100.0270197243988</c:v>
                </c:pt>
                <c:pt idx="19">
                  <c:v>94.19075925425561</c:v>
                </c:pt>
                <c:pt idx="20">
                  <c:v>102.53985409348824</c:v>
                </c:pt>
                <c:pt idx="21">
                  <c:v>106.3496352337206</c:v>
                </c:pt>
                <c:pt idx="22">
                  <c:v>104.56633342339907</c:v>
                </c:pt>
                <c:pt idx="23">
                  <c:v>103.91786003782759</c:v>
                </c:pt>
                <c:pt idx="24">
                  <c:v>82.1</c:v>
                </c:pt>
                <c:pt idx="25">
                  <c:v>92.8348909657321</c:v>
                </c:pt>
                <c:pt idx="26">
                  <c:v>108.87755102040816</c:v>
                </c:pt>
                <c:pt idx="27">
                  <c:v>102.1</c:v>
                </c:pt>
                <c:pt idx="28">
                  <c:v>106.6</c:v>
                </c:pt>
                <c:pt idx="29">
                  <c:v>107.5</c:v>
                </c:pt>
                <c:pt idx="30">
                  <c:v>95.7</c:v>
                </c:pt>
                <c:pt idx="31">
                  <c:v>95.1</c:v>
                </c:pt>
                <c:pt idx="32">
                  <c:v>101.5</c:v>
                </c:pt>
                <c:pt idx="33">
                  <c:v>104.6</c:v>
                </c:pt>
                <c:pt idx="34">
                  <c:v>102.4</c:v>
                </c:pt>
                <c:pt idx="35">
                  <c:v>100.1</c:v>
                </c:pt>
                <c:pt idx="36">
                  <c:v>82.4</c:v>
                </c:pt>
                <c:pt idx="37">
                  <c:v>90.3</c:v>
                </c:pt>
                <c:pt idx="38">
                  <c:v>106.7</c:v>
                </c:pt>
              </c:numCache>
            </c:numRef>
          </c:val>
          <c:smooth val="0"/>
          <c:extLst>
            <c:ext xmlns:c16="http://schemas.microsoft.com/office/drawing/2014/chart" uri="{C3380CC4-5D6E-409C-BE32-E72D297353CC}">
              <c16:uniqueId val="{0000002D-5378-4004-9671-1321CD906926}"/>
            </c:ext>
          </c:extLst>
        </c:ser>
        <c:ser>
          <c:idx val="1"/>
          <c:order val="3"/>
          <c:tx>
            <c:strRef>
              <c:f>'Prerađivačka_6 graf'!$J$7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graf'!$J$44:$J$82</c:f>
              <c:numCache>
                <c:formatCode>#.#00</c:formatCode>
                <c:ptCount val="39"/>
                <c:pt idx="0">
                  <c:v>99.172637274340047</c:v>
                </c:pt>
                <c:pt idx="1">
                  <c:v>93.418629660081024</c:v>
                </c:pt>
                <c:pt idx="2">
                  <c:v>90.993766915006603</c:v>
                </c:pt>
                <c:pt idx="3">
                  <c:v>70.644209549518209</c:v>
                </c:pt>
                <c:pt idx="4">
                  <c:v>85.464259369540429</c:v>
                </c:pt>
                <c:pt idx="5">
                  <c:v>92.518869299303645</c:v>
                </c:pt>
                <c:pt idx="6">
                  <c:v>95.448050174063823</c:v>
                </c:pt>
                <c:pt idx="7">
                  <c:v>98.074742310070548</c:v>
                </c:pt>
                <c:pt idx="8">
                  <c:v>98.745704633738413</c:v>
                </c:pt>
                <c:pt idx="9">
                  <c:v>97.408120964045722</c:v>
                </c:pt>
                <c:pt idx="10">
                  <c:v>94.614698799522387</c:v>
                </c:pt>
                <c:pt idx="11">
                  <c:v>99.167167288330731</c:v>
                </c:pt>
                <c:pt idx="12">
                  <c:v>100.58882111405171</c:v>
                </c:pt>
                <c:pt idx="13">
                  <c:v>101.16859196037636</c:v>
                </c:pt>
                <c:pt idx="14">
                  <c:v>96.266447253143852</c:v>
                </c:pt>
                <c:pt idx="15">
                  <c:v>99.968531499797962</c:v>
                </c:pt>
                <c:pt idx="16">
                  <c:v>91.571681586571131</c:v>
                </c:pt>
                <c:pt idx="17">
                  <c:v>98.291538462537844</c:v>
                </c:pt>
                <c:pt idx="18">
                  <c:v>98.379487608132763</c:v>
                </c:pt>
                <c:pt idx="19">
                  <c:v>98.161879102137817</c:v>
                </c:pt>
                <c:pt idx="20">
                  <c:v>97.378036897722396</c:v>
                </c:pt>
                <c:pt idx="21">
                  <c:v>98.997194745968969</c:v>
                </c:pt>
                <c:pt idx="22">
                  <c:v>99.968370085965788</c:v>
                </c:pt>
                <c:pt idx="23">
                  <c:v>101.3464401920459</c:v>
                </c:pt>
                <c:pt idx="24">
                  <c:v>98.592418312470983</c:v>
                </c:pt>
                <c:pt idx="25">
                  <c:v>102.20918940659797</c:v>
                </c:pt>
                <c:pt idx="26">
                  <c:v>104.86853729517476</c:v>
                </c:pt>
                <c:pt idx="27">
                  <c:v>102.97423534082027</c:v>
                </c:pt>
                <c:pt idx="28">
                  <c:v>102.53085566496688</c:v>
                </c:pt>
                <c:pt idx="29">
                  <c:v>101.9912392344209</c:v>
                </c:pt>
                <c:pt idx="30">
                  <c:v>95.548855397475833</c:v>
                </c:pt>
                <c:pt idx="31">
                  <c:v>97.904834368220719</c:v>
                </c:pt>
                <c:pt idx="32">
                  <c:v>96.988743865146773</c:v>
                </c:pt>
                <c:pt idx="33">
                  <c:v>97.760275967504029</c:v>
                </c:pt>
                <c:pt idx="34">
                  <c:v>98.213111601984622</c:v>
                </c:pt>
                <c:pt idx="35">
                  <c:v>98.660283670421705</c:v>
                </c:pt>
                <c:pt idx="36">
                  <c:v>98.037528080502085</c:v>
                </c:pt>
                <c:pt idx="37">
                  <c:v>99.253401747480211</c:v>
                </c:pt>
                <c:pt idx="38">
                  <c:v>101.80807175338005</c:v>
                </c:pt>
              </c:numCache>
            </c:numRef>
          </c:val>
          <c:smooth val="0"/>
          <c:extLst>
            <c:ext xmlns:c16="http://schemas.microsoft.com/office/drawing/2014/chart" uri="{C3380CC4-5D6E-409C-BE32-E72D297353CC}">
              <c16:uniqueId val="{0000002E-5378-4004-9671-1321CD906926}"/>
            </c:ext>
          </c:extLst>
        </c:ser>
        <c:ser>
          <c:idx val="2"/>
          <c:order val="4"/>
          <c:tx>
            <c:strRef>
              <c:f>'Prerađivačka_6 graf'!$K$7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graf'!$K$44:$K$82</c:f>
              <c:numCache>
                <c:formatCode>#.#00</c:formatCode>
                <c:ptCount val="39"/>
                <c:pt idx="0">
                  <c:v>94.714626599507611</c:v>
                </c:pt>
                <c:pt idx="1">
                  <c:v>93.441752436319575</c:v>
                </c:pt>
                <c:pt idx="2">
                  <c:v>92.3389470123861</c:v>
                </c:pt>
                <c:pt idx="3">
                  <c:v>91.966401821282744</c:v>
                </c:pt>
                <c:pt idx="4">
                  <c:v>92.511805617977018</c:v>
                </c:pt>
                <c:pt idx="5">
                  <c:v>93.725586526993965</c:v>
                </c:pt>
                <c:pt idx="6">
                  <c:v>95.144478064477369</c:v>
                </c:pt>
                <c:pt idx="7">
                  <c:v>96.401954405205998</c:v>
                </c:pt>
                <c:pt idx="8">
                  <c:v>97.388437172329972</c:v>
                </c:pt>
                <c:pt idx="9">
                  <c:v>98.076999130684158</c:v>
                </c:pt>
                <c:pt idx="10">
                  <c:v>98.571498917830453</c:v>
                </c:pt>
                <c:pt idx="11">
                  <c:v>98.927239273910828</c:v>
                </c:pt>
                <c:pt idx="12">
                  <c:v>99.16927015762721</c:v>
                </c:pt>
                <c:pt idx="13">
                  <c:v>99.291573719304523</c:v>
                </c:pt>
                <c:pt idx="14">
                  <c:v>99.220654636375272</c:v>
                </c:pt>
                <c:pt idx="15">
                  <c:v>98.908033843336597</c:v>
                </c:pt>
                <c:pt idx="16">
                  <c:v>98.464596241471369</c:v>
                </c:pt>
                <c:pt idx="17">
                  <c:v>98.101596123369774</c:v>
                </c:pt>
                <c:pt idx="18">
                  <c:v>98.028369804861839</c:v>
                </c:pt>
                <c:pt idx="19">
                  <c:v>98.167406440250573</c:v>
                </c:pt>
                <c:pt idx="20">
                  <c:v>98.408699752007962</c:v>
                </c:pt>
                <c:pt idx="21">
                  <c:v>98.827605417522662</c:v>
                </c:pt>
                <c:pt idx="22">
                  <c:v>99.545121564511376</c:v>
                </c:pt>
                <c:pt idx="23">
                  <c:v>100.43961682223733</c:v>
                </c:pt>
                <c:pt idx="24">
                  <c:v>101.44115047914393</c:v>
                </c:pt>
                <c:pt idx="25">
                  <c:v>102.35160976956824</c:v>
                </c:pt>
                <c:pt idx="26">
                  <c:v>102.93519355299945</c:v>
                </c:pt>
                <c:pt idx="27">
                  <c:v>102.97747502574283</c:v>
                </c:pt>
                <c:pt idx="28">
                  <c:v>102.3947665840091</c:v>
                </c:pt>
                <c:pt idx="29">
                  <c:v>101.26329800202654</c:v>
                </c:pt>
                <c:pt idx="30">
                  <c:v>99.899855222208572</c:v>
                </c:pt>
                <c:pt idx="31">
                  <c:v>98.681492532520963</c:v>
                </c:pt>
                <c:pt idx="32">
                  <c:v>97.8859533514769</c:v>
                </c:pt>
                <c:pt idx="33">
                  <c:v>97.573821993427927</c:v>
                </c:pt>
                <c:pt idx="34">
                  <c:v>97.739085301734107</c:v>
                </c:pt>
                <c:pt idx="35">
                  <c:v>98.272070097903338</c:v>
                </c:pt>
                <c:pt idx="36">
                  <c:v>98.991620988382408</c:v>
                </c:pt>
                <c:pt idx="37">
                  <c:v>99.709919509927204</c:v>
                </c:pt>
                <c:pt idx="38">
                  <c:v>100.34389136452123</c:v>
                </c:pt>
              </c:numCache>
            </c:numRef>
          </c:val>
          <c:smooth val="0"/>
          <c:extLst>
            <c:ext xmlns:c16="http://schemas.microsoft.com/office/drawing/2014/chart" uri="{C3380CC4-5D6E-409C-BE32-E72D297353CC}">
              <c16:uniqueId val="{0000002F-5378-4004-9671-1321CD906926}"/>
            </c:ext>
          </c:extLst>
        </c:ser>
        <c:dLbls>
          <c:showLegendKey val="0"/>
          <c:showVal val="0"/>
          <c:showCatName val="0"/>
          <c:showSerName val="0"/>
          <c:showPercent val="0"/>
          <c:showBubbleSize val="0"/>
        </c:dLbls>
        <c:marker val="1"/>
        <c:smooth val="0"/>
        <c:axId val="2092180112"/>
        <c:axId val="2092170320"/>
      </c:lineChart>
      <c:dateAx>
        <c:axId val="20921801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0320"/>
        <c:crosses val="autoZero"/>
        <c:auto val="1"/>
        <c:lblOffset val="0"/>
        <c:baseTimeUnit val="months"/>
        <c:majorUnit val="12"/>
        <c:majorTimeUnit val="months"/>
      </c:dateAx>
      <c:valAx>
        <c:axId val="2092170320"/>
        <c:scaling>
          <c:orientation val="minMax"/>
          <c:max val="11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112"/>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graf'!$BF$7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656-4D86-8E5D-A5744BD135EA}"/>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656-4D86-8E5D-A5744BD135EA}"/>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656-4D86-8E5D-A5744BD135EA}"/>
                </c:ext>
              </c:extLst>
            </c:dLbl>
            <c:dLbl>
              <c:idx val="36"/>
              <c:layout>
                <c:manualLayout>
                  <c:x val="-1.9007669225389146E-2"/>
                  <c:y val="3.6559914989167129E-2"/>
                </c:manualLayout>
              </c:layout>
              <c:spPr>
                <a:noFill/>
                <a:ln>
                  <a:noFill/>
                </a:ln>
                <a:effectLst/>
              </c:spPr>
              <c:txPr>
                <a:bodyPr rot="0" spcFirstLastPara="1" vertOverflow="ellipsis" vert="horz" wrap="square" lIns="38100" tIns="19050" rIns="38100" bIns="19050" anchor="ctr" anchorCtr="0">
                  <a:spAutoFit/>
                </a:bodyPr>
                <a:lstStyle/>
                <a:p>
                  <a:pPr algn="ctr">
                    <a:defRPr sz="750" b="0" i="0" u="none" strike="noStrike" kern="1200" baseline="0">
                      <a:solidFill>
                        <a:schemeClr val="tx2"/>
                      </a:solidFill>
                      <a:latin typeface="+mn-lt"/>
                      <a:ea typeface="+mn-ea"/>
                      <a:cs typeface="+mn-cs"/>
                    </a:defRPr>
                  </a:pPr>
                  <a:endParaRPr lang="sr-Latn-RS"/>
                </a:p>
              </c:txPr>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656-4D86-8E5D-A5744BD135E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graf'!$BF$44:$BF$82</c:f>
              <c:numCache>
                <c:formatCode>General</c:formatCode>
                <c:ptCount val="39"/>
                <c:pt idx="0">
                  <c:v>50</c:v>
                </c:pt>
                <c:pt idx="12">
                  <c:v>50</c:v>
                </c:pt>
                <c:pt idx="24">
                  <c:v>50</c:v>
                </c:pt>
                <c:pt idx="36">
                  <c:v>50</c:v>
                </c:pt>
              </c:numCache>
            </c:numRef>
          </c:val>
          <c:smooth val="0"/>
          <c:extLst>
            <c:ext xmlns:c16="http://schemas.microsoft.com/office/drawing/2014/chart" uri="{C3380CC4-5D6E-409C-BE32-E72D297353CC}">
              <c16:uniqueId val="{00000004-0656-4D86-8E5D-A5744BD135EA}"/>
            </c:ext>
          </c:extLst>
        </c:ser>
        <c:ser>
          <c:idx val="4"/>
          <c:order val="1"/>
          <c:tx>
            <c:strRef>
              <c:f>'Prerađivačka_6 graf'!$BG$7</c:f>
              <c:strCache>
                <c:ptCount val="1"/>
                <c:pt idx="0">
                  <c:v>Series5</c:v>
                </c:pt>
              </c:strCache>
            </c:strRef>
          </c:tx>
          <c:spPr>
            <a:ln w="25400" cap="rnd">
              <a:noFill/>
              <a:round/>
            </a:ln>
            <a:effectLst/>
          </c:spPr>
          <c:marker>
            <c:symbol val="none"/>
          </c:marker>
          <c:dLbls>
            <c:dLbl>
              <c:idx val="0"/>
              <c:tx>
                <c:rich>
                  <a:bodyPr/>
                  <a:lstStyle/>
                  <a:p>
                    <a:fld id="{E963A0DA-BEE9-4091-A641-9523D9BF41A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0656-4D86-8E5D-A5744BD135EA}"/>
                </c:ext>
              </c:extLst>
            </c:dLbl>
            <c:dLbl>
              <c:idx val="1"/>
              <c:tx>
                <c:rich>
                  <a:bodyPr/>
                  <a:lstStyle/>
                  <a:p>
                    <a:fld id="{25C8FE47-A689-4043-A4EA-5F2DF6FAB24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0656-4D86-8E5D-A5744BD135EA}"/>
                </c:ext>
              </c:extLst>
            </c:dLbl>
            <c:dLbl>
              <c:idx val="2"/>
              <c:tx>
                <c:rich>
                  <a:bodyPr/>
                  <a:lstStyle/>
                  <a:p>
                    <a:fld id="{A0D81F1B-E066-4888-B32E-0F85BCA443D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0656-4D86-8E5D-A5744BD135EA}"/>
                </c:ext>
              </c:extLst>
            </c:dLbl>
            <c:dLbl>
              <c:idx val="3"/>
              <c:tx>
                <c:rich>
                  <a:bodyPr/>
                  <a:lstStyle/>
                  <a:p>
                    <a:fld id="{29E12AC6-3653-49B5-BBEA-BB3604E6D70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656-4D86-8E5D-A5744BD135EA}"/>
                </c:ext>
              </c:extLst>
            </c:dLbl>
            <c:dLbl>
              <c:idx val="4"/>
              <c:tx>
                <c:rich>
                  <a:bodyPr/>
                  <a:lstStyle/>
                  <a:p>
                    <a:fld id="{16186BA5-5A74-45C3-A45A-4E3AB777082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656-4D86-8E5D-A5744BD135EA}"/>
                </c:ext>
              </c:extLst>
            </c:dLbl>
            <c:dLbl>
              <c:idx val="5"/>
              <c:tx>
                <c:rich>
                  <a:bodyPr/>
                  <a:lstStyle/>
                  <a:p>
                    <a:fld id="{CFAA53A4-CE20-4CF6-BFC4-B055005BDAC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656-4D86-8E5D-A5744BD135EA}"/>
                </c:ext>
              </c:extLst>
            </c:dLbl>
            <c:dLbl>
              <c:idx val="6"/>
              <c:tx>
                <c:rich>
                  <a:bodyPr/>
                  <a:lstStyle/>
                  <a:p>
                    <a:fld id="{35A9CD11-AF26-4DBC-AD77-E11AE845D4C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656-4D86-8E5D-A5744BD135EA}"/>
                </c:ext>
              </c:extLst>
            </c:dLbl>
            <c:dLbl>
              <c:idx val="7"/>
              <c:tx>
                <c:rich>
                  <a:bodyPr/>
                  <a:lstStyle/>
                  <a:p>
                    <a:fld id="{15B71987-FEBB-4092-ACE3-0E6B465CFBA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656-4D86-8E5D-A5744BD135EA}"/>
                </c:ext>
              </c:extLst>
            </c:dLbl>
            <c:dLbl>
              <c:idx val="8"/>
              <c:tx>
                <c:rich>
                  <a:bodyPr/>
                  <a:lstStyle/>
                  <a:p>
                    <a:fld id="{9AF4A328-4FC4-460F-9A9E-D2D3731D018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656-4D86-8E5D-A5744BD135EA}"/>
                </c:ext>
              </c:extLst>
            </c:dLbl>
            <c:dLbl>
              <c:idx val="9"/>
              <c:tx>
                <c:rich>
                  <a:bodyPr/>
                  <a:lstStyle/>
                  <a:p>
                    <a:fld id="{26C611E8-5BFB-4D72-81A7-806566D8608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656-4D86-8E5D-A5744BD135EA}"/>
                </c:ext>
              </c:extLst>
            </c:dLbl>
            <c:dLbl>
              <c:idx val="10"/>
              <c:tx>
                <c:rich>
                  <a:bodyPr/>
                  <a:lstStyle/>
                  <a:p>
                    <a:fld id="{2A71ED81-6504-4B13-B88F-C008E011E0A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656-4D86-8E5D-A5744BD135EA}"/>
                </c:ext>
              </c:extLst>
            </c:dLbl>
            <c:dLbl>
              <c:idx val="11"/>
              <c:tx>
                <c:rich>
                  <a:bodyPr/>
                  <a:lstStyle/>
                  <a:p>
                    <a:fld id="{EB12A6A9-BFAE-499F-99C0-6AE34EC7EC0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656-4D86-8E5D-A5744BD135EA}"/>
                </c:ext>
              </c:extLst>
            </c:dLbl>
            <c:dLbl>
              <c:idx val="12"/>
              <c:tx>
                <c:rich>
                  <a:bodyPr/>
                  <a:lstStyle/>
                  <a:p>
                    <a:fld id="{27BBB0E8-8B86-4E98-822F-523FD0CC148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656-4D86-8E5D-A5744BD135EA}"/>
                </c:ext>
              </c:extLst>
            </c:dLbl>
            <c:dLbl>
              <c:idx val="13"/>
              <c:tx>
                <c:rich>
                  <a:bodyPr/>
                  <a:lstStyle/>
                  <a:p>
                    <a:fld id="{546712BD-2DA7-4284-A367-6F0101432E0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656-4D86-8E5D-A5744BD135EA}"/>
                </c:ext>
              </c:extLst>
            </c:dLbl>
            <c:dLbl>
              <c:idx val="14"/>
              <c:tx>
                <c:rich>
                  <a:bodyPr/>
                  <a:lstStyle/>
                  <a:p>
                    <a:fld id="{35C416EC-9D93-4EA1-9179-ADB6B08265E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656-4D86-8E5D-A5744BD135EA}"/>
                </c:ext>
              </c:extLst>
            </c:dLbl>
            <c:dLbl>
              <c:idx val="15"/>
              <c:tx>
                <c:rich>
                  <a:bodyPr/>
                  <a:lstStyle/>
                  <a:p>
                    <a:fld id="{7A400A24-ABF3-41FB-B89F-F9D4F6ECD5C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656-4D86-8E5D-A5744BD135EA}"/>
                </c:ext>
              </c:extLst>
            </c:dLbl>
            <c:dLbl>
              <c:idx val="16"/>
              <c:tx>
                <c:rich>
                  <a:bodyPr/>
                  <a:lstStyle/>
                  <a:p>
                    <a:fld id="{BFA97C16-4276-4F28-A892-690DC127972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656-4D86-8E5D-A5744BD135EA}"/>
                </c:ext>
              </c:extLst>
            </c:dLbl>
            <c:dLbl>
              <c:idx val="17"/>
              <c:tx>
                <c:rich>
                  <a:bodyPr/>
                  <a:lstStyle/>
                  <a:p>
                    <a:fld id="{170006E0-5C70-45A0-9F48-8C328771229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656-4D86-8E5D-A5744BD135EA}"/>
                </c:ext>
              </c:extLst>
            </c:dLbl>
            <c:dLbl>
              <c:idx val="18"/>
              <c:tx>
                <c:rich>
                  <a:bodyPr/>
                  <a:lstStyle/>
                  <a:p>
                    <a:fld id="{0C545824-FD3A-4F59-B3B0-E38EF2C7B1E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656-4D86-8E5D-A5744BD135EA}"/>
                </c:ext>
              </c:extLst>
            </c:dLbl>
            <c:dLbl>
              <c:idx val="19"/>
              <c:tx>
                <c:rich>
                  <a:bodyPr/>
                  <a:lstStyle/>
                  <a:p>
                    <a:fld id="{CE9D3C8F-A58E-4527-8D0F-8B5BE7BC836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656-4D86-8E5D-A5744BD135EA}"/>
                </c:ext>
              </c:extLst>
            </c:dLbl>
            <c:dLbl>
              <c:idx val="20"/>
              <c:tx>
                <c:rich>
                  <a:bodyPr/>
                  <a:lstStyle/>
                  <a:p>
                    <a:fld id="{B0C703E1-586F-453E-98CA-4C953B13611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656-4D86-8E5D-A5744BD135EA}"/>
                </c:ext>
              </c:extLst>
            </c:dLbl>
            <c:dLbl>
              <c:idx val="21"/>
              <c:tx>
                <c:rich>
                  <a:bodyPr/>
                  <a:lstStyle/>
                  <a:p>
                    <a:fld id="{4FFF2911-878C-40B3-9AA4-9FAC7E1A3BF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656-4D86-8E5D-A5744BD135EA}"/>
                </c:ext>
              </c:extLst>
            </c:dLbl>
            <c:dLbl>
              <c:idx val="22"/>
              <c:tx>
                <c:rich>
                  <a:bodyPr/>
                  <a:lstStyle/>
                  <a:p>
                    <a:fld id="{74729E4F-9151-4620-AF4D-2643D1B7468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656-4D86-8E5D-A5744BD135EA}"/>
                </c:ext>
              </c:extLst>
            </c:dLbl>
            <c:dLbl>
              <c:idx val="23"/>
              <c:tx>
                <c:rich>
                  <a:bodyPr/>
                  <a:lstStyle/>
                  <a:p>
                    <a:fld id="{7E043C0B-750E-41D0-B202-E9EE51659E7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656-4D86-8E5D-A5744BD135EA}"/>
                </c:ext>
              </c:extLst>
            </c:dLbl>
            <c:dLbl>
              <c:idx val="24"/>
              <c:tx>
                <c:rich>
                  <a:bodyPr/>
                  <a:lstStyle/>
                  <a:p>
                    <a:fld id="{88D21F45-A1F1-4C2B-B6E1-E9F29D01007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656-4D86-8E5D-A5744BD135EA}"/>
                </c:ext>
              </c:extLst>
            </c:dLbl>
            <c:dLbl>
              <c:idx val="25"/>
              <c:tx>
                <c:rich>
                  <a:bodyPr/>
                  <a:lstStyle/>
                  <a:p>
                    <a:fld id="{EC3477AF-6762-44CD-B898-2287A692EB6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656-4D86-8E5D-A5744BD135EA}"/>
                </c:ext>
              </c:extLst>
            </c:dLbl>
            <c:dLbl>
              <c:idx val="26"/>
              <c:tx>
                <c:rich>
                  <a:bodyPr/>
                  <a:lstStyle/>
                  <a:p>
                    <a:fld id="{3D0D7F4E-FEB7-4126-AEF3-165A7CA6350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656-4D86-8E5D-A5744BD135EA}"/>
                </c:ext>
              </c:extLst>
            </c:dLbl>
            <c:dLbl>
              <c:idx val="27"/>
              <c:tx>
                <c:rich>
                  <a:bodyPr/>
                  <a:lstStyle/>
                  <a:p>
                    <a:fld id="{8EDFAAF7-830A-45B0-83A1-98E5838136D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656-4D86-8E5D-A5744BD135EA}"/>
                </c:ext>
              </c:extLst>
            </c:dLbl>
            <c:dLbl>
              <c:idx val="28"/>
              <c:tx>
                <c:rich>
                  <a:bodyPr/>
                  <a:lstStyle/>
                  <a:p>
                    <a:fld id="{02195888-B1C6-4030-B686-AB4A84600FE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656-4D86-8E5D-A5744BD135EA}"/>
                </c:ext>
              </c:extLst>
            </c:dLbl>
            <c:dLbl>
              <c:idx val="29"/>
              <c:tx>
                <c:rich>
                  <a:bodyPr/>
                  <a:lstStyle/>
                  <a:p>
                    <a:fld id="{1938B0A9-F7ED-4E0D-9972-398A6EC7FFF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656-4D86-8E5D-A5744BD135EA}"/>
                </c:ext>
              </c:extLst>
            </c:dLbl>
            <c:dLbl>
              <c:idx val="30"/>
              <c:tx>
                <c:rich>
                  <a:bodyPr/>
                  <a:lstStyle/>
                  <a:p>
                    <a:fld id="{7427E909-1203-4EB4-B7BD-48990F37F28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656-4D86-8E5D-A5744BD135EA}"/>
                </c:ext>
              </c:extLst>
            </c:dLbl>
            <c:dLbl>
              <c:idx val="31"/>
              <c:tx>
                <c:rich>
                  <a:bodyPr/>
                  <a:lstStyle/>
                  <a:p>
                    <a:fld id="{88AFF931-C21B-4027-BA94-84FF8B79496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656-4D86-8E5D-A5744BD135EA}"/>
                </c:ext>
              </c:extLst>
            </c:dLbl>
            <c:dLbl>
              <c:idx val="32"/>
              <c:tx>
                <c:rich>
                  <a:bodyPr/>
                  <a:lstStyle/>
                  <a:p>
                    <a:fld id="{50B1CA75-1748-4F6E-BE79-5669F13864C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656-4D86-8E5D-A5744BD135EA}"/>
                </c:ext>
              </c:extLst>
            </c:dLbl>
            <c:dLbl>
              <c:idx val="33"/>
              <c:tx>
                <c:rich>
                  <a:bodyPr/>
                  <a:lstStyle/>
                  <a:p>
                    <a:fld id="{59BD699F-1371-403B-A1A2-C0FFCE9AC12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656-4D86-8E5D-A5744BD135EA}"/>
                </c:ext>
              </c:extLst>
            </c:dLbl>
            <c:dLbl>
              <c:idx val="34"/>
              <c:tx>
                <c:rich>
                  <a:bodyPr/>
                  <a:lstStyle/>
                  <a:p>
                    <a:fld id="{A499D573-341A-49D2-918E-6F788955685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656-4D86-8E5D-A5744BD135EA}"/>
                </c:ext>
              </c:extLst>
            </c:dLbl>
            <c:dLbl>
              <c:idx val="35"/>
              <c:tx>
                <c:rich>
                  <a:bodyPr/>
                  <a:lstStyle/>
                  <a:p>
                    <a:fld id="{14114A30-37A6-4ED6-98D3-BCEAD439989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656-4D86-8E5D-A5744BD135EA}"/>
                </c:ext>
              </c:extLst>
            </c:dLbl>
            <c:dLbl>
              <c:idx val="36"/>
              <c:tx>
                <c:rich>
                  <a:bodyPr/>
                  <a:lstStyle/>
                  <a:p>
                    <a:fld id="{A8B184AC-6B10-48DD-8923-BCC8E71979A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656-4D86-8E5D-A5744BD135EA}"/>
                </c:ext>
              </c:extLst>
            </c:dLbl>
            <c:dLbl>
              <c:idx val="37"/>
              <c:tx>
                <c:rich>
                  <a:bodyPr/>
                  <a:lstStyle/>
                  <a:p>
                    <a:fld id="{F26B466A-659E-4819-85E9-03D9C8422BB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656-4D86-8E5D-A5744BD135EA}"/>
                </c:ext>
              </c:extLst>
            </c:dLbl>
            <c:dLbl>
              <c:idx val="38"/>
              <c:tx>
                <c:rich>
                  <a:bodyPr/>
                  <a:lstStyle/>
                  <a:p>
                    <a:fld id="{C857A0CF-448C-4DD8-A629-846DF5EBFCE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656-4D86-8E5D-A5744BD135E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graf'!$BG$44:$BG$82</c:f>
              <c:numCache>
                <c:formatCode>General</c:formatCode>
                <c:ptCount val="39"/>
                <c:pt idx="0">
                  <c:v>50</c:v>
                </c:pt>
                <c:pt idx="1">
                  <c:v>50</c:v>
                </c:pt>
                <c:pt idx="2">
                  <c:v>50</c:v>
                </c:pt>
                <c:pt idx="3">
                  <c:v>50</c:v>
                </c:pt>
                <c:pt idx="4">
                  <c:v>50</c:v>
                </c:pt>
                <c:pt idx="5">
                  <c:v>50</c:v>
                </c:pt>
                <c:pt idx="6">
                  <c:v>50</c:v>
                </c:pt>
                <c:pt idx="7">
                  <c:v>50</c:v>
                </c:pt>
                <c:pt idx="8">
                  <c:v>50</c:v>
                </c:pt>
                <c:pt idx="9">
                  <c:v>50</c:v>
                </c:pt>
                <c:pt idx="10">
                  <c:v>50</c:v>
                </c:pt>
                <c:pt idx="11">
                  <c:v>50</c:v>
                </c:pt>
                <c:pt idx="12">
                  <c:v>50</c:v>
                </c:pt>
                <c:pt idx="13">
                  <c:v>50</c:v>
                </c:pt>
                <c:pt idx="14">
                  <c:v>50</c:v>
                </c:pt>
                <c:pt idx="15">
                  <c:v>50</c:v>
                </c:pt>
                <c:pt idx="16">
                  <c:v>50</c:v>
                </c:pt>
                <c:pt idx="17">
                  <c:v>50</c:v>
                </c:pt>
                <c:pt idx="18">
                  <c:v>50</c:v>
                </c:pt>
                <c:pt idx="19">
                  <c:v>50</c:v>
                </c:pt>
                <c:pt idx="20">
                  <c:v>50</c:v>
                </c:pt>
                <c:pt idx="21">
                  <c:v>50</c:v>
                </c:pt>
                <c:pt idx="22">
                  <c:v>50</c:v>
                </c:pt>
                <c:pt idx="23">
                  <c:v>50</c:v>
                </c:pt>
                <c:pt idx="24">
                  <c:v>50</c:v>
                </c:pt>
                <c:pt idx="25">
                  <c:v>50</c:v>
                </c:pt>
                <c:pt idx="26">
                  <c:v>50</c:v>
                </c:pt>
                <c:pt idx="27">
                  <c:v>50</c:v>
                </c:pt>
                <c:pt idx="28">
                  <c:v>50</c:v>
                </c:pt>
                <c:pt idx="29">
                  <c:v>50</c:v>
                </c:pt>
                <c:pt idx="30">
                  <c:v>50</c:v>
                </c:pt>
                <c:pt idx="31">
                  <c:v>50</c:v>
                </c:pt>
                <c:pt idx="32">
                  <c:v>50</c:v>
                </c:pt>
                <c:pt idx="33">
                  <c:v>50</c:v>
                </c:pt>
                <c:pt idx="34">
                  <c:v>50</c:v>
                </c:pt>
                <c:pt idx="35">
                  <c:v>50</c:v>
                </c:pt>
                <c:pt idx="36">
                  <c:v>50</c:v>
                </c:pt>
                <c:pt idx="37">
                  <c:v>50</c:v>
                </c:pt>
                <c:pt idx="38">
                  <c:v>50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0656-4D86-8E5D-A5744BD135EA}"/>
            </c:ext>
          </c:extLst>
        </c:ser>
        <c:ser>
          <c:idx val="0"/>
          <c:order val="2"/>
          <c:tx>
            <c:strRef>
              <c:f>'Prerađivačka_6 graf'!$BH$7</c:f>
              <c:strCache>
                <c:ptCount val="1"/>
                <c:pt idx="0">
                  <c:v>y</c:v>
                </c:pt>
              </c:strCache>
            </c:strRef>
          </c:tx>
          <c:spPr>
            <a:ln w="12700" cap="rnd">
              <a:solidFill>
                <a:srgbClr val="92278F"/>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graf'!$BH$44:$BH$82</c:f>
              <c:numCache>
                <c:formatCode>#.#00</c:formatCode>
                <c:ptCount val="39"/>
                <c:pt idx="0">
                  <c:v>74.005588011176016</c:v>
                </c:pt>
                <c:pt idx="1">
                  <c:v>87.23393446786892</c:v>
                </c:pt>
                <c:pt idx="2">
                  <c:v>80.467360934721867</c:v>
                </c:pt>
                <c:pt idx="3">
                  <c:v>56.692913385826756</c:v>
                </c:pt>
                <c:pt idx="4">
                  <c:v>66.629413258826503</c:v>
                </c:pt>
                <c:pt idx="5">
                  <c:v>86.563373126746242</c:v>
                </c:pt>
                <c:pt idx="6">
                  <c:v>72.237744475488938</c:v>
                </c:pt>
                <c:pt idx="7">
                  <c:v>79.613919227838451</c:v>
                </c:pt>
                <c:pt idx="8">
                  <c:v>88.940817881635752</c:v>
                </c:pt>
                <c:pt idx="9">
                  <c:v>88.940817881635752</c:v>
                </c:pt>
                <c:pt idx="10">
                  <c:v>84.85648971297941</c:v>
                </c:pt>
                <c:pt idx="11">
                  <c:v>89.855219710439414</c:v>
                </c:pt>
                <c:pt idx="12">
                  <c:v>74.127508255016494</c:v>
                </c:pt>
                <c:pt idx="13">
                  <c:v>83.088646177292347</c:v>
                </c:pt>
                <c:pt idx="14">
                  <c:v>97.536195072390129</c:v>
                </c:pt>
                <c:pt idx="15">
                  <c:v>81.137922275844545</c:v>
                </c:pt>
                <c:pt idx="16">
                  <c:v>85.95377190754381</c:v>
                </c:pt>
                <c:pt idx="17">
                  <c:v>96.560833121666235</c:v>
                </c:pt>
                <c:pt idx="18">
                  <c:v>82.966725933451855</c:v>
                </c:pt>
                <c:pt idx="19">
                  <c:v>93.086106172212325</c:v>
                </c:pt>
                <c:pt idx="20">
                  <c:v>99.304038608077207</c:v>
                </c:pt>
                <c:pt idx="21">
                  <c:v>89.062738125476244</c:v>
                </c:pt>
                <c:pt idx="22">
                  <c:v>92.964185928371847</c:v>
                </c:pt>
                <c:pt idx="23">
                  <c:v>102.04724409448818</c:v>
                </c:pt>
                <c:pt idx="24">
                  <c:v>79.8</c:v>
                </c:pt>
                <c:pt idx="25">
                  <c:v>82.685253118121793</c:v>
                </c:pt>
                <c:pt idx="26">
                  <c:v>109.79729729729731</c:v>
                </c:pt>
                <c:pt idx="27">
                  <c:v>94.9</c:v>
                </c:pt>
                <c:pt idx="28">
                  <c:v>102.4</c:v>
                </c:pt>
                <c:pt idx="29">
                  <c:v>101</c:v>
                </c:pt>
                <c:pt idx="30">
                  <c:v>92</c:v>
                </c:pt>
                <c:pt idx="31">
                  <c:v>98.1</c:v>
                </c:pt>
                <c:pt idx="32">
                  <c:v>102</c:v>
                </c:pt>
                <c:pt idx="33">
                  <c:v>101.7</c:v>
                </c:pt>
                <c:pt idx="34">
                  <c:v>113.3</c:v>
                </c:pt>
                <c:pt idx="35">
                  <c:v>120.1</c:v>
                </c:pt>
                <c:pt idx="36">
                  <c:v>105.9</c:v>
                </c:pt>
                <c:pt idx="37">
                  <c:v>112.7</c:v>
                </c:pt>
                <c:pt idx="38">
                  <c:v>130</c:v>
                </c:pt>
              </c:numCache>
            </c:numRef>
          </c:val>
          <c:smooth val="0"/>
          <c:extLst>
            <c:ext xmlns:c16="http://schemas.microsoft.com/office/drawing/2014/chart" uri="{C3380CC4-5D6E-409C-BE32-E72D297353CC}">
              <c16:uniqueId val="{0000002D-0656-4D86-8E5D-A5744BD135EA}"/>
            </c:ext>
          </c:extLst>
        </c:ser>
        <c:ser>
          <c:idx val="1"/>
          <c:order val="3"/>
          <c:tx>
            <c:strRef>
              <c:f>'Prerađivačka_6 graf'!$BI$7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graf'!$BI$44:$BI$82</c:f>
              <c:numCache>
                <c:formatCode>#.#00</c:formatCode>
                <c:ptCount val="39"/>
                <c:pt idx="0">
                  <c:v>85.350343155136258</c:v>
                </c:pt>
                <c:pt idx="1">
                  <c:v>86.9524657617484</c:v>
                </c:pt>
                <c:pt idx="2">
                  <c:v>73.993503337805947</c:v>
                </c:pt>
                <c:pt idx="3">
                  <c:v>57.822404778330764</c:v>
                </c:pt>
                <c:pt idx="4">
                  <c:v>70.461506783601877</c:v>
                </c:pt>
                <c:pt idx="5">
                  <c:v>81.871369006971051</c:v>
                </c:pt>
                <c:pt idx="6">
                  <c:v>77.146038709429519</c:v>
                </c:pt>
                <c:pt idx="7">
                  <c:v>82.094239170017048</c:v>
                </c:pt>
                <c:pt idx="8">
                  <c:v>82.919126361729425</c:v>
                </c:pt>
                <c:pt idx="9">
                  <c:v>86.928410083705359</c:v>
                </c:pt>
                <c:pt idx="10">
                  <c:v>83.563917273913532</c:v>
                </c:pt>
                <c:pt idx="11">
                  <c:v>82.102531192647504</c:v>
                </c:pt>
                <c:pt idx="12">
                  <c:v>87.261133788959299</c:v>
                </c:pt>
                <c:pt idx="13">
                  <c:v>85.2142237231255</c:v>
                </c:pt>
                <c:pt idx="14">
                  <c:v>87.128558586554334</c:v>
                </c:pt>
                <c:pt idx="15">
                  <c:v>83.889625694518699</c:v>
                </c:pt>
                <c:pt idx="16">
                  <c:v>86.325094148737122</c:v>
                </c:pt>
                <c:pt idx="17">
                  <c:v>91.199775376425308</c:v>
                </c:pt>
                <c:pt idx="18">
                  <c:v>89.997920881840102</c:v>
                </c:pt>
                <c:pt idx="19">
                  <c:v>94.031170001316454</c:v>
                </c:pt>
                <c:pt idx="20">
                  <c:v>93.537490688570259</c:v>
                </c:pt>
                <c:pt idx="21">
                  <c:v>89.46996829760414</c:v>
                </c:pt>
                <c:pt idx="22">
                  <c:v>89.316544555619473</c:v>
                </c:pt>
                <c:pt idx="23">
                  <c:v>92.511632438345259</c:v>
                </c:pt>
                <c:pt idx="24">
                  <c:v>89.6611589585156</c:v>
                </c:pt>
                <c:pt idx="25">
                  <c:v>85.094365340326888</c:v>
                </c:pt>
                <c:pt idx="26">
                  <c:v>97.397038571824595</c:v>
                </c:pt>
                <c:pt idx="27">
                  <c:v>100.19446004368893</c:v>
                </c:pt>
                <c:pt idx="28">
                  <c:v>103.67185819760662</c:v>
                </c:pt>
                <c:pt idx="29">
                  <c:v>95.404008134369249</c:v>
                </c:pt>
                <c:pt idx="30">
                  <c:v>101.51226441938749</c:v>
                </c:pt>
                <c:pt idx="31">
                  <c:v>96.805225226260234</c:v>
                </c:pt>
                <c:pt idx="32">
                  <c:v>96.55712479509225</c:v>
                </c:pt>
                <c:pt idx="33">
                  <c:v>102.58090379912072</c:v>
                </c:pt>
                <c:pt idx="34">
                  <c:v>109.44326155976262</c:v>
                </c:pt>
                <c:pt idx="35">
                  <c:v>110.83337009156796</c:v>
                </c:pt>
                <c:pt idx="36">
                  <c:v>116.59234089890967</c:v>
                </c:pt>
                <c:pt idx="37">
                  <c:v>116.52785516470912</c:v>
                </c:pt>
                <c:pt idx="38">
                  <c:v>114.61990766889649</c:v>
                </c:pt>
              </c:numCache>
            </c:numRef>
          </c:val>
          <c:smooth val="0"/>
          <c:extLst>
            <c:ext xmlns:c16="http://schemas.microsoft.com/office/drawing/2014/chart" uri="{C3380CC4-5D6E-409C-BE32-E72D297353CC}">
              <c16:uniqueId val="{0000002E-0656-4D86-8E5D-A5744BD135EA}"/>
            </c:ext>
          </c:extLst>
        </c:ser>
        <c:ser>
          <c:idx val="2"/>
          <c:order val="4"/>
          <c:tx>
            <c:strRef>
              <c:f>'Prerađivačka_6 graf'!$BJ$7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graf'!$BJ$44:$BJ$82</c:f>
              <c:numCache>
                <c:formatCode>#.#00</c:formatCode>
                <c:ptCount val="39"/>
                <c:pt idx="0">
                  <c:v>84.058588782523287</c:v>
                </c:pt>
                <c:pt idx="1">
                  <c:v>81.273116971889252</c:v>
                </c:pt>
                <c:pt idx="2">
                  <c:v>78.03261239740489</c:v>
                </c:pt>
                <c:pt idx="3">
                  <c:v>75.522079527617805</c:v>
                </c:pt>
                <c:pt idx="4">
                  <c:v>74.713358256686632</c:v>
                </c:pt>
                <c:pt idx="5">
                  <c:v>75.738402588456353</c:v>
                </c:pt>
                <c:pt idx="6">
                  <c:v>77.954227122639409</c:v>
                </c:pt>
                <c:pt idx="7">
                  <c:v>80.541500954285027</c:v>
                </c:pt>
                <c:pt idx="8">
                  <c:v>82.670332367901068</c:v>
                </c:pt>
                <c:pt idx="9">
                  <c:v>84.03836234539375</c:v>
                </c:pt>
                <c:pt idx="10">
                  <c:v>84.793123355662317</c:v>
                </c:pt>
                <c:pt idx="11">
                  <c:v>85.010537514277615</c:v>
                </c:pt>
                <c:pt idx="12">
                  <c:v>85.086779028916013</c:v>
                </c:pt>
                <c:pt idx="13">
                  <c:v>85.194642020330392</c:v>
                </c:pt>
                <c:pt idx="14">
                  <c:v>85.633315877300987</c:v>
                </c:pt>
                <c:pt idx="15">
                  <c:v>86.572564697323713</c:v>
                </c:pt>
                <c:pt idx="16">
                  <c:v>87.965022230783148</c:v>
                </c:pt>
                <c:pt idx="17">
                  <c:v>89.436712034551022</c:v>
                </c:pt>
                <c:pt idx="18">
                  <c:v>90.788463050287163</c:v>
                </c:pt>
                <c:pt idx="19">
                  <c:v>91.65350696595371</c:v>
                </c:pt>
                <c:pt idx="20">
                  <c:v>91.727474112366835</c:v>
                </c:pt>
                <c:pt idx="21">
                  <c:v>91.243544709421101</c:v>
                </c:pt>
                <c:pt idx="22">
                  <c:v>90.713636223196829</c:v>
                </c:pt>
                <c:pt idx="23">
                  <c:v>91.026731798277737</c:v>
                </c:pt>
                <c:pt idx="24">
                  <c:v>92.338879179895272</c:v>
                </c:pt>
                <c:pt idx="25">
                  <c:v>94.438671101473446</c:v>
                </c:pt>
                <c:pt idx="26">
                  <c:v>96.812668327497391</c:v>
                </c:pt>
                <c:pt idx="27">
                  <c:v>98.597539540980463</c:v>
                </c:pt>
                <c:pt idx="28">
                  <c:v>99.2913693555804</c:v>
                </c:pt>
                <c:pt idx="29">
                  <c:v>99.120841032524694</c:v>
                </c:pt>
                <c:pt idx="30">
                  <c:v>98.661275172637218</c:v>
                </c:pt>
                <c:pt idx="31">
                  <c:v>98.795074287479707</c:v>
                </c:pt>
                <c:pt idx="32">
                  <c:v>100.36633028496941</c:v>
                </c:pt>
                <c:pt idx="33">
                  <c:v>103.30287551869723</c:v>
                </c:pt>
                <c:pt idx="34">
                  <c:v>107.01461506304511</c:v>
                </c:pt>
                <c:pt idx="35">
                  <c:v>110.74476817418559</c:v>
                </c:pt>
                <c:pt idx="36">
                  <c:v>113.8914028808006</c:v>
                </c:pt>
                <c:pt idx="37">
                  <c:v>116.45729007452755</c:v>
                </c:pt>
                <c:pt idx="38">
                  <c:v>118.32745723618753</c:v>
                </c:pt>
              </c:numCache>
            </c:numRef>
          </c:val>
          <c:smooth val="0"/>
          <c:extLst>
            <c:ext xmlns:c16="http://schemas.microsoft.com/office/drawing/2014/chart" uri="{C3380CC4-5D6E-409C-BE32-E72D297353CC}">
              <c16:uniqueId val="{0000002F-0656-4D86-8E5D-A5744BD135EA}"/>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30"/>
          <c:min val="5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graf'!$AA$7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84661075257579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A54-4C9A-802D-7723B9F2BE9A}"/>
                </c:ext>
              </c:extLst>
            </c:dLbl>
            <c:dLbl>
              <c:idx val="12"/>
              <c:layout>
                <c:manualLayout>
                  <c:x val="7.08642297877528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A54-4C9A-802D-7723B9F2BE9A}"/>
                </c:ext>
              </c:extLst>
            </c:dLbl>
            <c:dLbl>
              <c:idx val="24"/>
              <c:layout>
                <c:manualLayout>
                  <c:x val="7.20103815570593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A54-4C9A-802D-7723B9F2BE9A}"/>
                </c:ext>
              </c:extLst>
            </c:dLbl>
            <c:dLbl>
              <c:idx val="36"/>
              <c:layout>
                <c:manualLayout>
                  <c:x val="-1.899581079786446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A54-4C9A-802D-7723B9F2BE9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graf'!$AA$44:$AA$82</c:f>
              <c:numCache>
                <c:formatCode>General</c:formatCode>
                <c:ptCount val="39"/>
                <c:pt idx="0">
                  <c:v>60</c:v>
                </c:pt>
                <c:pt idx="12">
                  <c:v>60</c:v>
                </c:pt>
                <c:pt idx="24">
                  <c:v>60</c:v>
                </c:pt>
                <c:pt idx="36">
                  <c:v>60</c:v>
                </c:pt>
              </c:numCache>
            </c:numRef>
          </c:val>
          <c:smooth val="0"/>
          <c:extLst>
            <c:ext xmlns:c16="http://schemas.microsoft.com/office/drawing/2014/chart" uri="{C3380CC4-5D6E-409C-BE32-E72D297353CC}">
              <c16:uniqueId val="{00000004-BA54-4C9A-802D-7723B9F2BE9A}"/>
            </c:ext>
          </c:extLst>
        </c:ser>
        <c:ser>
          <c:idx val="4"/>
          <c:order val="1"/>
          <c:tx>
            <c:strRef>
              <c:f>'Prerađivačka_6 graf'!$AB$7</c:f>
              <c:strCache>
                <c:ptCount val="1"/>
                <c:pt idx="0">
                  <c:v>Series5</c:v>
                </c:pt>
              </c:strCache>
            </c:strRef>
          </c:tx>
          <c:spPr>
            <a:ln w="25400" cap="rnd">
              <a:noFill/>
              <a:round/>
            </a:ln>
            <a:effectLst/>
          </c:spPr>
          <c:marker>
            <c:symbol val="none"/>
          </c:marker>
          <c:dLbls>
            <c:dLbl>
              <c:idx val="0"/>
              <c:tx>
                <c:rich>
                  <a:bodyPr/>
                  <a:lstStyle/>
                  <a:p>
                    <a:fld id="{42A80999-732A-475D-B9E8-ECC804B4999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BA54-4C9A-802D-7723B9F2BE9A}"/>
                </c:ext>
              </c:extLst>
            </c:dLbl>
            <c:dLbl>
              <c:idx val="1"/>
              <c:tx>
                <c:rich>
                  <a:bodyPr/>
                  <a:lstStyle/>
                  <a:p>
                    <a:fld id="{33021F7A-2E9D-4C04-A20F-DA88D6F4588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BA54-4C9A-802D-7723B9F2BE9A}"/>
                </c:ext>
              </c:extLst>
            </c:dLbl>
            <c:dLbl>
              <c:idx val="2"/>
              <c:tx>
                <c:rich>
                  <a:bodyPr/>
                  <a:lstStyle/>
                  <a:p>
                    <a:fld id="{B4FB250D-E101-417D-AB18-B852AA92F95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BA54-4C9A-802D-7723B9F2BE9A}"/>
                </c:ext>
              </c:extLst>
            </c:dLbl>
            <c:dLbl>
              <c:idx val="3"/>
              <c:tx>
                <c:rich>
                  <a:bodyPr/>
                  <a:lstStyle/>
                  <a:p>
                    <a:fld id="{95EA8994-F72D-4115-8AD3-84009C16599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A54-4C9A-802D-7723B9F2BE9A}"/>
                </c:ext>
              </c:extLst>
            </c:dLbl>
            <c:dLbl>
              <c:idx val="4"/>
              <c:tx>
                <c:rich>
                  <a:bodyPr/>
                  <a:lstStyle/>
                  <a:p>
                    <a:fld id="{E567DAA6-944F-4961-B9F2-E382284CDA1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A54-4C9A-802D-7723B9F2BE9A}"/>
                </c:ext>
              </c:extLst>
            </c:dLbl>
            <c:dLbl>
              <c:idx val="5"/>
              <c:tx>
                <c:rich>
                  <a:bodyPr/>
                  <a:lstStyle/>
                  <a:p>
                    <a:fld id="{EB3BE05A-04B7-45F0-968D-BD7C874FC81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A54-4C9A-802D-7723B9F2BE9A}"/>
                </c:ext>
              </c:extLst>
            </c:dLbl>
            <c:dLbl>
              <c:idx val="6"/>
              <c:tx>
                <c:rich>
                  <a:bodyPr/>
                  <a:lstStyle/>
                  <a:p>
                    <a:fld id="{BDFA94AE-30C2-433A-8EB1-CA654296F2E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A54-4C9A-802D-7723B9F2BE9A}"/>
                </c:ext>
              </c:extLst>
            </c:dLbl>
            <c:dLbl>
              <c:idx val="7"/>
              <c:tx>
                <c:rich>
                  <a:bodyPr/>
                  <a:lstStyle/>
                  <a:p>
                    <a:fld id="{9DA72015-1FB8-4FA5-83E4-049195E610B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A54-4C9A-802D-7723B9F2BE9A}"/>
                </c:ext>
              </c:extLst>
            </c:dLbl>
            <c:dLbl>
              <c:idx val="8"/>
              <c:tx>
                <c:rich>
                  <a:bodyPr/>
                  <a:lstStyle/>
                  <a:p>
                    <a:fld id="{41025570-99B5-4126-B87A-72B7451E905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A54-4C9A-802D-7723B9F2BE9A}"/>
                </c:ext>
              </c:extLst>
            </c:dLbl>
            <c:dLbl>
              <c:idx val="9"/>
              <c:tx>
                <c:rich>
                  <a:bodyPr/>
                  <a:lstStyle/>
                  <a:p>
                    <a:fld id="{454D157B-6DB1-430C-9438-2E362079F41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A54-4C9A-802D-7723B9F2BE9A}"/>
                </c:ext>
              </c:extLst>
            </c:dLbl>
            <c:dLbl>
              <c:idx val="10"/>
              <c:tx>
                <c:rich>
                  <a:bodyPr/>
                  <a:lstStyle/>
                  <a:p>
                    <a:fld id="{DDEB9F3A-DBD7-43D2-B491-3F073E39E51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A54-4C9A-802D-7723B9F2BE9A}"/>
                </c:ext>
              </c:extLst>
            </c:dLbl>
            <c:dLbl>
              <c:idx val="11"/>
              <c:tx>
                <c:rich>
                  <a:bodyPr/>
                  <a:lstStyle/>
                  <a:p>
                    <a:fld id="{6AC52008-3B47-41AE-BE89-3283E3CDF16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A54-4C9A-802D-7723B9F2BE9A}"/>
                </c:ext>
              </c:extLst>
            </c:dLbl>
            <c:dLbl>
              <c:idx val="12"/>
              <c:tx>
                <c:rich>
                  <a:bodyPr/>
                  <a:lstStyle/>
                  <a:p>
                    <a:fld id="{7F4A02B5-7584-4833-A2C5-797003646CB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A54-4C9A-802D-7723B9F2BE9A}"/>
                </c:ext>
              </c:extLst>
            </c:dLbl>
            <c:dLbl>
              <c:idx val="13"/>
              <c:tx>
                <c:rich>
                  <a:bodyPr/>
                  <a:lstStyle/>
                  <a:p>
                    <a:fld id="{B8429888-4669-4CB5-B929-05F24EA2E41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A54-4C9A-802D-7723B9F2BE9A}"/>
                </c:ext>
              </c:extLst>
            </c:dLbl>
            <c:dLbl>
              <c:idx val="14"/>
              <c:tx>
                <c:rich>
                  <a:bodyPr/>
                  <a:lstStyle/>
                  <a:p>
                    <a:fld id="{DF28AAA3-CCBD-474D-80D8-D1116F9719F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A54-4C9A-802D-7723B9F2BE9A}"/>
                </c:ext>
              </c:extLst>
            </c:dLbl>
            <c:dLbl>
              <c:idx val="15"/>
              <c:tx>
                <c:rich>
                  <a:bodyPr/>
                  <a:lstStyle/>
                  <a:p>
                    <a:fld id="{2259BBAA-B1A1-44AA-9CF9-EDCF329DF42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A54-4C9A-802D-7723B9F2BE9A}"/>
                </c:ext>
              </c:extLst>
            </c:dLbl>
            <c:dLbl>
              <c:idx val="16"/>
              <c:tx>
                <c:rich>
                  <a:bodyPr/>
                  <a:lstStyle/>
                  <a:p>
                    <a:fld id="{9CFC0398-6C49-4491-A858-49D7E15F7F2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A54-4C9A-802D-7723B9F2BE9A}"/>
                </c:ext>
              </c:extLst>
            </c:dLbl>
            <c:dLbl>
              <c:idx val="17"/>
              <c:tx>
                <c:rich>
                  <a:bodyPr/>
                  <a:lstStyle/>
                  <a:p>
                    <a:fld id="{F0F74B97-C092-4B98-A6B2-0F17A12BCC1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A54-4C9A-802D-7723B9F2BE9A}"/>
                </c:ext>
              </c:extLst>
            </c:dLbl>
            <c:dLbl>
              <c:idx val="18"/>
              <c:tx>
                <c:rich>
                  <a:bodyPr/>
                  <a:lstStyle/>
                  <a:p>
                    <a:fld id="{DE4FE2EE-BD7C-4A1A-842B-5E81077BAF5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A54-4C9A-802D-7723B9F2BE9A}"/>
                </c:ext>
              </c:extLst>
            </c:dLbl>
            <c:dLbl>
              <c:idx val="19"/>
              <c:tx>
                <c:rich>
                  <a:bodyPr/>
                  <a:lstStyle/>
                  <a:p>
                    <a:fld id="{85E23504-9E50-4819-BBE4-8D2AED6D692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A54-4C9A-802D-7723B9F2BE9A}"/>
                </c:ext>
              </c:extLst>
            </c:dLbl>
            <c:dLbl>
              <c:idx val="20"/>
              <c:tx>
                <c:rich>
                  <a:bodyPr/>
                  <a:lstStyle/>
                  <a:p>
                    <a:fld id="{9FD3D82A-1340-4B7C-BBF1-C19134B0E23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A54-4C9A-802D-7723B9F2BE9A}"/>
                </c:ext>
              </c:extLst>
            </c:dLbl>
            <c:dLbl>
              <c:idx val="21"/>
              <c:tx>
                <c:rich>
                  <a:bodyPr/>
                  <a:lstStyle/>
                  <a:p>
                    <a:fld id="{438E5EB6-5D82-4C4B-A958-8536A6712C9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A54-4C9A-802D-7723B9F2BE9A}"/>
                </c:ext>
              </c:extLst>
            </c:dLbl>
            <c:dLbl>
              <c:idx val="22"/>
              <c:tx>
                <c:rich>
                  <a:bodyPr/>
                  <a:lstStyle/>
                  <a:p>
                    <a:fld id="{9B3C841A-6243-47F0-9A52-09FD8FC0879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A54-4C9A-802D-7723B9F2BE9A}"/>
                </c:ext>
              </c:extLst>
            </c:dLbl>
            <c:dLbl>
              <c:idx val="23"/>
              <c:tx>
                <c:rich>
                  <a:bodyPr/>
                  <a:lstStyle/>
                  <a:p>
                    <a:fld id="{EDBECB71-FCC1-4DB2-B396-FA4CB8586C5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A54-4C9A-802D-7723B9F2BE9A}"/>
                </c:ext>
              </c:extLst>
            </c:dLbl>
            <c:dLbl>
              <c:idx val="24"/>
              <c:tx>
                <c:rich>
                  <a:bodyPr/>
                  <a:lstStyle/>
                  <a:p>
                    <a:fld id="{39F5CECE-705C-4063-94AB-0A56C3E7528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A54-4C9A-802D-7723B9F2BE9A}"/>
                </c:ext>
              </c:extLst>
            </c:dLbl>
            <c:dLbl>
              <c:idx val="25"/>
              <c:tx>
                <c:rich>
                  <a:bodyPr/>
                  <a:lstStyle/>
                  <a:p>
                    <a:fld id="{C0E26072-3907-470A-916F-EC06790C54C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A54-4C9A-802D-7723B9F2BE9A}"/>
                </c:ext>
              </c:extLst>
            </c:dLbl>
            <c:dLbl>
              <c:idx val="26"/>
              <c:tx>
                <c:rich>
                  <a:bodyPr/>
                  <a:lstStyle/>
                  <a:p>
                    <a:fld id="{8714B7A1-E930-40FB-ACC8-5DD2A5D6281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A54-4C9A-802D-7723B9F2BE9A}"/>
                </c:ext>
              </c:extLst>
            </c:dLbl>
            <c:dLbl>
              <c:idx val="27"/>
              <c:tx>
                <c:rich>
                  <a:bodyPr/>
                  <a:lstStyle/>
                  <a:p>
                    <a:fld id="{5E0C7466-7E7A-4CB3-A827-C2C8BAD0DB4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A54-4C9A-802D-7723B9F2BE9A}"/>
                </c:ext>
              </c:extLst>
            </c:dLbl>
            <c:dLbl>
              <c:idx val="28"/>
              <c:tx>
                <c:rich>
                  <a:bodyPr/>
                  <a:lstStyle/>
                  <a:p>
                    <a:fld id="{974CAE68-EEB7-4EFE-9FC4-BCD6D9A03B8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A54-4C9A-802D-7723B9F2BE9A}"/>
                </c:ext>
              </c:extLst>
            </c:dLbl>
            <c:dLbl>
              <c:idx val="29"/>
              <c:tx>
                <c:rich>
                  <a:bodyPr/>
                  <a:lstStyle/>
                  <a:p>
                    <a:fld id="{79B05F6B-369B-4C6B-B66A-726F3A2F394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A54-4C9A-802D-7723B9F2BE9A}"/>
                </c:ext>
              </c:extLst>
            </c:dLbl>
            <c:dLbl>
              <c:idx val="30"/>
              <c:tx>
                <c:rich>
                  <a:bodyPr/>
                  <a:lstStyle/>
                  <a:p>
                    <a:fld id="{C320AED8-21C4-4EFE-BAED-03D5B8D1C6C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A54-4C9A-802D-7723B9F2BE9A}"/>
                </c:ext>
              </c:extLst>
            </c:dLbl>
            <c:dLbl>
              <c:idx val="31"/>
              <c:tx>
                <c:rich>
                  <a:bodyPr/>
                  <a:lstStyle/>
                  <a:p>
                    <a:fld id="{DA42892E-5C65-44E3-9B60-5025E379972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A54-4C9A-802D-7723B9F2BE9A}"/>
                </c:ext>
              </c:extLst>
            </c:dLbl>
            <c:dLbl>
              <c:idx val="32"/>
              <c:tx>
                <c:rich>
                  <a:bodyPr/>
                  <a:lstStyle/>
                  <a:p>
                    <a:fld id="{24D1C6AF-2121-4E86-9E03-160AD94D62B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A54-4C9A-802D-7723B9F2BE9A}"/>
                </c:ext>
              </c:extLst>
            </c:dLbl>
            <c:dLbl>
              <c:idx val="33"/>
              <c:tx>
                <c:rich>
                  <a:bodyPr/>
                  <a:lstStyle/>
                  <a:p>
                    <a:fld id="{1549BD11-FCFE-4E6A-87C2-48A16AF61EA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A54-4C9A-802D-7723B9F2BE9A}"/>
                </c:ext>
              </c:extLst>
            </c:dLbl>
            <c:dLbl>
              <c:idx val="34"/>
              <c:tx>
                <c:rich>
                  <a:bodyPr/>
                  <a:lstStyle/>
                  <a:p>
                    <a:fld id="{F3CC1E59-1E92-4EB3-B20C-FA1C65911F1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A54-4C9A-802D-7723B9F2BE9A}"/>
                </c:ext>
              </c:extLst>
            </c:dLbl>
            <c:dLbl>
              <c:idx val="35"/>
              <c:tx>
                <c:rich>
                  <a:bodyPr/>
                  <a:lstStyle/>
                  <a:p>
                    <a:fld id="{C8F30DC4-D6AA-4E0D-B67F-C6AA7DF6119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A54-4C9A-802D-7723B9F2BE9A}"/>
                </c:ext>
              </c:extLst>
            </c:dLbl>
            <c:dLbl>
              <c:idx val="36"/>
              <c:tx>
                <c:rich>
                  <a:bodyPr/>
                  <a:lstStyle/>
                  <a:p>
                    <a:fld id="{F8F9F8DC-8EF2-4FFD-8B41-EE22D95E72D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A54-4C9A-802D-7723B9F2BE9A}"/>
                </c:ext>
              </c:extLst>
            </c:dLbl>
            <c:dLbl>
              <c:idx val="37"/>
              <c:tx>
                <c:rich>
                  <a:bodyPr/>
                  <a:lstStyle/>
                  <a:p>
                    <a:fld id="{674BA18E-9340-4350-A388-D49AFA0378A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A54-4C9A-802D-7723B9F2BE9A}"/>
                </c:ext>
              </c:extLst>
            </c:dLbl>
            <c:dLbl>
              <c:idx val="38"/>
              <c:tx>
                <c:rich>
                  <a:bodyPr/>
                  <a:lstStyle/>
                  <a:p>
                    <a:fld id="{E4789E94-1CA3-452E-B1AD-AD0CD34EF6D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A54-4C9A-802D-7723B9F2BE9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graf'!$AB$44:$AB$82</c:f>
              <c:numCache>
                <c:formatCode>General</c:formatCode>
                <c:ptCount val="39"/>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BA54-4C9A-802D-7723B9F2BE9A}"/>
            </c:ext>
          </c:extLst>
        </c:ser>
        <c:ser>
          <c:idx val="0"/>
          <c:order val="2"/>
          <c:tx>
            <c:strRef>
              <c:f>'Prerađivačka_6 graf'!$AC$7</c:f>
              <c:strCache>
                <c:ptCount val="1"/>
                <c:pt idx="0">
                  <c:v>y</c:v>
                </c:pt>
              </c:strCache>
            </c:strRef>
          </c:tx>
          <c:spPr>
            <a:ln w="12700" cap="rnd">
              <a:solidFill>
                <a:srgbClr val="7F3F98"/>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graf'!$AC$44:$AC$82</c:f>
              <c:numCache>
                <c:formatCode>#.#00</c:formatCode>
                <c:ptCount val="39"/>
                <c:pt idx="0">
                  <c:v>77.846393668685167</c:v>
                </c:pt>
                <c:pt idx="1">
                  <c:v>96.696444630973076</c:v>
                </c:pt>
                <c:pt idx="2">
                  <c:v>96.984231668565272</c:v>
                </c:pt>
                <c:pt idx="3">
                  <c:v>100.8693566760597</c:v>
                </c:pt>
                <c:pt idx="4">
                  <c:v>111.80526410456262</c:v>
                </c:pt>
                <c:pt idx="5">
                  <c:v>103.45944001438936</c:v>
                </c:pt>
                <c:pt idx="6">
                  <c:v>92.163798788896216</c:v>
                </c:pt>
                <c:pt idx="7">
                  <c:v>78.493914503267575</c:v>
                </c:pt>
                <c:pt idx="8">
                  <c:v>90.509023322741172</c:v>
                </c:pt>
                <c:pt idx="9">
                  <c:v>90.077342766352899</c:v>
                </c:pt>
                <c:pt idx="10">
                  <c:v>69.788356616104068</c:v>
                </c:pt>
                <c:pt idx="11">
                  <c:v>92.235745548294247</c:v>
                </c:pt>
                <c:pt idx="12">
                  <c:v>72.954014029618079</c:v>
                </c:pt>
                <c:pt idx="13">
                  <c:v>93.81857425505126</c:v>
                </c:pt>
                <c:pt idx="14">
                  <c:v>101.80466454823429</c:v>
                </c:pt>
                <c:pt idx="15">
                  <c:v>97.703699262545712</c:v>
                </c:pt>
                <c:pt idx="16">
                  <c:v>94.178308052041487</c:v>
                </c:pt>
                <c:pt idx="17">
                  <c:v>99.142634450506634</c:v>
                </c:pt>
                <c:pt idx="18">
                  <c:v>80.508423766412847</c:v>
                </c:pt>
                <c:pt idx="19">
                  <c:v>88.134780262605673</c:v>
                </c:pt>
                <c:pt idx="20">
                  <c:v>100.14988908207924</c:v>
                </c:pt>
                <c:pt idx="21">
                  <c:v>94.106361292643442</c:v>
                </c:pt>
                <c:pt idx="22">
                  <c:v>111.1577432699802</c:v>
                </c:pt>
                <c:pt idx="23">
                  <c:v>125.83488218718148</c:v>
                </c:pt>
                <c:pt idx="24">
                  <c:v>80.3</c:v>
                </c:pt>
                <c:pt idx="25">
                  <c:v>100.8028545941124</c:v>
                </c:pt>
                <c:pt idx="26">
                  <c:v>106.82242990654204</c:v>
                </c:pt>
                <c:pt idx="27">
                  <c:v>96.5</c:v>
                </c:pt>
                <c:pt idx="28">
                  <c:v>116.4</c:v>
                </c:pt>
                <c:pt idx="29">
                  <c:v>108.8</c:v>
                </c:pt>
                <c:pt idx="30">
                  <c:v>90.6</c:v>
                </c:pt>
                <c:pt idx="31">
                  <c:v>85.7</c:v>
                </c:pt>
                <c:pt idx="32">
                  <c:v>94.8</c:v>
                </c:pt>
                <c:pt idx="33">
                  <c:v>99.1</c:v>
                </c:pt>
                <c:pt idx="34">
                  <c:v>103.4</c:v>
                </c:pt>
                <c:pt idx="35">
                  <c:v>116.8</c:v>
                </c:pt>
                <c:pt idx="36">
                  <c:v>93.5</c:v>
                </c:pt>
                <c:pt idx="37">
                  <c:v>113</c:v>
                </c:pt>
                <c:pt idx="38">
                  <c:v>114.3</c:v>
                </c:pt>
              </c:numCache>
            </c:numRef>
          </c:val>
          <c:smooth val="0"/>
          <c:extLst>
            <c:ext xmlns:c16="http://schemas.microsoft.com/office/drawing/2014/chart" uri="{C3380CC4-5D6E-409C-BE32-E72D297353CC}">
              <c16:uniqueId val="{0000002D-BA54-4C9A-802D-7723B9F2BE9A}"/>
            </c:ext>
          </c:extLst>
        </c:ser>
        <c:ser>
          <c:idx val="1"/>
          <c:order val="3"/>
          <c:tx>
            <c:strRef>
              <c:f>'Prerađivačka_6 graf'!$AD$7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graf'!$AD$44:$AD$82</c:f>
              <c:numCache>
                <c:formatCode>#.#00</c:formatCode>
                <c:ptCount val="39"/>
                <c:pt idx="0">
                  <c:v>93.829811649239019</c:v>
                </c:pt>
                <c:pt idx="1">
                  <c:v>93.893839995016776</c:v>
                </c:pt>
                <c:pt idx="2">
                  <c:v>94.671957817803886</c:v>
                </c:pt>
                <c:pt idx="3">
                  <c:v>99.684580737649384</c:v>
                </c:pt>
                <c:pt idx="4">
                  <c:v>101.5716926135876</c:v>
                </c:pt>
                <c:pt idx="5">
                  <c:v>98.598145990821536</c:v>
                </c:pt>
                <c:pt idx="6">
                  <c:v>95.282414715240733</c:v>
                </c:pt>
                <c:pt idx="7">
                  <c:v>89.376721840365761</c:v>
                </c:pt>
                <c:pt idx="8">
                  <c:v>92.462786181569896</c:v>
                </c:pt>
                <c:pt idx="9">
                  <c:v>88.972788464212584</c:v>
                </c:pt>
                <c:pt idx="10">
                  <c:v>66.043154521886933</c:v>
                </c:pt>
                <c:pt idx="11">
                  <c:v>82.681623966837478</c:v>
                </c:pt>
                <c:pt idx="12">
                  <c:v>89.812507731970229</c:v>
                </c:pt>
                <c:pt idx="13">
                  <c:v>95.704593853447122</c:v>
                </c:pt>
                <c:pt idx="14">
                  <c:v>97.489542284134131</c:v>
                </c:pt>
                <c:pt idx="15">
                  <c:v>96.488075589006314</c:v>
                </c:pt>
                <c:pt idx="16">
                  <c:v>83.876910486711211</c:v>
                </c:pt>
                <c:pt idx="17">
                  <c:v>93.760582266867871</c:v>
                </c:pt>
                <c:pt idx="18">
                  <c:v>85.188776912515991</c:v>
                </c:pt>
                <c:pt idx="19">
                  <c:v>100.71790565387202</c:v>
                </c:pt>
                <c:pt idx="20">
                  <c:v>102.4963081142853</c:v>
                </c:pt>
                <c:pt idx="21">
                  <c:v>94.740803694967056</c:v>
                </c:pt>
                <c:pt idx="22">
                  <c:v>105.76558350556206</c:v>
                </c:pt>
                <c:pt idx="23">
                  <c:v>111.79450449294899</c:v>
                </c:pt>
                <c:pt idx="24">
                  <c:v>97.428539036334399</c:v>
                </c:pt>
                <c:pt idx="25">
                  <c:v>100.74529398835986</c:v>
                </c:pt>
                <c:pt idx="26">
                  <c:v>100.99154530246636</c:v>
                </c:pt>
                <c:pt idx="27">
                  <c:v>95.823965118455419</c:v>
                </c:pt>
                <c:pt idx="28">
                  <c:v>104.16693047111261</c:v>
                </c:pt>
                <c:pt idx="29">
                  <c:v>102.66953425489716</c:v>
                </c:pt>
                <c:pt idx="30">
                  <c:v>98.037331458347609</c:v>
                </c:pt>
                <c:pt idx="31">
                  <c:v>97.448216511760464</c:v>
                </c:pt>
                <c:pt idx="32">
                  <c:v>97.264560351347285</c:v>
                </c:pt>
                <c:pt idx="33">
                  <c:v>100.74128299484754</c:v>
                </c:pt>
                <c:pt idx="34">
                  <c:v>99.206280861022719</c:v>
                </c:pt>
                <c:pt idx="35">
                  <c:v>103.73043207241447</c:v>
                </c:pt>
                <c:pt idx="36">
                  <c:v>112.3320890357259</c:v>
                </c:pt>
                <c:pt idx="37">
                  <c:v>111.56454438850953</c:v>
                </c:pt>
                <c:pt idx="38">
                  <c:v>107.17714006726044</c:v>
                </c:pt>
              </c:numCache>
            </c:numRef>
          </c:val>
          <c:smooth val="0"/>
          <c:extLst>
            <c:ext xmlns:c16="http://schemas.microsoft.com/office/drawing/2014/chart" uri="{C3380CC4-5D6E-409C-BE32-E72D297353CC}">
              <c16:uniqueId val="{0000002E-BA54-4C9A-802D-7723B9F2BE9A}"/>
            </c:ext>
          </c:extLst>
        </c:ser>
        <c:ser>
          <c:idx val="2"/>
          <c:order val="4"/>
          <c:tx>
            <c:strRef>
              <c:f>'Prerađivačka_6 graf'!$AE$7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graf'!$AE$44:$AE$82</c:f>
              <c:numCache>
                <c:formatCode>#.#00</c:formatCode>
                <c:ptCount val="39"/>
                <c:pt idx="0">
                  <c:v>96.433335371822551</c:v>
                </c:pt>
                <c:pt idx="1">
                  <c:v>96.640077350475721</c:v>
                </c:pt>
                <c:pt idx="2">
                  <c:v>97.131226410864485</c:v>
                </c:pt>
                <c:pt idx="3">
                  <c:v>97.766528865919312</c:v>
                </c:pt>
                <c:pt idx="4">
                  <c:v>98.076142120786983</c:v>
                </c:pt>
                <c:pt idx="5">
                  <c:v>97.438240989752302</c:v>
                </c:pt>
                <c:pt idx="6">
                  <c:v>95.637389290970873</c:v>
                </c:pt>
                <c:pt idx="7">
                  <c:v>92.838609667602299</c:v>
                </c:pt>
                <c:pt idx="8">
                  <c:v>89.907588697984608</c:v>
                </c:pt>
                <c:pt idx="9">
                  <c:v>87.832714801621279</c:v>
                </c:pt>
                <c:pt idx="10">
                  <c:v>87.374808030608946</c:v>
                </c:pt>
                <c:pt idx="11">
                  <c:v>88.389564051709456</c:v>
                </c:pt>
                <c:pt idx="12">
                  <c:v>90.337677755107535</c:v>
                </c:pt>
                <c:pt idx="13">
                  <c:v>92.292298463778039</c:v>
                </c:pt>
                <c:pt idx="14">
                  <c:v>93.592234405914027</c:v>
                </c:pt>
                <c:pt idx="15">
                  <c:v>94.228986508090586</c:v>
                </c:pt>
                <c:pt idx="16">
                  <c:v>94.258524572639985</c:v>
                </c:pt>
                <c:pt idx="17">
                  <c:v>94.246273598978092</c:v>
                </c:pt>
                <c:pt idx="18">
                  <c:v>95.191410451677058</c:v>
                </c:pt>
                <c:pt idx="19">
                  <c:v>97.3421725139074</c:v>
                </c:pt>
                <c:pt idx="20">
                  <c:v>99.977772844620375</c:v>
                </c:pt>
                <c:pt idx="21">
                  <c:v>102.24714456284015</c:v>
                </c:pt>
                <c:pt idx="22">
                  <c:v>103.3217372465114</c:v>
                </c:pt>
                <c:pt idx="23">
                  <c:v>103.11040485293273</c:v>
                </c:pt>
                <c:pt idx="24">
                  <c:v>102.24399715986024</c:v>
                </c:pt>
                <c:pt idx="25">
                  <c:v>101.29620232956252</c:v>
                </c:pt>
                <c:pt idx="26">
                  <c:v>100.6869222471317</c:v>
                </c:pt>
                <c:pt idx="27">
                  <c:v>100.26359873266657</c:v>
                </c:pt>
                <c:pt idx="28">
                  <c:v>100.03437136836773</c:v>
                </c:pt>
                <c:pt idx="29">
                  <c:v>99.845418505178941</c:v>
                </c:pt>
                <c:pt idx="30">
                  <c:v>99.226499880351554</c:v>
                </c:pt>
                <c:pt idx="31">
                  <c:v>98.494532406884403</c:v>
                </c:pt>
                <c:pt idx="32">
                  <c:v>98.604320303434434</c:v>
                </c:pt>
                <c:pt idx="33">
                  <c:v>99.855682072792007</c:v>
                </c:pt>
                <c:pt idx="34">
                  <c:v>102.22645265778955</c:v>
                </c:pt>
                <c:pt idx="35">
                  <c:v>105.11162764192291</c:v>
                </c:pt>
                <c:pt idx="36">
                  <c:v>107.40236451042406</c:v>
                </c:pt>
                <c:pt idx="37">
                  <c:v>108.70943045386183</c:v>
                </c:pt>
                <c:pt idx="38">
                  <c:v>109.22916248119826</c:v>
                </c:pt>
              </c:numCache>
            </c:numRef>
          </c:val>
          <c:smooth val="0"/>
          <c:extLst>
            <c:ext xmlns:c16="http://schemas.microsoft.com/office/drawing/2014/chart" uri="{C3380CC4-5D6E-409C-BE32-E72D297353CC}">
              <c16:uniqueId val="{0000002F-BA54-4C9A-802D-7723B9F2BE9A}"/>
            </c:ext>
          </c:extLst>
        </c:ser>
        <c:dLbls>
          <c:showLegendKey val="0"/>
          <c:showVal val="0"/>
          <c:showCatName val="0"/>
          <c:showSerName val="0"/>
          <c:showPercent val="0"/>
          <c:showBubbleSize val="0"/>
        </c:dLbls>
        <c:marker val="1"/>
        <c:smooth val="0"/>
        <c:axId val="2092140944"/>
        <c:axId val="2092131696"/>
      </c:lineChart>
      <c:dateAx>
        <c:axId val="209214094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31696"/>
        <c:crosses val="autoZero"/>
        <c:auto val="1"/>
        <c:lblOffset val="0"/>
        <c:baseTimeUnit val="months"/>
        <c:majorUnit val="12"/>
        <c:majorTimeUnit val="months"/>
      </c:dateAx>
      <c:valAx>
        <c:axId val="2092131696"/>
        <c:scaling>
          <c:orientation val="minMax"/>
          <c:max val="13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40944"/>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graf'!$AP$7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43576388888889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CBE-4170-922B-3D7F3235ED5D}"/>
                </c:ext>
              </c:extLst>
            </c:dLbl>
            <c:dLbl>
              <c:idx val="12"/>
              <c:layout>
                <c:manualLayout>
                  <c:x val="7.52844920703435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CBE-4170-922B-3D7F3235ED5D}"/>
                </c:ext>
              </c:extLst>
            </c:dLbl>
            <c:dLbl>
              <c:idx val="24"/>
              <c:layout>
                <c:manualLayout>
                  <c:x val="7.209945001802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CBE-4170-922B-3D7F3235ED5D}"/>
                </c:ext>
              </c:extLst>
            </c:dLbl>
            <c:dLbl>
              <c:idx val="36"/>
              <c:layout>
                <c:manualLayout>
                  <c:x val="-1.900321258647729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CBE-4170-922B-3D7F3235ED5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graf'!$AP$44:$AP$82</c:f>
              <c:numCache>
                <c:formatCode>General</c:formatCode>
                <c:ptCount val="39"/>
                <c:pt idx="0">
                  <c:v>0</c:v>
                </c:pt>
                <c:pt idx="12">
                  <c:v>0</c:v>
                </c:pt>
                <c:pt idx="24">
                  <c:v>0</c:v>
                </c:pt>
                <c:pt idx="36">
                  <c:v>0</c:v>
                </c:pt>
              </c:numCache>
            </c:numRef>
          </c:val>
          <c:smooth val="0"/>
          <c:extLst>
            <c:ext xmlns:c16="http://schemas.microsoft.com/office/drawing/2014/chart" uri="{C3380CC4-5D6E-409C-BE32-E72D297353CC}">
              <c16:uniqueId val="{00000004-6CBE-4170-922B-3D7F3235ED5D}"/>
            </c:ext>
          </c:extLst>
        </c:ser>
        <c:ser>
          <c:idx val="4"/>
          <c:order val="1"/>
          <c:tx>
            <c:strRef>
              <c:f>'Prerađivačka_6 graf'!$AQ$7</c:f>
              <c:strCache>
                <c:ptCount val="1"/>
                <c:pt idx="0">
                  <c:v>Series5</c:v>
                </c:pt>
              </c:strCache>
            </c:strRef>
          </c:tx>
          <c:spPr>
            <a:ln w="25400" cap="rnd">
              <a:noFill/>
              <a:round/>
            </a:ln>
            <a:effectLst/>
          </c:spPr>
          <c:marker>
            <c:symbol val="none"/>
          </c:marker>
          <c:dLbls>
            <c:dLbl>
              <c:idx val="0"/>
              <c:tx>
                <c:rich>
                  <a:bodyPr/>
                  <a:lstStyle/>
                  <a:p>
                    <a:fld id="{271C2486-D9A8-4C10-BDCD-74E957C191E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6CBE-4170-922B-3D7F3235ED5D}"/>
                </c:ext>
              </c:extLst>
            </c:dLbl>
            <c:dLbl>
              <c:idx val="1"/>
              <c:tx>
                <c:rich>
                  <a:bodyPr/>
                  <a:lstStyle/>
                  <a:p>
                    <a:fld id="{7D31F736-4E3A-4FF5-B21A-52F85E1F732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6CBE-4170-922B-3D7F3235ED5D}"/>
                </c:ext>
              </c:extLst>
            </c:dLbl>
            <c:dLbl>
              <c:idx val="2"/>
              <c:tx>
                <c:rich>
                  <a:bodyPr/>
                  <a:lstStyle/>
                  <a:p>
                    <a:fld id="{3EB16821-C9FF-404D-9BD8-3D8AFEA2989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6CBE-4170-922B-3D7F3235ED5D}"/>
                </c:ext>
              </c:extLst>
            </c:dLbl>
            <c:dLbl>
              <c:idx val="3"/>
              <c:tx>
                <c:rich>
                  <a:bodyPr/>
                  <a:lstStyle/>
                  <a:p>
                    <a:fld id="{A07608BB-6F59-4A65-A496-94B01A1B583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6CBE-4170-922B-3D7F3235ED5D}"/>
                </c:ext>
              </c:extLst>
            </c:dLbl>
            <c:dLbl>
              <c:idx val="4"/>
              <c:tx>
                <c:rich>
                  <a:bodyPr/>
                  <a:lstStyle/>
                  <a:p>
                    <a:fld id="{93CE6675-057D-4BD5-9281-0C49CCB6F34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6CBE-4170-922B-3D7F3235ED5D}"/>
                </c:ext>
              </c:extLst>
            </c:dLbl>
            <c:dLbl>
              <c:idx val="5"/>
              <c:tx>
                <c:rich>
                  <a:bodyPr/>
                  <a:lstStyle/>
                  <a:p>
                    <a:fld id="{22CDA67C-6A2B-4A38-9CCD-B94EAD351A6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6CBE-4170-922B-3D7F3235ED5D}"/>
                </c:ext>
              </c:extLst>
            </c:dLbl>
            <c:dLbl>
              <c:idx val="6"/>
              <c:tx>
                <c:rich>
                  <a:bodyPr/>
                  <a:lstStyle/>
                  <a:p>
                    <a:fld id="{62732B13-2C80-4B88-A81A-AE8D0F1E08D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6CBE-4170-922B-3D7F3235ED5D}"/>
                </c:ext>
              </c:extLst>
            </c:dLbl>
            <c:dLbl>
              <c:idx val="7"/>
              <c:tx>
                <c:rich>
                  <a:bodyPr/>
                  <a:lstStyle/>
                  <a:p>
                    <a:fld id="{8BDC60D1-13F9-4044-9D53-D12B457DDFF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6CBE-4170-922B-3D7F3235ED5D}"/>
                </c:ext>
              </c:extLst>
            </c:dLbl>
            <c:dLbl>
              <c:idx val="8"/>
              <c:tx>
                <c:rich>
                  <a:bodyPr/>
                  <a:lstStyle/>
                  <a:p>
                    <a:fld id="{DD9A947F-24A8-4F1C-8F87-6B92743B3D3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6CBE-4170-922B-3D7F3235ED5D}"/>
                </c:ext>
              </c:extLst>
            </c:dLbl>
            <c:dLbl>
              <c:idx val="9"/>
              <c:tx>
                <c:rich>
                  <a:bodyPr/>
                  <a:lstStyle/>
                  <a:p>
                    <a:fld id="{BE711C29-2704-4A25-A527-0F09FC72F07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6CBE-4170-922B-3D7F3235ED5D}"/>
                </c:ext>
              </c:extLst>
            </c:dLbl>
            <c:dLbl>
              <c:idx val="10"/>
              <c:tx>
                <c:rich>
                  <a:bodyPr/>
                  <a:lstStyle/>
                  <a:p>
                    <a:fld id="{706201E9-A2CC-48DB-9D9A-D62FB06815E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6CBE-4170-922B-3D7F3235ED5D}"/>
                </c:ext>
              </c:extLst>
            </c:dLbl>
            <c:dLbl>
              <c:idx val="11"/>
              <c:tx>
                <c:rich>
                  <a:bodyPr/>
                  <a:lstStyle/>
                  <a:p>
                    <a:fld id="{E3FADD24-BEA0-478A-B952-9CB7C57CACB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6CBE-4170-922B-3D7F3235ED5D}"/>
                </c:ext>
              </c:extLst>
            </c:dLbl>
            <c:dLbl>
              <c:idx val="12"/>
              <c:tx>
                <c:rich>
                  <a:bodyPr/>
                  <a:lstStyle/>
                  <a:p>
                    <a:fld id="{9DED24F8-4ECC-4F7F-9BB2-55A92F0BA55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6CBE-4170-922B-3D7F3235ED5D}"/>
                </c:ext>
              </c:extLst>
            </c:dLbl>
            <c:dLbl>
              <c:idx val="13"/>
              <c:tx>
                <c:rich>
                  <a:bodyPr/>
                  <a:lstStyle/>
                  <a:p>
                    <a:fld id="{5F0F6994-42DA-4F02-A869-ABCEF8AD210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6CBE-4170-922B-3D7F3235ED5D}"/>
                </c:ext>
              </c:extLst>
            </c:dLbl>
            <c:dLbl>
              <c:idx val="14"/>
              <c:tx>
                <c:rich>
                  <a:bodyPr/>
                  <a:lstStyle/>
                  <a:p>
                    <a:fld id="{1A9E1B18-3C8F-4A7C-B063-50937741598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6CBE-4170-922B-3D7F3235ED5D}"/>
                </c:ext>
              </c:extLst>
            </c:dLbl>
            <c:dLbl>
              <c:idx val="15"/>
              <c:tx>
                <c:rich>
                  <a:bodyPr/>
                  <a:lstStyle/>
                  <a:p>
                    <a:fld id="{C87236FA-FE5A-4556-88E7-45574EB0999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6CBE-4170-922B-3D7F3235ED5D}"/>
                </c:ext>
              </c:extLst>
            </c:dLbl>
            <c:dLbl>
              <c:idx val="16"/>
              <c:tx>
                <c:rich>
                  <a:bodyPr/>
                  <a:lstStyle/>
                  <a:p>
                    <a:fld id="{24E6B63F-0665-4637-BE57-04B9DA0D561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6CBE-4170-922B-3D7F3235ED5D}"/>
                </c:ext>
              </c:extLst>
            </c:dLbl>
            <c:dLbl>
              <c:idx val="17"/>
              <c:tx>
                <c:rich>
                  <a:bodyPr/>
                  <a:lstStyle/>
                  <a:p>
                    <a:fld id="{420A348D-ED49-4167-8BA7-02DDDD149C2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6CBE-4170-922B-3D7F3235ED5D}"/>
                </c:ext>
              </c:extLst>
            </c:dLbl>
            <c:dLbl>
              <c:idx val="18"/>
              <c:tx>
                <c:rich>
                  <a:bodyPr/>
                  <a:lstStyle/>
                  <a:p>
                    <a:fld id="{052EC070-5676-4515-9473-68DCF7D8BBF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6CBE-4170-922B-3D7F3235ED5D}"/>
                </c:ext>
              </c:extLst>
            </c:dLbl>
            <c:dLbl>
              <c:idx val="19"/>
              <c:tx>
                <c:rich>
                  <a:bodyPr/>
                  <a:lstStyle/>
                  <a:p>
                    <a:fld id="{7C64AE26-EFA7-401D-916F-950D1EF6089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6CBE-4170-922B-3D7F3235ED5D}"/>
                </c:ext>
              </c:extLst>
            </c:dLbl>
            <c:dLbl>
              <c:idx val="20"/>
              <c:tx>
                <c:rich>
                  <a:bodyPr/>
                  <a:lstStyle/>
                  <a:p>
                    <a:fld id="{6D52D389-BAC6-4BB4-BA4C-EFFAABFA8D1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6CBE-4170-922B-3D7F3235ED5D}"/>
                </c:ext>
              </c:extLst>
            </c:dLbl>
            <c:dLbl>
              <c:idx val="21"/>
              <c:tx>
                <c:rich>
                  <a:bodyPr/>
                  <a:lstStyle/>
                  <a:p>
                    <a:fld id="{13E99AEB-3E20-4D2D-8A15-8F9D141BC77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6CBE-4170-922B-3D7F3235ED5D}"/>
                </c:ext>
              </c:extLst>
            </c:dLbl>
            <c:dLbl>
              <c:idx val="22"/>
              <c:tx>
                <c:rich>
                  <a:bodyPr/>
                  <a:lstStyle/>
                  <a:p>
                    <a:fld id="{5F229A9C-4950-4634-839B-6146AAFDBCB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6CBE-4170-922B-3D7F3235ED5D}"/>
                </c:ext>
              </c:extLst>
            </c:dLbl>
            <c:dLbl>
              <c:idx val="23"/>
              <c:tx>
                <c:rich>
                  <a:bodyPr/>
                  <a:lstStyle/>
                  <a:p>
                    <a:fld id="{84B23680-A491-4C94-9638-B8EA09D1695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6CBE-4170-922B-3D7F3235ED5D}"/>
                </c:ext>
              </c:extLst>
            </c:dLbl>
            <c:dLbl>
              <c:idx val="24"/>
              <c:tx>
                <c:rich>
                  <a:bodyPr/>
                  <a:lstStyle/>
                  <a:p>
                    <a:fld id="{54A2FFF0-384E-446F-961F-75D0D9D9420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6CBE-4170-922B-3D7F3235ED5D}"/>
                </c:ext>
              </c:extLst>
            </c:dLbl>
            <c:dLbl>
              <c:idx val="25"/>
              <c:tx>
                <c:rich>
                  <a:bodyPr/>
                  <a:lstStyle/>
                  <a:p>
                    <a:fld id="{47E15B8A-46CF-426C-813C-9D2B4E5F5E9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6CBE-4170-922B-3D7F3235ED5D}"/>
                </c:ext>
              </c:extLst>
            </c:dLbl>
            <c:dLbl>
              <c:idx val="26"/>
              <c:tx>
                <c:rich>
                  <a:bodyPr/>
                  <a:lstStyle/>
                  <a:p>
                    <a:fld id="{45A350F3-4F2A-41B1-B500-683D9B74A75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6CBE-4170-922B-3D7F3235ED5D}"/>
                </c:ext>
              </c:extLst>
            </c:dLbl>
            <c:dLbl>
              <c:idx val="27"/>
              <c:tx>
                <c:rich>
                  <a:bodyPr/>
                  <a:lstStyle/>
                  <a:p>
                    <a:fld id="{84EB0417-2327-44C1-A84E-39A98E09CD7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6CBE-4170-922B-3D7F3235ED5D}"/>
                </c:ext>
              </c:extLst>
            </c:dLbl>
            <c:dLbl>
              <c:idx val="28"/>
              <c:tx>
                <c:rich>
                  <a:bodyPr/>
                  <a:lstStyle/>
                  <a:p>
                    <a:fld id="{397E9EF3-C9A5-4D17-B94B-93F853BD4FB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6CBE-4170-922B-3D7F3235ED5D}"/>
                </c:ext>
              </c:extLst>
            </c:dLbl>
            <c:dLbl>
              <c:idx val="29"/>
              <c:tx>
                <c:rich>
                  <a:bodyPr/>
                  <a:lstStyle/>
                  <a:p>
                    <a:fld id="{9F2D2212-C888-4615-9794-128ECF3CD53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6CBE-4170-922B-3D7F3235ED5D}"/>
                </c:ext>
              </c:extLst>
            </c:dLbl>
            <c:dLbl>
              <c:idx val="30"/>
              <c:tx>
                <c:rich>
                  <a:bodyPr/>
                  <a:lstStyle/>
                  <a:p>
                    <a:fld id="{771A1868-26E5-46BF-A215-017086079DF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6CBE-4170-922B-3D7F3235ED5D}"/>
                </c:ext>
              </c:extLst>
            </c:dLbl>
            <c:dLbl>
              <c:idx val="31"/>
              <c:tx>
                <c:rich>
                  <a:bodyPr/>
                  <a:lstStyle/>
                  <a:p>
                    <a:fld id="{6739D102-A60A-4B0B-9AF2-BED2472CDBA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6CBE-4170-922B-3D7F3235ED5D}"/>
                </c:ext>
              </c:extLst>
            </c:dLbl>
            <c:dLbl>
              <c:idx val="32"/>
              <c:tx>
                <c:rich>
                  <a:bodyPr/>
                  <a:lstStyle/>
                  <a:p>
                    <a:fld id="{3CA85F2A-63D4-42F6-8D8C-C5D7FF0DD87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6CBE-4170-922B-3D7F3235ED5D}"/>
                </c:ext>
              </c:extLst>
            </c:dLbl>
            <c:dLbl>
              <c:idx val="33"/>
              <c:tx>
                <c:rich>
                  <a:bodyPr/>
                  <a:lstStyle/>
                  <a:p>
                    <a:fld id="{73CBBBBD-2E9F-43E0-A32C-B982403C057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6CBE-4170-922B-3D7F3235ED5D}"/>
                </c:ext>
              </c:extLst>
            </c:dLbl>
            <c:dLbl>
              <c:idx val="34"/>
              <c:tx>
                <c:rich>
                  <a:bodyPr/>
                  <a:lstStyle/>
                  <a:p>
                    <a:fld id="{D66BA094-FE7E-4982-992B-A305D9BC158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6CBE-4170-922B-3D7F3235ED5D}"/>
                </c:ext>
              </c:extLst>
            </c:dLbl>
            <c:dLbl>
              <c:idx val="35"/>
              <c:tx>
                <c:rich>
                  <a:bodyPr/>
                  <a:lstStyle/>
                  <a:p>
                    <a:fld id="{B0D03121-42AD-4391-AE22-6AA3123F826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6CBE-4170-922B-3D7F3235ED5D}"/>
                </c:ext>
              </c:extLst>
            </c:dLbl>
            <c:dLbl>
              <c:idx val="36"/>
              <c:tx>
                <c:rich>
                  <a:bodyPr/>
                  <a:lstStyle/>
                  <a:p>
                    <a:fld id="{5B8DAB2D-33D1-48FF-931D-113CDF3FFCC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6CBE-4170-922B-3D7F3235ED5D}"/>
                </c:ext>
              </c:extLst>
            </c:dLbl>
            <c:dLbl>
              <c:idx val="37"/>
              <c:tx>
                <c:rich>
                  <a:bodyPr/>
                  <a:lstStyle/>
                  <a:p>
                    <a:fld id="{33ED1F88-DFCF-4348-828A-8911C12B198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6CBE-4170-922B-3D7F3235ED5D}"/>
                </c:ext>
              </c:extLst>
            </c:dLbl>
            <c:dLbl>
              <c:idx val="38"/>
              <c:tx>
                <c:rich>
                  <a:bodyPr/>
                  <a:lstStyle/>
                  <a:p>
                    <a:fld id="{B1ADD178-A294-49C2-9423-48220C923B6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6CBE-4170-922B-3D7F3235ED5D}"/>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graf'!$AQ$44:$AQ$82</c:f>
              <c:numCache>
                <c:formatCode>General</c:formatCode>
                <c:ptCount val="3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6CBE-4170-922B-3D7F3235ED5D}"/>
            </c:ext>
          </c:extLst>
        </c:ser>
        <c:ser>
          <c:idx val="0"/>
          <c:order val="2"/>
          <c:tx>
            <c:strRef>
              <c:f>'Prerađivačka_6 graf'!$AR$7</c:f>
              <c:strCache>
                <c:ptCount val="1"/>
                <c:pt idx="0">
                  <c:v>y</c:v>
                </c:pt>
              </c:strCache>
            </c:strRef>
          </c:tx>
          <c:spPr>
            <a:ln w="12700" cap="rnd">
              <a:solidFill>
                <a:srgbClr val="7F3F98"/>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graf'!$AR$44:$AR$82</c:f>
              <c:numCache>
                <c:formatCode>#.#00</c:formatCode>
                <c:ptCount val="39"/>
                <c:pt idx="0">
                  <c:v>112.91406625099999</c:v>
                </c:pt>
                <c:pt idx="1">
                  <c:v>119.97119539099999</c:v>
                </c:pt>
                <c:pt idx="2">
                  <c:v>98.367738837999994</c:v>
                </c:pt>
                <c:pt idx="3">
                  <c:v>22.179548728</c:v>
                </c:pt>
                <c:pt idx="4">
                  <c:v>42.918867018999997</c:v>
                </c:pt>
                <c:pt idx="5">
                  <c:v>67.546807489000003</c:v>
                </c:pt>
                <c:pt idx="6">
                  <c:v>91.454632740999998</c:v>
                </c:pt>
                <c:pt idx="7">
                  <c:v>74.027844454999993</c:v>
                </c:pt>
                <c:pt idx="8">
                  <c:v>124.867978877</c:v>
                </c:pt>
                <c:pt idx="9">
                  <c:v>124.867978877</c:v>
                </c:pt>
                <c:pt idx="10">
                  <c:v>118.819011042</c:v>
                </c:pt>
                <c:pt idx="11">
                  <c:v>110.17762842099999</c:v>
                </c:pt>
                <c:pt idx="12">
                  <c:v>89.726356217000003</c:v>
                </c:pt>
                <c:pt idx="13">
                  <c:v>106.721075372</c:v>
                </c:pt>
                <c:pt idx="14">
                  <c:v>128.90062409999999</c:v>
                </c:pt>
                <c:pt idx="15">
                  <c:v>105.424867979</c:v>
                </c:pt>
                <c:pt idx="16">
                  <c:v>95.775324052000002</c:v>
                </c:pt>
                <c:pt idx="17">
                  <c:v>105.712914066</c:v>
                </c:pt>
                <c:pt idx="18">
                  <c:v>89.870379260999997</c:v>
                </c:pt>
                <c:pt idx="19">
                  <c:v>61.641862697999997</c:v>
                </c:pt>
                <c:pt idx="20">
                  <c:v>102.976476236</c:v>
                </c:pt>
                <c:pt idx="21">
                  <c:v>111.04176668300001</c:v>
                </c:pt>
                <c:pt idx="22">
                  <c:v>113.77820451300001</c:v>
                </c:pt>
                <c:pt idx="23">
                  <c:v>81.661065770999997</c:v>
                </c:pt>
                <c:pt idx="24">
                  <c:v>92.6</c:v>
                </c:pt>
                <c:pt idx="25">
                  <c:v>100.519930676</c:v>
                </c:pt>
                <c:pt idx="26">
                  <c:v>100.76628352500001</c:v>
                </c:pt>
                <c:pt idx="27">
                  <c:v>96.1</c:v>
                </c:pt>
                <c:pt idx="28">
                  <c:v>105.9</c:v>
                </c:pt>
                <c:pt idx="29">
                  <c:v>101.5</c:v>
                </c:pt>
                <c:pt idx="30">
                  <c:v>86.6</c:v>
                </c:pt>
                <c:pt idx="31">
                  <c:v>84.8</c:v>
                </c:pt>
                <c:pt idx="32">
                  <c:v>111.3</c:v>
                </c:pt>
                <c:pt idx="33">
                  <c:v>110.9</c:v>
                </c:pt>
                <c:pt idx="34">
                  <c:v>118.8</c:v>
                </c:pt>
                <c:pt idx="35">
                  <c:v>90.2</c:v>
                </c:pt>
                <c:pt idx="36">
                  <c:v>100.3</c:v>
                </c:pt>
                <c:pt idx="37">
                  <c:v>116</c:v>
                </c:pt>
                <c:pt idx="38">
                  <c:v>131.5</c:v>
                </c:pt>
              </c:numCache>
            </c:numRef>
          </c:val>
          <c:smooth val="0"/>
          <c:extLst>
            <c:ext xmlns:c16="http://schemas.microsoft.com/office/drawing/2014/chart" uri="{C3380CC4-5D6E-409C-BE32-E72D297353CC}">
              <c16:uniqueId val="{0000002D-6CBE-4170-922B-3D7F3235ED5D}"/>
            </c:ext>
          </c:extLst>
        </c:ser>
        <c:ser>
          <c:idx val="1"/>
          <c:order val="3"/>
          <c:tx>
            <c:strRef>
              <c:f>'Prerađivačka_6 graf'!$AS$7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graf'!$AS$44:$AS$82</c:f>
              <c:numCache>
                <c:formatCode>#.#00</c:formatCode>
                <c:ptCount val="39"/>
                <c:pt idx="0">
                  <c:v>116.17086734999999</c:v>
                </c:pt>
                <c:pt idx="1">
                  <c:v>106.548771362</c:v>
                </c:pt>
                <c:pt idx="2">
                  <c:v>84.150611667000007</c:v>
                </c:pt>
                <c:pt idx="3">
                  <c:v>20.123076379</c:v>
                </c:pt>
                <c:pt idx="4">
                  <c:v>39.654067220000002</c:v>
                </c:pt>
                <c:pt idx="5">
                  <c:v>63.157982576999999</c:v>
                </c:pt>
                <c:pt idx="6">
                  <c:v>112.87586882700001</c:v>
                </c:pt>
                <c:pt idx="7">
                  <c:v>115.560831702</c:v>
                </c:pt>
                <c:pt idx="8">
                  <c:v>112.07303611</c:v>
                </c:pt>
                <c:pt idx="9">
                  <c:v>112.595864206</c:v>
                </c:pt>
                <c:pt idx="10">
                  <c:v>112.30995552500001</c:v>
                </c:pt>
                <c:pt idx="11">
                  <c:v>125.239736697</c:v>
                </c:pt>
                <c:pt idx="12">
                  <c:v>96.362220839000003</c:v>
                </c:pt>
                <c:pt idx="13">
                  <c:v>99.409186570000003</c:v>
                </c:pt>
                <c:pt idx="14">
                  <c:v>109.849073762</c:v>
                </c:pt>
                <c:pt idx="15">
                  <c:v>98.724012363</c:v>
                </c:pt>
                <c:pt idx="16">
                  <c:v>84.381907734999999</c:v>
                </c:pt>
                <c:pt idx="17">
                  <c:v>100.723197763</c:v>
                </c:pt>
                <c:pt idx="18">
                  <c:v>110.54551090299999</c:v>
                </c:pt>
                <c:pt idx="19">
                  <c:v>90.723152040000002</c:v>
                </c:pt>
                <c:pt idx="20">
                  <c:v>92.343113729999999</c:v>
                </c:pt>
                <c:pt idx="21">
                  <c:v>101.854441597</c:v>
                </c:pt>
                <c:pt idx="22">
                  <c:v>100.78294680899999</c:v>
                </c:pt>
                <c:pt idx="23">
                  <c:v>92.244764173999997</c:v>
                </c:pt>
                <c:pt idx="24">
                  <c:v>95.560597487999999</c:v>
                </c:pt>
                <c:pt idx="25">
                  <c:v>94.309787412000006</c:v>
                </c:pt>
                <c:pt idx="26">
                  <c:v>86.289993440999993</c:v>
                </c:pt>
                <c:pt idx="27">
                  <c:v>93.593590363999994</c:v>
                </c:pt>
                <c:pt idx="28">
                  <c:v>96.102524673000005</c:v>
                </c:pt>
                <c:pt idx="29">
                  <c:v>98.196568048000003</c:v>
                </c:pt>
                <c:pt idx="30">
                  <c:v>107.258117047</c:v>
                </c:pt>
                <c:pt idx="31">
                  <c:v>118.74741998099999</c:v>
                </c:pt>
                <c:pt idx="32">
                  <c:v>100.439789404</c:v>
                </c:pt>
                <c:pt idx="33">
                  <c:v>100.105539953</c:v>
                </c:pt>
                <c:pt idx="34">
                  <c:v>103.665422713</c:v>
                </c:pt>
                <c:pt idx="35">
                  <c:v>105.181951258</c:v>
                </c:pt>
                <c:pt idx="36">
                  <c:v>101.383813688</c:v>
                </c:pt>
                <c:pt idx="37">
                  <c:v>109.12388985</c:v>
                </c:pt>
                <c:pt idx="38">
                  <c:v>113.15904902</c:v>
                </c:pt>
              </c:numCache>
            </c:numRef>
          </c:val>
          <c:smooth val="0"/>
          <c:extLst>
            <c:ext xmlns:c16="http://schemas.microsoft.com/office/drawing/2014/chart" uri="{C3380CC4-5D6E-409C-BE32-E72D297353CC}">
              <c16:uniqueId val="{0000002E-6CBE-4170-922B-3D7F3235ED5D}"/>
            </c:ext>
          </c:extLst>
        </c:ser>
        <c:ser>
          <c:idx val="2"/>
          <c:order val="4"/>
          <c:tx>
            <c:strRef>
              <c:f>'Prerađivačka_6 graf'!$AT$7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graf'!$AT$44:$AT$82</c:f>
              <c:numCache>
                <c:formatCode>#.#00</c:formatCode>
                <c:ptCount val="39"/>
                <c:pt idx="0">
                  <c:v>107.26938777300001</c:v>
                </c:pt>
                <c:pt idx="1">
                  <c:v>102.89092922099999</c:v>
                </c:pt>
                <c:pt idx="2">
                  <c:v>99.423108744999993</c:v>
                </c:pt>
                <c:pt idx="3">
                  <c:v>97.734600400000005</c:v>
                </c:pt>
                <c:pt idx="4">
                  <c:v>98.351198609999997</c:v>
                </c:pt>
                <c:pt idx="5">
                  <c:v>101.06169767199999</c:v>
                </c:pt>
                <c:pt idx="6">
                  <c:v>105.375402042</c:v>
                </c:pt>
                <c:pt idx="7">
                  <c:v>109.979672939</c:v>
                </c:pt>
                <c:pt idx="8">
                  <c:v>112.665713673</c:v>
                </c:pt>
                <c:pt idx="9">
                  <c:v>113.012482675</c:v>
                </c:pt>
                <c:pt idx="10">
                  <c:v>111.429487572</c:v>
                </c:pt>
                <c:pt idx="11">
                  <c:v>108.716927087</c:v>
                </c:pt>
                <c:pt idx="12">
                  <c:v>106.075615719</c:v>
                </c:pt>
                <c:pt idx="13">
                  <c:v>104.157355647</c:v>
                </c:pt>
                <c:pt idx="14">
                  <c:v>102.796050982</c:v>
                </c:pt>
                <c:pt idx="15">
                  <c:v>101.397758225</c:v>
                </c:pt>
                <c:pt idx="16">
                  <c:v>99.781754563000007</c:v>
                </c:pt>
                <c:pt idx="17">
                  <c:v>98.170338416999996</c:v>
                </c:pt>
                <c:pt idx="18">
                  <c:v>96.774077989999995</c:v>
                </c:pt>
                <c:pt idx="19">
                  <c:v>95.902587552</c:v>
                </c:pt>
                <c:pt idx="20">
                  <c:v>96.013349601000002</c:v>
                </c:pt>
                <c:pt idx="21">
                  <c:v>96.458741962000005</c:v>
                </c:pt>
                <c:pt idx="22">
                  <c:v>96.373926064000003</c:v>
                </c:pt>
                <c:pt idx="23">
                  <c:v>95.610517709000007</c:v>
                </c:pt>
                <c:pt idx="24">
                  <c:v>94.080930395999999</c:v>
                </c:pt>
                <c:pt idx="25">
                  <c:v>92.546549143999997</c:v>
                </c:pt>
                <c:pt idx="26">
                  <c:v>92.209538774999999</c:v>
                </c:pt>
                <c:pt idx="27">
                  <c:v>93.696535053000005</c:v>
                </c:pt>
                <c:pt idx="28">
                  <c:v>96.437446618999999</c:v>
                </c:pt>
                <c:pt idx="29">
                  <c:v>99.285987402999993</c:v>
                </c:pt>
                <c:pt idx="30">
                  <c:v>101.583832144</c:v>
                </c:pt>
                <c:pt idx="31">
                  <c:v>102.867682808</c:v>
                </c:pt>
                <c:pt idx="32">
                  <c:v>102.97094878199999</c:v>
                </c:pt>
                <c:pt idx="33">
                  <c:v>102.625008945</c:v>
                </c:pt>
                <c:pt idx="34">
                  <c:v>102.87363965599999</c:v>
                </c:pt>
                <c:pt idx="35">
                  <c:v>104.082207393</c:v>
                </c:pt>
                <c:pt idx="36">
                  <c:v>105.978801374</c:v>
                </c:pt>
                <c:pt idx="37">
                  <c:v>107.880885507</c:v>
                </c:pt>
                <c:pt idx="38">
                  <c:v>109.11849751600001</c:v>
                </c:pt>
              </c:numCache>
            </c:numRef>
          </c:val>
          <c:smooth val="0"/>
          <c:extLst>
            <c:ext xmlns:c16="http://schemas.microsoft.com/office/drawing/2014/chart" uri="{C3380CC4-5D6E-409C-BE32-E72D297353CC}">
              <c16:uniqueId val="{0000002F-6CBE-4170-922B-3D7F3235ED5D}"/>
            </c:ext>
          </c:extLst>
        </c:ser>
        <c:dLbls>
          <c:showLegendKey val="0"/>
          <c:showVal val="0"/>
          <c:showCatName val="0"/>
          <c:showSerName val="0"/>
          <c:showPercent val="0"/>
          <c:showBubbleSize val="0"/>
        </c:dLbls>
        <c:marker val="1"/>
        <c:smooth val="0"/>
        <c:axId val="2092167600"/>
        <c:axId val="2092172496"/>
      </c:lineChart>
      <c:dateAx>
        <c:axId val="20921676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2496"/>
        <c:crosses val="autoZero"/>
        <c:auto val="1"/>
        <c:lblOffset val="0"/>
        <c:baseTimeUnit val="months"/>
        <c:majorUnit val="12"/>
        <c:majorTimeUnit val="months"/>
      </c:dateAx>
      <c:valAx>
        <c:axId val="2092172496"/>
        <c:scaling>
          <c:orientation val="minMax"/>
          <c:max val="165"/>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67600"/>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graf'!$Q$7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68178611553838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0B6-497B-A993-09B20D89DE2C}"/>
                </c:ext>
              </c:extLst>
            </c:dLbl>
            <c:dLbl>
              <c:idx val="12"/>
              <c:layout>
                <c:manualLayout>
                  <c:x val="7.1083008909675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0B6-497B-A993-09B20D89DE2C}"/>
                </c:ext>
              </c:extLst>
            </c:dLbl>
            <c:dLbl>
              <c:idx val="24"/>
              <c:layout>
                <c:manualLayout>
                  <c:x val="6.761529015232670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0B6-497B-A993-09B20D89DE2C}"/>
                </c:ext>
              </c:extLst>
            </c:dLbl>
            <c:dLbl>
              <c:idx val="36"/>
              <c:layout>
                <c:manualLayout>
                  <c:x val="-1.899581079786446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0B6-497B-A993-09B20D89DE2C}"/>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graf'!$Q$44:$Q$82</c:f>
              <c:numCache>
                <c:formatCode>General</c:formatCode>
                <c:ptCount val="39"/>
                <c:pt idx="0">
                  <c:v>0</c:v>
                </c:pt>
                <c:pt idx="12">
                  <c:v>0</c:v>
                </c:pt>
                <c:pt idx="24">
                  <c:v>0</c:v>
                </c:pt>
                <c:pt idx="36">
                  <c:v>0</c:v>
                </c:pt>
              </c:numCache>
            </c:numRef>
          </c:val>
          <c:smooth val="0"/>
          <c:extLst>
            <c:ext xmlns:c16="http://schemas.microsoft.com/office/drawing/2014/chart" uri="{C3380CC4-5D6E-409C-BE32-E72D297353CC}">
              <c16:uniqueId val="{00000004-A0B6-497B-A993-09B20D89DE2C}"/>
            </c:ext>
          </c:extLst>
        </c:ser>
        <c:ser>
          <c:idx val="4"/>
          <c:order val="1"/>
          <c:tx>
            <c:strRef>
              <c:f>'Prerađivačka_6 graf'!$R$7</c:f>
              <c:strCache>
                <c:ptCount val="1"/>
                <c:pt idx="0">
                  <c:v>Series5</c:v>
                </c:pt>
              </c:strCache>
            </c:strRef>
          </c:tx>
          <c:spPr>
            <a:ln w="25400" cap="rnd">
              <a:noFill/>
              <a:round/>
            </a:ln>
            <a:effectLst/>
          </c:spPr>
          <c:marker>
            <c:symbol val="none"/>
          </c:marker>
          <c:dLbls>
            <c:dLbl>
              <c:idx val="0"/>
              <c:tx>
                <c:rich>
                  <a:bodyPr/>
                  <a:lstStyle/>
                  <a:p>
                    <a:fld id="{44881E4A-06FF-4178-B4BD-B30E23F824A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A0B6-497B-A993-09B20D89DE2C}"/>
                </c:ext>
              </c:extLst>
            </c:dLbl>
            <c:dLbl>
              <c:idx val="1"/>
              <c:tx>
                <c:rich>
                  <a:bodyPr/>
                  <a:lstStyle/>
                  <a:p>
                    <a:fld id="{8B22A252-2401-4C74-941C-B6488D8BA54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A0B6-497B-A993-09B20D89DE2C}"/>
                </c:ext>
              </c:extLst>
            </c:dLbl>
            <c:dLbl>
              <c:idx val="2"/>
              <c:tx>
                <c:rich>
                  <a:bodyPr/>
                  <a:lstStyle/>
                  <a:p>
                    <a:fld id="{39912B84-74F4-4808-A1F9-2E551973CB7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A0B6-497B-A993-09B20D89DE2C}"/>
                </c:ext>
              </c:extLst>
            </c:dLbl>
            <c:dLbl>
              <c:idx val="3"/>
              <c:tx>
                <c:rich>
                  <a:bodyPr/>
                  <a:lstStyle/>
                  <a:p>
                    <a:fld id="{7937C1AE-5133-4366-B463-CD98CDDCBB2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0B6-497B-A993-09B20D89DE2C}"/>
                </c:ext>
              </c:extLst>
            </c:dLbl>
            <c:dLbl>
              <c:idx val="4"/>
              <c:tx>
                <c:rich>
                  <a:bodyPr/>
                  <a:lstStyle/>
                  <a:p>
                    <a:fld id="{C85DE489-1467-4D4C-B5DB-FFB9332B611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A0B6-497B-A993-09B20D89DE2C}"/>
                </c:ext>
              </c:extLst>
            </c:dLbl>
            <c:dLbl>
              <c:idx val="5"/>
              <c:tx>
                <c:rich>
                  <a:bodyPr/>
                  <a:lstStyle/>
                  <a:p>
                    <a:fld id="{9795C03F-F3B4-412C-96A0-13D95DFBA48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A0B6-497B-A993-09B20D89DE2C}"/>
                </c:ext>
              </c:extLst>
            </c:dLbl>
            <c:dLbl>
              <c:idx val="6"/>
              <c:tx>
                <c:rich>
                  <a:bodyPr/>
                  <a:lstStyle/>
                  <a:p>
                    <a:fld id="{7B61CCF3-233A-477A-BA2C-A9875BD3FBB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0B6-497B-A993-09B20D89DE2C}"/>
                </c:ext>
              </c:extLst>
            </c:dLbl>
            <c:dLbl>
              <c:idx val="7"/>
              <c:tx>
                <c:rich>
                  <a:bodyPr/>
                  <a:lstStyle/>
                  <a:p>
                    <a:fld id="{CBBC3D77-AD4F-4D8F-9487-0D0E53423B9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A0B6-497B-A993-09B20D89DE2C}"/>
                </c:ext>
              </c:extLst>
            </c:dLbl>
            <c:dLbl>
              <c:idx val="8"/>
              <c:tx>
                <c:rich>
                  <a:bodyPr/>
                  <a:lstStyle/>
                  <a:p>
                    <a:fld id="{5E2DA9AD-75F9-4236-AB38-AD1CD2E60FC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A0B6-497B-A993-09B20D89DE2C}"/>
                </c:ext>
              </c:extLst>
            </c:dLbl>
            <c:dLbl>
              <c:idx val="9"/>
              <c:tx>
                <c:rich>
                  <a:bodyPr/>
                  <a:lstStyle/>
                  <a:p>
                    <a:fld id="{5445E816-8157-4A23-AFD1-2328837A5A9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A0B6-497B-A993-09B20D89DE2C}"/>
                </c:ext>
              </c:extLst>
            </c:dLbl>
            <c:dLbl>
              <c:idx val="10"/>
              <c:tx>
                <c:rich>
                  <a:bodyPr/>
                  <a:lstStyle/>
                  <a:p>
                    <a:fld id="{F826066C-3023-406B-AA34-B61F64B3C7A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A0B6-497B-A993-09B20D89DE2C}"/>
                </c:ext>
              </c:extLst>
            </c:dLbl>
            <c:dLbl>
              <c:idx val="11"/>
              <c:tx>
                <c:rich>
                  <a:bodyPr/>
                  <a:lstStyle/>
                  <a:p>
                    <a:fld id="{C57C6E62-5A1D-42F8-8459-D2DDBEDCB6E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A0B6-497B-A993-09B20D89DE2C}"/>
                </c:ext>
              </c:extLst>
            </c:dLbl>
            <c:dLbl>
              <c:idx val="12"/>
              <c:tx>
                <c:rich>
                  <a:bodyPr/>
                  <a:lstStyle/>
                  <a:p>
                    <a:fld id="{6DDAF600-5159-4C2C-9B7D-EFD1AD53114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A0B6-497B-A993-09B20D89DE2C}"/>
                </c:ext>
              </c:extLst>
            </c:dLbl>
            <c:dLbl>
              <c:idx val="13"/>
              <c:tx>
                <c:rich>
                  <a:bodyPr/>
                  <a:lstStyle/>
                  <a:p>
                    <a:fld id="{C94ACCBF-3F02-4EDE-AA2D-10244F23AE2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A0B6-497B-A993-09B20D89DE2C}"/>
                </c:ext>
              </c:extLst>
            </c:dLbl>
            <c:dLbl>
              <c:idx val="14"/>
              <c:tx>
                <c:rich>
                  <a:bodyPr/>
                  <a:lstStyle/>
                  <a:p>
                    <a:fld id="{C26EF195-9C96-41A1-8A3D-ED640869DD4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A0B6-497B-A993-09B20D89DE2C}"/>
                </c:ext>
              </c:extLst>
            </c:dLbl>
            <c:dLbl>
              <c:idx val="15"/>
              <c:tx>
                <c:rich>
                  <a:bodyPr/>
                  <a:lstStyle/>
                  <a:p>
                    <a:fld id="{7452525F-FC72-40BC-9326-0A0CF13A8CC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A0B6-497B-A993-09B20D89DE2C}"/>
                </c:ext>
              </c:extLst>
            </c:dLbl>
            <c:dLbl>
              <c:idx val="16"/>
              <c:tx>
                <c:rich>
                  <a:bodyPr/>
                  <a:lstStyle/>
                  <a:p>
                    <a:fld id="{11102DD1-9F48-418C-A0CD-274A59ACF34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A0B6-497B-A993-09B20D89DE2C}"/>
                </c:ext>
              </c:extLst>
            </c:dLbl>
            <c:dLbl>
              <c:idx val="17"/>
              <c:tx>
                <c:rich>
                  <a:bodyPr/>
                  <a:lstStyle/>
                  <a:p>
                    <a:fld id="{F82DBF77-804F-4049-B4D3-DC4F3857C7C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A0B6-497B-A993-09B20D89DE2C}"/>
                </c:ext>
              </c:extLst>
            </c:dLbl>
            <c:dLbl>
              <c:idx val="18"/>
              <c:tx>
                <c:rich>
                  <a:bodyPr/>
                  <a:lstStyle/>
                  <a:p>
                    <a:fld id="{6BD8AC9B-EB54-4D2E-84B0-D9E0B3307D9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A0B6-497B-A993-09B20D89DE2C}"/>
                </c:ext>
              </c:extLst>
            </c:dLbl>
            <c:dLbl>
              <c:idx val="19"/>
              <c:tx>
                <c:rich>
                  <a:bodyPr/>
                  <a:lstStyle/>
                  <a:p>
                    <a:fld id="{C84CACF3-89A8-4E91-B275-6DD7DCD2DA3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A0B6-497B-A993-09B20D89DE2C}"/>
                </c:ext>
              </c:extLst>
            </c:dLbl>
            <c:dLbl>
              <c:idx val="20"/>
              <c:tx>
                <c:rich>
                  <a:bodyPr/>
                  <a:lstStyle/>
                  <a:p>
                    <a:fld id="{E0BA8576-3DE4-410A-A1F9-EEA18205652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A0B6-497B-A993-09B20D89DE2C}"/>
                </c:ext>
              </c:extLst>
            </c:dLbl>
            <c:dLbl>
              <c:idx val="21"/>
              <c:tx>
                <c:rich>
                  <a:bodyPr/>
                  <a:lstStyle/>
                  <a:p>
                    <a:fld id="{E1BED6F7-9983-4DBC-898A-307E7278DCD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A0B6-497B-A993-09B20D89DE2C}"/>
                </c:ext>
              </c:extLst>
            </c:dLbl>
            <c:dLbl>
              <c:idx val="22"/>
              <c:tx>
                <c:rich>
                  <a:bodyPr/>
                  <a:lstStyle/>
                  <a:p>
                    <a:fld id="{2091A040-04AD-4D26-9F8E-6A7688046C3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A0B6-497B-A993-09B20D89DE2C}"/>
                </c:ext>
              </c:extLst>
            </c:dLbl>
            <c:dLbl>
              <c:idx val="23"/>
              <c:tx>
                <c:rich>
                  <a:bodyPr/>
                  <a:lstStyle/>
                  <a:p>
                    <a:fld id="{FF383676-36E3-4AE5-AC5C-39290CECDF9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A0B6-497B-A993-09B20D89DE2C}"/>
                </c:ext>
              </c:extLst>
            </c:dLbl>
            <c:dLbl>
              <c:idx val="24"/>
              <c:tx>
                <c:rich>
                  <a:bodyPr/>
                  <a:lstStyle/>
                  <a:p>
                    <a:fld id="{8D034D79-74F6-4057-8DC1-C2F0D35C595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A0B6-497B-A993-09B20D89DE2C}"/>
                </c:ext>
              </c:extLst>
            </c:dLbl>
            <c:dLbl>
              <c:idx val="25"/>
              <c:tx>
                <c:rich>
                  <a:bodyPr/>
                  <a:lstStyle/>
                  <a:p>
                    <a:fld id="{FEAB2356-9194-4FDF-9451-795254CFD0A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A0B6-497B-A993-09B20D89DE2C}"/>
                </c:ext>
              </c:extLst>
            </c:dLbl>
            <c:dLbl>
              <c:idx val="26"/>
              <c:tx>
                <c:rich>
                  <a:bodyPr/>
                  <a:lstStyle/>
                  <a:p>
                    <a:fld id="{A79C76F2-985F-464F-AF50-8A4B26A947A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A0B6-497B-A993-09B20D89DE2C}"/>
                </c:ext>
              </c:extLst>
            </c:dLbl>
            <c:dLbl>
              <c:idx val="27"/>
              <c:tx>
                <c:rich>
                  <a:bodyPr/>
                  <a:lstStyle/>
                  <a:p>
                    <a:fld id="{DCBE63FC-DB3F-4671-8722-223A100C86F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A0B6-497B-A993-09B20D89DE2C}"/>
                </c:ext>
              </c:extLst>
            </c:dLbl>
            <c:dLbl>
              <c:idx val="28"/>
              <c:tx>
                <c:rich>
                  <a:bodyPr/>
                  <a:lstStyle/>
                  <a:p>
                    <a:fld id="{72D18800-D237-4EEC-B5DC-E803CA3CFFD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A0B6-497B-A993-09B20D89DE2C}"/>
                </c:ext>
              </c:extLst>
            </c:dLbl>
            <c:dLbl>
              <c:idx val="29"/>
              <c:tx>
                <c:rich>
                  <a:bodyPr/>
                  <a:lstStyle/>
                  <a:p>
                    <a:fld id="{AA51F3D5-6469-4BAB-B625-215E489E787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A0B6-497B-A993-09B20D89DE2C}"/>
                </c:ext>
              </c:extLst>
            </c:dLbl>
            <c:dLbl>
              <c:idx val="30"/>
              <c:tx>
                <c:rich>
                  <a:bodyPr/>
                  <a:lstStyle/>
                  <a:p>
                    <a:fld id="{4B65D9B8-4FFB-497F-A814-1B09EDBBEA0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A0B6-497B-A993-09B20D89DE2C}"/>
                </c:ext>
              </c:extLst>
            </c:dLbl>
            <c:dLbl>
              <c:idx val="31"/>
              <c:tx>
                <c:rich>
                  <a:bodyPr/>
                  <a:lstStyle/>
                  <a:p>
                    <a:fld id="{B3822005-799B-4CFA-B9D7-89BAF61068A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A0B6-497B-A993-09B20D89DE2C}"/>
                </c:ext>
              </c:extLst>
            </c:dLbl>
            <c:dLbl>
              <c:idx val="32"/>
              <c:tx>
                <c:rich>
                  <a:bodyPr/>
                  <a:lstStyle/>
                  <a:p>
                    <a:fld id="{4692570D-78AA-42A2-AB2E-D2D8D205E9E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A0B6-497B-A993-09B20D89DE2C}"/>
                </c:ext>
              </c:extLst>
            </c:dLbl>
            <c:dLbl>
              <c:idx val="33"/>
              <c:tx>
                <c:rich>
                  <a:bodyPr/>
                  <a:lstStyle/>
                  <a:p>
                    <a:fld id="{7F25EDDF-4C0B-4914-B3FD-C77D5D8D6AE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A0B6-497B-A993-09B20D89DE2C}"/>
                </c:ext>
              </c:extLst>
            </c:dLbl>
            <c:dLbl>
              <c:idx val="34"/>
              <c:tx>
                <c:rich>
                  <a:bodyPr/>
                  <a:lstStyle/>
                  <a:p>
                    <a:fld id="{178188EB-677E-4E16-93B7-7D20D84FC5D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A0B6-497B-A993-09B20D89DE2C}"/>
                </c:ext>
              </c:extLst>
            </c:dLbl>
            <c:dLbl>
              <c:idx val="35"/>
              <c:tx>
                <c:rich>
                  <a:bodyPr/>
                  <a:lstStyle/>
                  <a:p>
                    <a:fld id="{9973427F-F17B-437F-8E22-2A2BD883D57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A0B6-497B-A993-09B20D89DE2C}"/>
                </c:ext>
              </c:extLst>
            </c:dLbl>
            <c:dLbl>
              <c:idx val="36"/>
              <c:tx>
                <c:rich>
                  <a:bodyPr/>
                  <a:lstStyle/>
                  <a:p>
                    <a:fld id="{9AF63537-3D54-4C26-9C3F-A200132C082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A0B6-497B-A993-09B20D89DE2C}"/>
                </c:ext>
              </c:extLst>
            </c:dLbl>
            <c:dLbl>
              <c:idx val="37"/>
              <c:tx>
                <c:rich>
                  <a:bodyPr/>
                  <a:lstStyle/>
                  <a:p>
                    <a:fld id="{73D1FD02-C5C6-4EDA-8DE6-1B893DE2535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A0B6-497B-A993-09B20D89DE2C}"/>
                </c:ext>
              </c:extLst>
            </c:dLbl>
            <c:dLbl>
              <c:idx val="38"/>
              <c:tx>
                <c:rich>
                  <a:bodyPr/>
                  <a:lstStyle/>
                  <a:p>
                    <a:fld id="{B7E940B4-D89A-4A87-AA7A-36FB383DCA0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A0B6-497B-A993-09B20D89DE2C}"/>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graf'!$R$44:$R$82</c:f>
              <c:numCache>
                <c:formatCode>General</c:formatCode>
                <c:ptCount val="3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A0B6-497B-A993-09B20D89DE2C}"/>
            </c:ext>
          </c:extLst>
        </c:ser>
        <c:ser>
          <c:idx val="0"/>
          <c:order val="2"/>
          <c:tx>
            <c:strRef>
              <c:f>'Prerađivačka_6 graf'!$S$7</c:f>
              <c:strCache>
                <c:ptCount val="1"/>
                <c:pt idx="0">
                  <c:v>y</c:v>
                </c:pt>
              </c:strCache>
            </c:strRef>
          </c:tx>
          <c:spPr>
            <a:ln w="12700" cap="rnd">
              <a:solidFill>
                <a:srgbClr val="92278F"/>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graf'!$S$44:$S$82</c:f>
              <c:numCache>
                <c:formatCode>#.#00</c:formatCode>
                <c:ptCount val="39"/>
                <c:pt idx="0">
                  <c:v>78.339542309999999</c:v>
                </c:pt>
                <c:pt idx="1">
                  <c:v>72.591804151000005</c:v>
                </c:pt>
                <c:pt idx="2">
                  <c:v>81.106971794000003</c:v>
                </c:pt>
                <c:pt idx="3">
                  <c:v>51.091005854000002</c:v>
                </c:pt>
                <c:pt idx="4">
                  <c:v>64.999113003000005</c:v>
                </c:pt>
                <c:pt idx="5">
                  <c:v>85.648394535999998</c:v>
                </c:pt>
                <c:pt idx="6">
                  <c:v>87.777186447000005</c:v>
                </c:pt>
                <c:pt idx="7">
                  <c:v>82.313287209999999</c:v>
                </c:pt>
                <c:pt idx="8">
                  <c:v>90.757495121999995</c:v>
                </c:pt>
                <c:pt idx="9">
                  <c:v>91.609011886000005</c:v>
                </c:pt>
                <c:pt idx="10">
                  <c:v>81.958488557999999</c:v>
                </c:pt>
                <c:pt idx="11">
                  <c:v>88.415824020000002</c:v>
                </c:pt>
                <c:pt idx="12">
                  <c:v>89.835018626999997</c:v>
                </c:pt>
                <c:pt idx="13">
                  <c:v>90.544615930000006</c:v>
                </c:pt>
                <c:pt idx="14">
                  <c:v>32.783395423000002</c:v>
                </c:pt>
                <c:pt idx="15">
                  <c:v>88.273904559000002</c:v>
                </c:pt>
                <c:pt idx="16">
                  <c:v>75.004434982999996</c:v>
                </c:pt>
                <c:pt idx="17">
                  <c:v>91.750931346000002</c:v>
                </c:pt>
                <c:pt idx="18">
                  <c:v>99.272662764000003</c:v>
                </c:pt>
                <c:pt idx="19">
                  <c:v>101.47241440499999</c:v>
                </c:pt>
                <c:pt idx="20">
                  <c:v>97.001951392999999</c:v>
                </c:pt>
                <c:pt idx="21">
                  <c:v>101.046656023</c:v>
                </c:pt>
                <c:pt idx="22">
                  <c:v>98.066347347999994</c:v>
                </c:pt>
                <c:pt idx="23">
                  <c:v>93.028206492999999</c:v>
                </c:pt>
                <c:pt idx="24">
                  <c:v>76.099999999999994</c:v>
                </c:pt>
                <c:pt idx="25">
                  <c:v>80.715705764999996</c:v>
                </c:pt>
                <c:pt idx="26">
                  <c:v>99.558011050000005</c:v>
                </c:pt>
                <c:pt idx="27">
                  <c:v>104.9</c:v>
                </c:pt>
                <c:pt idx="28">
                  <c:v>111.3</c:v>
                </c:pt>
                <c:pt idx="29">
                  <c:v>108.3</c:v>
                </c:pt>
                <c:pt idx="30">
                  <c:v>107.6</c:v>
                </c:pt>
                <c:pt idx="31">
                  <c:v>99.9</c:v>
                </c:pt>
                <c:pt idx="32">
                  <c:v>105</c:v>
                </c:pt>
                <c:pt idx="33">
                  <c:v>104.9</c:v>
                </c:pt>
                <c:pt idx="34">
                  <c:v>101.1</c:v>
                </c:pt>
                <c:pt idx="35">
                  <c:v>100.6</c:v>
                </c:pt>
                <c:pt idx="36">
                  <c:v>91.2</c:v>
                </c:pt>
                <c:pt idx="37">
                  <c:v>81.2</c:v>
                </c:pt>
                <c:pt idx="38">
                  <c:v>90.1</c:v>
                </c:pt>
              </c:numCache>
            </c:numRef>
          </c:val>
          <c:smooth val="0"/>
          <c:extLst>
            <c:ext xmlns:c16="http://schemas.microsoft.com/office/drawing/2014/chart" uri="{C3380CC4-5D6E-409C-BE32-E72D297353CC}">
              <c16:uniqueId val="{0000002D-A0B6-497B-A993-09B20D89DE2C}"/>
            </c:ext>
          </c:extLst>
        </c:ser>
        <c:ser>
          <c:idx val="1"/>
          <c:order val="3"/>
          <c:tx>
            <c:strRef>
              <c:f>'Prerađivačka_6 graf'!$T$7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graf'!$T$44:$T$82</c:f>
              <c:numCache>
                <c:formatCode>#.#00</c:formatCode>
                <c:ptCount val="39"/>
                <c:pt idx="0">
                  <c:v>84.983890216000006</c:v>
                </c:pt>
                <c:pt idx="1">
                  <c:v>87.592591915</c:v>
                </c:pt>
                <c:pt idx="2">
                  <c:v>85.151864348000004</c:v>
                </c:pt>
                <c:pt idx="3">
                  <c:v>56.375558173999998</c:v>
                </c:pt>
                <c:pt idx="4">
                  <c:v>62.803019053</c:v>
                </c:pt>
                <c:pt idx="5">
                  <c:v>84.292245817999998</c:v>
                </c:pt>
                <c:pt idx="6">
                  <c:v>82.096337958999996</c:v>
                </c:pt>
                <c:pt idx="7">
                  <c:v>78.453125541000006</c:v>
                </c:pt>
                <c:pt idx="8">
                  <c:v>84.057257324999995</c:v>
                </c:pt>
                <c:pt idx="9">
                  <c:v>85.325849297000005</c:v>
                </c:pt>
                <c:pt idx="10">
                  <c:v>76.382256161000001</c:v>
                </c:pt>
                <c:pt idx="11">
                  <c:v>90.038630423000001</c:v>
                </c:pt>
                <c:pt idx="12">
                  <c:v>96.298296429999994</c:v>
                </c:pt>
                <c:pt idx="13">
                  <c:v>105.65722912699999</c:v>
                </c:pt>
                <c:pt idx="14">
                  <c:v>36.598652487000003</c:v>
                </c:pt>
                <c:pt idx="15">
                  <c:v>92.549899148999998</c:v>
                </c:pt>
                <c:pt idx="16">
                  <c:v>72.422413560999999</c:v>
                </c:pt>
                <c:pt idx="17">
                  <c:v>89.703940238000001</c:v>
                </c:pt>
                <c:pt idx="18">
                  <c:v>93.346781269999994</c:v>
                </c:pt>
                <c:pt idx="19">
                  <c:v>98.518472066000001</c:v>
                </c:pt>
                <c:pt idx="20">
                  <c:v>91.138615454000004</c:v>
                </c:pt>
                <c:pt idx="21">
                  <c:v>95.064750771000007</c:v>
                </c:pt>
                <c:pt idx="22">
                  <c:v>93.499664209000002</c:v>
                </c:pt>
                <c:pt idx="23">
                  <c:v>94.047347236999997</c:v>
                </c:pt>
                <c:pt idx="24">
                  <c:v>82.396400044000004</c:v>
                </c:pt>
                <c:pt idx="25">
                  <c:v>95.916695086000004</c:v>
                </c:pt>
                <c:pt idx="26">
                  <c:v>103.214909355</c:v>
                </c:pt>
                <c:pt idx="27">
                  <c:v>108.431963639</c:v>
                </c:pt>
                <c:pt idx="28">
                  <c:v>108.34614875600001</c:v>
                </c:pt>
                <c:pt idx="29">
                  <c:v>105.969535815</c:v>
                </c:pt>
                <c:pt idx="30">
                  <c:v>101.582540458</c:v>
                </c:pt>
                <c:pt idx="31">
                  <c:v>97.219592116000001</c:v>
                </c:pt>
                <c:pt idx="32">
                  <c:v>99.808205826000005</c:v>
                </c:pt>
                <c:pt idx="33">
                  <c:v>98.872800885999993</c:v>
                </c:pt>
                <c:pt idx="34">
                  <c:v>97.241005560999994</c:v>
                </c:pt>
                <c:pt idx="35">
                  <c:v>101.323239507</c:v>
                </c:pt>
                <c:pt idx="36">
                  <c:v>97.581130633000001</c:v>
                </c:pt>
                <c:pt idx="37">
                  <c:v>96.505304206999995</c:v>
                </c:pt>
                <c:pt idx="38">
                  <c:v>93.513886447999994</c:v>
                </c:pt>
              </c:numCache>
            </c:numRef>
          </c:val>
          <c:smooth val="0"/>
          <c:extLst>
            <c:ext xmlns:c16="http://schemas.microsoft.com/office/drawing/2014/chart" uri="{C3380CC4-5D6E-409C-BE32-E72D297353CC}">
              <c16:uniqueId val="{0000002E-A0B6-497B-A993-09B20D89DE2C}"/>
            </c:ext>
          </c:extLst>
        </c:ser>
        <c:ser>
          <c:idx val="2"/>
          <c:order val="4"/>
          <c:tx>
            <c:strRef>
              <c:f>'Prerađivačka_6 graf'!$U$7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graf'!$U$44:$U$82</c:f>
              <c:numCache>
                <c:formatCode>#.#00</c:formatCode>
                <c:ptCount val="39"/>
                <c:pt idx="0">
                  <c:v>87.413575272000003</c:v>
                </c:pt>
                <c:pt idx="1">
                  <c:v>86.510031217000005</c:v>
                </c:pt>
                <c:pt idx="2">
                  <c:v>85.570288590000004</c:v>
                </c:pt>
                <c:pt idx="3">
                  <c:v>84.700451946000001</c:v>
                </c:pt>
                <c:pt idx="4">
                  <c:v>84.014936456000001</c:v>
                </c:pt>
                <c:pt idx="5">
                  <c:v>83.625054888999998</c:v>
                </c:pt>
                <c:pt idx="6">
                  <c:v>83.598233457999996</c:v>
                </c:pt>
                <c:pt idx="7">
                  <c:v>84.016907008000004</c:v>
                </c:pt>
                <c:pt idx="8">
                  <c:v>84.867352675999996</c:v>
                </c:pt>
                <c:pt idx="9">
                  <c:v>86.048548870000005</c:v>
                </c:pt>
                <c:pt idx="10">
                  <c:v>87.449221855000005</c:v>
                </c:pt>
                <c:pt idx="11">
                  <c:v>88.921236964000002</c:v>
                </c:pt>
                <c:pt idx="12">
                  <c:v>90.315289919999998</c:v>
                </c:pt>
                <c:pt idx="13">
                  <c:v>91.488620581000006</c:v>
                </c:pt>
                <c:pt idx="14">
                  <c:v>92.350175637999996</c:v>
                </c:pt>
                <c:pt idx="15">
                  <c:v>92.878720068999996</c:v>
                </c:pt>
                <c:pt idx="16">
                  <c:v>93.110425137999997</c:v>
                </c:pt>
                <c:pt idx="17">
                  <c:v>93.159295391000001</c:v>
                </c:pt>
                <c:pt idx="18">
                  <c:v>93.177858219000001</c:v>
                </c:pt>
                <c:pt idx="19">
                  <c:v>93.277656540999999</c:v>
                </c:pt>
                <c:pt idx="20">
                  <c:v>93.554425705</c:v>
                </c:pt>
                <c:pt idx="21">
                  <c:v>94.110238491999993</c:v>
                </c:pt>
                <c:pt idx="22">
                  <c:v>94.956685252</c:v>
                </c:pt>
                <c:pt idx="23">
                  <c:v>96.03772567</c:v>
                </c:pt>
                <c:pt idx="24">
                  <c:v>97.260533472000006</c:v>
                </c:pt>
                <c:pt idx="25">
                  <c:v>98.490487740000006</c:v>
                </c:pt>
                <c:pt idx="26">
                  <c:v>99.599051067999994</c:v>
                </c:pt>
                <c:pt idx="27">
                  <c:v>100.49646316</c:v>
                </c:pt>
                <c:pt idx="28">
                  <c:v>101.122728745</c:v>
                </c:pt>
                <c:pt idx="29">
                  <c:v>101.412976434</c:v>
                </c:pt>
                <c:pt idx="30">
                  <c:v>101.32096351600001</c:v>
                </c:pt>
                <c:pt idx="31">
                  <c:v>100.884419298</c:v>
                </c:pt>
                <c:pt idx="32">
                  <c:v>100.213251039</c:v>
                </c:pt>
                <c:pt idx="33">
                  <c:v>99.399992607000001</c:v>
                </c:pt>
                <c:pt idx="34">
                  <c:v>98.563753277000004</c:v>
                </c:pt>
                <c:pt idx="35">
                  <c:v>97.801774088000002</c:v>
                </c:pt>
                <c:pt idx="36">
                  <c:v>97.179212836000005</c:v>
                </c:pt>
                <c:pt idx="37">
                  <c:v>96.741942692999999</c:v>
                </c:pt>
                <c:pt idx="38">
                  <c:v>96.494456725000006</c:v>
                </c:pt>
              </c:numCache>
            </c:numRef>
          </c:val>
          <c:smooth val="0"/>
          <c:extLst>
            <c:ext xmlns:c16="http://schemas.microsoft.com/office/drawing/2014/chart" uri="{C3380CC4-5D6E-409C-BE32-E72D297353CC}">
              <c16:uniqueId val="{0000002F-A0B6-497B-A993-09B20D89DE2C}"/>
            </c:ext>
          </c:extLst>
        </c:ser>
        <c:dLbls>
          <c:showLegendKey val="0"/>
          <c:showVal val="0"/>
          <c:showCatName val="0"/>
          <c:showSerName val="0"/>
          <c:showPercent val="0"/>
          <c:showBubbleSize val="0"/>
        </c:dLbls>
        <c:marker val="1"/>
        <c:smooth val="0"/>
        <c:axId val="2092134960"/>
        <c:axId val="2092135504"/>
      </c:lineChart>
      <c:dateAx>
        <c:axId val="209213496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35504"/>
        <c:crosses val="autoZero"/>
        <c:auto val="1"/>
        <c:lblOffset val="0"/>
        <c:baseTimeUnit val="months"/>
        <c:majorUnit val="12"/>
        <c:majorTimeUnit val="months"/>
      </c:dateAx>
      <c:valAx>
        <c:axId val="2092135504"/>
        <c:scaling>
          <c:orientation val="minMax"/>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3496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graf'!$BA$7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299262709008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C66-46D2-AB13-F5B1CEC0370D}"/>
                </c:ext>
              </c:extLst>
            </c:dLbl>
            <c:dLbl>
              <c:idx val="12"/>
              <c:layout>
                <c:manualLayout>
                  <c:x val="7.078404730482976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C66-46D2-AB13-F5B1CEC0370D}"/>
                </c:ext>
              </c:extLst>
            </c:dLbl>
            <c:dLbl>
              <c:idx val="24"/>
              <c:layout>
                <c:manualLayout>
                  <c:x val="7.20180348269542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C66-46D2-AB13-F5B1CEC0370D}"/>
                </c:ext>
              </c:extLst>
            </c:dLbl>
            <c:dLbl>
              <c:idx val="36"/>
              <c:layout>
                <c:manualLayout>
                  <c:x val="-1.902522303949840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C66-46D2-AB13-F5B1CEC0370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graf'!$BA$44:$BA$82</c:f>
              <c:numCache>
                <c:formatCode>General</c:formatCode>
                <c:ptCount val="39"/>
                <c:pt idx="0">
                  <c:v>40</c:v>
                </c:pt>
                <c:pt idx="12">
                  <c:v>40</c:v>
                </c:pt>
                <c:pt idx="24">
                  <c:v>40</c:v>
                </c:pt>
                <c:pt idx="36">
                  <c:v>40</c:v>
                </c:pt>
              </c:numCache>
            </c:numRef>
          </c:val>
          <c:smooth val="0"/>
          <c:extLst>
            <c:ext xmlns:c16="http://schemas.microsoft.com/office/drawing/2014/chart" uri="{C3380CC4-5D6E-409C-BE32-E72D297353CC}">
              <c16:uniqueId val="{00000004-EC66-46D2-AB13-F5B1CEC0370D}"/>
            </c:ext>
          </c:extLst>
        </c:ser>
        <c:ser>
          <c:idx val="4"/>
          <c:order val="1"/>
          <c:tx>
            <c:strRef>
              <c:f>'Prerađivačka_6 graf'!$BB$7</c:f>
              <c:strCache>
                <c:ptCount val="1"/>
                <c:pt idx="0">
                  <c:v>Series5</c:v>
                </c:pt>
              </c:strCache>
            </c:strRef>
          </c:tx>
          <c:spPr>
            <a:ln w="25400" cap="rnd">
              <a:noFill/>
              <a:round/>
            </a:ln>
            <a:effectLst/>
          </c:spPr>
          <c:marker>
            <c:symbol val="none"/>
          </c:marker>
          <c:dLbls>
            <c:dLbl>
              <c:idx val="0"/>
              <c:tx>
                <c:rich>
                  <a:bodyPr/>
                  <a:lstStyle/>
                  <a:p>
                    <a:fld id="{BCCC7D03-4DC0-4AC8-B822-4BD02E559E5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EC66-46D2-AB13-F5B1CEC0370D}"/>
                </c:ext>
              </c:extLst>
            </c:dLbl>
            <c:dLbl>
              <c:idx val="1"/>
              <c:tx>
                <c:rich>
                  <a:bodyPr/>
                  <a:lstStyle/>
                  <a:p>
                    <a:fld id="{710353FA-CFE4-4D8C-8C9E-C527A8C9EE7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EC66-46D2-AB13-F5B1CEC0370D}"/>
                </c:ext>
              </c:extLst>
            </c:dLbl>
            <c:dLbl>
              <c:idx val="2"/>
              <c:tx>
                <c:rich>
                  <a:bodyPr/>
                  <a:lstStyle/>
                  <a:p>
                    <a:fld id="{F4D297B7-A059-4EFD-B6CB-21A8800DEC7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EC66-46D2-AB13-F5B1CEC0370D}"/>
                </c:ext>
              </c:extLst>
            </c:dLbl>
            <c:dLbl>
              <c:idx val="3"/>
              <c:tx>
                <c:rich>
                  <a:bodyPr/>
                  <a:lstStyle/>
                  <a:p>
                    <a:fld id="{54FBBDED-B8FB-4EE3-9C8B-A15B9F70ED8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EC66-46D2-AB13-F5B1CEC0370D}"/>
                </c:ext>
              </c:extLst>
            </c:dLbl>
            <c:dLbl>
              <c:idx val="4"/>
              <c:tx>
                <c:rich>
                  <a:bodyPr/>
                  <a:lstStyle/>
                  <a:p>
                    <a:fld id="{C02BE1DD-BC7A-4CE9-8B15-89B78A01D9C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EC66-46D2-AB13-F5B1CEC0370D}"/>
                </c:ext>
              </c:extLst>
            </c:dLbl>
            <c:dLbl>
              <c:idx val="5"/>
              <c:tx>
                <c:rich>
                  <a:bodyPr/>
                  <a:lstStyle/>
                  <a:p>
                    <a:fld id="{10CC431C-B25E-4492-A12D-759C419E6AB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EC66-46D2-AB13-F5B1CEC0370D}"/>
                </c:ext>
              </c:extLst>
            </c:dLbl>
            <c:dLbl>
              <c:idx val="6"/>
              <c:tx>
                <c:rich>
                  <a:bodyPr/>
                  <a:lstStyle/>
                  <a:p>
                    <a:fld id="{5DD4828B-72EE-4E7A-B110-DC288CC68B2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EC66-46D2-AB13-F5B1CEC0370D}"/>
                </c:ext>
              </c:extLst>
            </c:dLbl>
            <c:dLbl>
              <c:idx val="7"/>
              <c:tx>
                <c:rich>
                  <a:bodyPr/>
                  <a:lstStyle/>
                  <a:p>
                    <a:fld id="{2303DFF1-34A1-465A-863B-412907FB6CA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EC66-46D2-AB13-F5B1CEC0370D}"/>
                </c:ext>
              </c:extLst>
            </c:dLbl>
            <c:dLbl>
              <c:idx val="8"/>
              <c:tx>
                <c:rich>
                  <a:bodyPr/>
                  <a:lstStyle/>
                  <a:p>
                    <a:fld id="{8EDBC4AB-EFCF-4422-BF8E-E45947B6F63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EC66-46D2-AB13-F5B1CEC0370D}"/>
                </c:ext>
              </c:extLst>
            </c:dLbl>
            <c:dLbl>
              <c:idx val="9"/>
              <c:tx>
                <c:rich>
                  <a:bodyPr/>
                  <a:lstStyle/>
                  <a:p>
                    <a:fld id="{FC0C72D5-DE4E-488A-A143-BCD318AF756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EC66-46D2-AB13-F5B1CEC0370D}"/>
                </c:ext>
              </c:extLst>
            </c:dLbl>
            <c:dLbl>
              <c:idx val="10"/>
              <c:tx>
                <c:rich>
                  <a:bodyPr/>
                  <a:lstStyle/>
                  <a:p>
                    <a:fld id="{EC923F16-45D2-49A4-A198-CBC078106E3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EC66-46D2-AB13-F5B1CEC0370D}"/>
                </c:ext>
              </c:extLst>
            </c:dLbl>
            <c:dLbl>
              <c:idx val="11"/>
              <c:tx>
                <c:rich>
                  <a:bodyPr/>
                  <a:lstStyle/>
                  <a:p>
                    <a:fld id="{5008BF83-F790-4965-8330-AEB1E8D11D3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EC66-46D2-AB13-F5B1CEC0370D}"/>
                </c:ext>
              </c:extLst>
            </c:dLbl>
            <c:dLbl>
              <c:idx val="12"/>
              <c:tx>
                <c:rich>
                  <a:bodyPr/>
                  <a:lstStyle/>
                  <a:p>
                    <a:fld id="{B2D17B7E-2361-4C5F-8928-F2EA8B90FC1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EC66-46D2-AB13-F5B1CEC0370D}"/>
                </c:ext>
              </c:extLst>
            </c:dLbl>
            <c:dLbl>
              <c:idx val="13"/>
              <c:tx>
                <c:rich>
                  <a:bodyPr/>
                  <a:lstStyle/>
                  <a:p>
                    <a:fld id="{3DCCF84F-13CC-477D-AA11-FFD459CD0D8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EC66-46D2-AB13-F5B1CEC0370D}"/>
                </c:ext>
              </c:extLst>
            </c:dLbl>
            <c:dLbl>
              <c:idx val="14"/>
              <c:tx>
                <c:rich>
                  <a:bodyPr/>
                  <a:lstStyle/>
                  <a:p>
                    <a:fld id="{E67409E5-5F28-4BD8-9807-5579C9FE610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EC66-46D2-AB13-F5B1CEC0370D}"/>
                </c:ext>
              </c:extLst>
            </c:dLbl>
            <c:dLbl>
              <c:idx val="15"/>
              <c:tx>
                <c:rich>
                  <a:bodyPr/>
                  <a:lstStyle/>
                  <a:p>
                    <a:fld id="{E1BD0D6A-EC24-4B57-8269-6213DC85CDA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EC66-46D2-AB13-F5B1CEC0370D}"/>
                </c:ext>
              </c:extLst>
            </c:dLbl>
            <c:dLbl>
              <c:idx val="16"/>
              <c:tx>
                <c:rich>
                  <a:bodyPr/>
                  <a:lstStyle/>
                  <a:p>
                    <a:fld id="{895BA155-D825-4345-97A4-AB9CE24AD30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EC66-46D2-AB13-F5B1CEC0370D}"/>
                </c:ext>
              </c:extLst>
            </c:dLbl>
            <c:dLbl>
              <c:idx val="17"/>
              <c:tx>
                <c:rich>
                  <a:bodyPr/>
                  <a:lstStyle/>
                  <a:p>
                    <a:fld id="{CA72AA02-265A-4CE4-BCB5-D1430BFDB53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EC66-46D2-AB13-F5B1CEC0370D}"/>
                </c:ext>
              </c:extLst>
            </c:dLbl>
            <c:dLbl>
              <c:idx val="18"/>
              <c:tx>
                <c:rich>
                  <a:bodyPr/>
                  <a:lstStyle/>
                  <a:p>
                    <a:fld id="{5991CB32-547C-40B2-AF70-8FF1AEB95D8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EC66-46D2-AB13-F5B1CEC0370D}"/>
                </c:ext>
              </c:extLst>
            </c:dLbl>
            <c:dLbl>
              <c:idx val="19"/>
              <c:tx>
                <c:rich>
                  <a:bodyPr/>
                  <a:lstStyle/>
                  <a:p>
                    <a:fld id="{219E0498-A2F9-4BC0-A651-08012F9284A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EC66-46D2-AB13-F5B1CEC0370D}"/>
                </c:ext>
              </c:extLst>
            </c:dLbl>
            <c:dLbl>
              <c:idx val="20"/>
              <c:tx>
                <c:rich>
                  <a:bodyPr/>
                  <a:lstStyle/>
                  <a:p>
                    <a:fld id="{17F2F845-31A2-4A64-AB2A-82766979F4F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EC66-46D2-AB13-F5B1CEC0370D}"/>
                </c:ext>
              </c:extLst>
            </c:dLbl>
            <c:dLbl>
              <c:idx val="21"/>
              <c:tx>
                <c:rich>
                  <a:bodyPr/>
                  <a:lstStyle/>
                  <a:p>
                    <a:fld id="{2732F0ED-64AA-4A85-9792-3129620C235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EC66-46D2-AB13-F5B1CEC0370D}"/>
                </c:ext>
              </c:extLst>
            </c:dLbl>
            <c:dLbl>
              <c:idx val="22"/>
              <c:tx>
                <c:rich>
                  <a:bodyPr/>
                  <a:lstStyle/>
                  <a:p>
                    <a:fld id="{BE4C896A-E23B-4E3C-958B-6A905A0749F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EC66-46D2-AB13-F5B1CEC0370D}"/>
                </c:ext>
              </c:extLst>
            </c:dLbl>
            <c:dLbl>
              <c:idx val="23"/>
              <c:tx>
                <c:rich>
                  <a:bodyPr/>
                  <a:lstStyle/>
                  <a:p>
                    <a:fld id="{4B8E2376-A3B9-436F-8846-47545077A7E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EC66-46D2-AB13-F5B1CEC0370D}"/>
                </c:ext>
              </c:extLst>
            </c:dLbl>
            <c:dLbl>
              <c:idx val="24"/>
              <c:tx>
                <c:rich>
                  <a:bodyPr/>
                  <a:lstStyle/>
                  <a:p>
                    <a:fld id="{0133468C-7DD6-4AAA-AF4B-02301FBA630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EC66-46D2-AB13-F5B1CEC0370D}"/>
                </c:ext>
              </c:extLst>
            </c:dLbl>
            <c:dLbl>
              <c:idx val="25"/>
              <c:tx>
                <c:rich>
                  <a:bodyPr/>
                  <a:lstStyle/>
                  <a:p>
                    <a:fld id="{A353F9FC-7C17-40C0-A7A7-F2D94318058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EC66-46D2-AB13-F5B1CEC0370D}"/>
                </c:ext>
              </c:extLst>
            </c:dLbl>
            <c:dLbl>
              <c:idx val="26"/>
              <c:tx>
                <c:rich>
                  <a:bodyPr/>
                  <a:lstStyle/>
                  <a:p>
                    <a:fld id="{27DA71D2-80EC-4B65-A395-0A777BAD307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EC66-46D2-AB13-F5B1CEC0370D}"/>
                </c:ext>
              </c:extLst>
            </c:dLbl>
            <c:dLbl>
              <c:idx val="27"/>
              <c:tx>
                <c:rich>
                  <a:bodyPr/>
                  <a:lstStyle/>
                  <a:p>
                    <a:fld id="{0D3F92E2-779B-4997-8513-6F0E3756E3E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EC66-46D2-AB13-F5B1CEC0370D}"/>
                </c:ext>
              </c:extLst>
            </c:dLbl>
            <c:dLbl>
              <c:idx val="28"/>
              <c:tx>
                <c:rich>
                  <a:bodyPr/>
                  <a:lstStyle/>
                  <a:p>
                    <a:fld id="{8FC52F57-C2C7-4103-A5FA-A9BAA0CE1D6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EC66-46D2-AB13-F5B1CEC0370D}"/>
                </c:ext>
              </c:extLst>
            </c:dLbl>
            <c:dLbl>
              <c:idx val="29"/>
              <c:tx>
                <c:rich>
                  <a:bodyPr/>
                  <a:lstStyle/>
                  <a:p>
                    <a:fld id="{6FCE9DDF-9165-46F2-9871-E817F69D0BF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EC66-46D2-AB13-F5B1CEC0370D}"/>
                </c:ext>
              </c:extLst>
            </c:dLbl>
            <c:dLbl>
              <c:idx val="30"/>
              <c:tx>
                <c:rich>
                  <a:bodyPr/>
                  <a:lstStyle/>
                  <a:p>
                    <a:fld id="{565F9F4A-54CF-4242-8805-BAEFA919846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EC66-46D2-AB13-F5B1CEC0370D}"/>
                </c:ext>
              </c:extLst>
            </c:dLbl>
            <c:dLbl>
              <c:idx val="31"/>
              <c:tx>
                <c:rich>
                  <a:bodyPr/>
                  <a:lstStyle/>
                  <a:p>
                    <a:fld id="{66716A7C-5F61-4F4D-91AE-67A8DB3032D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EC66-46D2-AB13-F5B1CEC0370D}"/>
                </c:ext>
              </c:extLst>
            </c:dLbl>
            <c:dLbl>
              <c:idx val="32"/>
              <c:tx>
                <c:rich>
                  <a:bodyPr/>
                  <a:lstStyle/>
                  <a:p>
                    <a:fld id="{EF4AD1CA-34E5-4918-9A8F-B3710876CFD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EC66-46D2-AB13-F5B1CEC0370D}"/>
                </c:ext>
              </c:extLst>
            </c:dLbl>
            <c:dLbl>
              <c:idx val="33"/>
              <c:tx>
                <c:rich>
                  <a:bodyPr/>
                  <a:lstStyle/>
                  <a:p>
                    <a:fld id="{FDCB969F-D411-4EEA-8F5D-FA4793295D8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EC66-46D2-AB13-F5B1CEC0370D}"/>
                </c:ext>
              </c:extLst>
            </c:dLbl>
            <c:dLbl>
              <c:idx val="34"/>
              <c:tx>
                <c:rich>
                  <a:bodyPr/>
                  <a:lstStyle/>
                  <a:p>
                    <a:fld id="{DF89169B-D49A-4624-B0E6-5096AA1A7E9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EC66-46D2-AB13-F5B1CEC0370D}"/>
                </c:ext>
              </c:extLst>
            </c:dLbl>
            <c:dLbl>
              <c:idx val="35"/>
              <c:tx>
                <c:rich>
                  <a:bodyPr/>
                  <a:lstStyle/>
                  <a:p>
                    <a:fld id="{95564C6E-E096-4599-9606-51D8996250F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EC66-46D2-AB13-F5B1CEC0370D}"/>
                </c:ext>
              </c:extLst>
            </c:dLbl>
            <c:dLbl>
              <c:idx val="36"/>
              <c:tx>
                <c:rich>
                  <a:bodyPr/>
                  <a:lstStyle/>
                  <a:p>
                    <a:fld id="{C6098F2A-8394-4FEF-998D-896C640E05C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EC66-46D2-AB13-F5B1CEC0370D}"/>
                </c:ext>
              </c:extLst>
            </c:dLbl>
            <c:dLbl>
              <c:idx val="37"/>
              <c:tx>
                <c:rich>
                  <a:bodyPr/>
                  <a:lstStyle/>
                  <a:p>
                    <a:fld id="{0FDE8212-9FA3-4AF4-A343-44B78FAB48F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EC66-46D2-AB13-F5B1CEC0370D}"/>
                </c:ext>
              </c:extLst>
            </c:dLbl>
            <c:dLbl>
              <c:idx val="38"/>
              <c:tx>
                <c:rich>
                  <a:bodyPr/>
                  <a:lstStyle/>
                  <a:p>
                    <a:fld id="{E3C9CE97-3696-4160-8584-C5A824307E9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EC66-46D2-AB13-F5B1CEC0370D}"/>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graf'!$BB$44:$BB$82</c:f>
              <c:numCache>
                <c:formatCode>General</c:formatCode>
                <c:ptCount val="39"/>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EC66-46D2-AB13-F5B1CEC0370D}"/>
            </c:ext>
          </c:extLst>
        </c:ser>
        <c:ser>
          <c:idx val="0"/>
          <c:order val="2"/>
          <c:tx>
            <c:strRef>
              <c:f>'Prerađivačka_6 graf'!$BC$7</c:f>
              <c:strCache>
                <c:ptCount val="1"/>
                <c:pt idx="0">
                  <c:v>y</c:v>
                </c:pt>
              </c:strCache>
            </c:strRef>
          </c:tx>
          <c:spPr>
            <a:ln w="12700" cap="rnd">
              <a:solidFill>
                <a:srgbClr val="92278F"/>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graf'!$BC$44:$BC$82</c:f>
              <c:numCache>
                <c:formatCode>#.#00</c:formatCode>
                <c:ptCount val="39"/>
                <c:pt idx="0">
                  <c:v>74.134564174999994</c:v>
                </c:pt>
                <c:pt idx="1">
                  <c:v>82.371737972999995</c:v>
                </c:pt>
                <c:pt idx="2">
                  <c:v>74.986685602999998</c:v>
                </c:pt>
                <c:pt idx="3">
                  <c:v>46.866678501999999</c:v>
                </c:pt>
                <c:pt idx="4">
                  <c:v>68.098704065000007</c:v>
                </c:pt>
                <c:pt idx="5">
                  <c:v>84.999112374000006</c:v>
                </c:pt>
                <c:pt idx="6">
                  <c:v>91.176992721000005</c:v>
                </c:pt>
                <c:pt idx="7">
                  <c:v>74.276584412999995</c:v>
                </c:pt>
                <c:pt idx="8">
                  <c:v>107.15426948299999</c:v>
                </c:pt>
                <c:pt idx="9">
                  <c:v>110.34972483599999</c:v>
                </c:pt>
                <c:pt idx="10">
                  <c:v>93.804367122000002</c:v>
                </c:pt>
                <c:pt idx="11">
                  <c:v>89.685780223999998</c:v>
                </c:pt>
                <c:pt idx="12">
                  <c:v>82.797798685999993</c:v>
                </c:pt>
                <c:pt idx="13">
                  <c:v>95.934670690999994</c:v>
                </c:pt>
                <c:pt idx="14">
                  <c:v>110.846795668</c:v>
                </c:pt>
                <c:pt idx="15">
                  <c:v>106.870229008</c:v>
                </c:pt>
                <c:pt idx="16">
                  <c:v>97.28386295</c:v>
                </c:pt>
                <c:pt idx="17">
                  <c:v>106.373158175</c:v>
                </c:pt>
                <c:pt idx="18">
                  <c:v>97.638913544999994</c:v>
                </c:pt>
                <c:pt idx="19">
                  <c:v>81.87466714</c:v>
                </c:pt>
                <c:pt idx="20">
                  <c:v>102.183561157</c:v>
                </c:pt>
                <c:pt idx="21">
                  <c:v>106.089117699</c:v>
                </c:pt>
                <c:pt idx="22">
                  <c:v>99.272146281000005</c:v>
                </c:pt>
                <c:pt idx="23">
                  <c:v>89.543759985999998</c:v>
                </c:pt>
                <c:pt idx="24">
                  <c:v>80.599999999999994</c:v>
                </c:pt>
                <c:pt idx="25">
                  <c:v>94.931773879000005</c:v>
                </c:pt>
                <c:pt idx="26">
                  <c:v>110.598626104</c:v>
                </c:pt>
                <c:pt idx="27">
                  <c:v>97.7</c:v>
                </c:pt>
                <c:pt idx="28">
                  <c:v>102</c:v>
                </c:pt>
                <c:pt idx="29">
                  <c:v>108.9</c:v>
                </c:pt>
                <c:pt idx="30">
                  <c:v>97.4</c:v>
                </c:pt>
                <c:pt idx="31">
                  <c:v>90.9</c:v>
                </c:pt>
                <c:pt idx="32">
                  <c:v>106.4</c:v>
                </c:pt>
                <c:pt idx="33">
                  <c:v>112.4</c:v>
                </c:pt>
                <c:pt idx="34">
                  <c:v>106.4</c:v>
                </c:pt>
                <c:pt idx="35">
                  <c:v>91.8</c:v>
                </c:pt>
                <c:pt idx="36">
                  <c:v>81.599999999999994</c:v>
                </c:pt>
                <c:pt idx="37">
                  <c:v>97.5</c:v>
                </c:pt>
                <c:pt idx="38">
                  <c:v>112.7</c:v>
                </c:pt>
              </c:numCache>
            </c:numRef>
          </c:val>
          <c:smooth val="0"/>
          <c:extLst>
            <c:ext xmlns:c16="http://schemas.microsoft.com/office/drawing/2014/chart" uri="{C3380CC4-5D6E-409C-BE32-E72D297353CC}">
              <c16:uniqueId val="{0000002D-EC66-46D2-AB13-F5B1CEC0370D}"/>
            </c:ext>
          </c:extLst>
        </c:ser>
        <c:ser>
          <c:idx val="1"/>
          <c:order val="3"/>
          <c:tx>
            <c:strRef>
              <c:f>'Prerađivačka_6 graf'!$BD$7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graf'!$BD$44:$BD$82</c:f>
              <c:numCache>
                <c:formatCode>#.#00</c:formatCode>
                <c:ptCount val="39"/>
                <c:pt idx="0">
                  <c:v>90.510495018</c:v>
                </c:pt>
                <c:pt idx="1">
                  <c:v>86.716443028</c:v>
                </c:pt>
                <c:pt idx="2">
                  <c:v>71.625319016999995</c:v>
                </c:pt>
                <c:pt idx="3">
                  <c:v>47.945918050000003</c:v>
                </c:pt>
                <c:pt idx="4">
                  <c:v>68.520024496000005</c:v>
                </c:pt>
                <c:pt idx="5">
                  <c:v>77.896296078000006</c:v>
                </c:pt>
                <c:pt idx="6">
                  <c:v>87.057106933</c:v>
                </c:pt>
                <c:pt idx="7">
                  <c:v>85.095240637000003</c:v>
                </c:pt>
                <c:pt idx="8">
                  <c:v>99.240848274000001</c:v>
                </c:pt>
                <c:pt idx="9">
                  <c:v>96.429533366000001</c:v>
                </c:pt>
                <c:pt idx="10">
                  <c:v>91.605167346000002</c:v>
                </c:pt>
                <c:pt idx="11">
                  <c:v>95.664553995999995</c:v>
                </c:pt>
                <c:pt idx="12">
                  <c:v>100.73975753000001</c:v>
                </c:pt>
                <c:pt idx="13">
                  <c:v>100.08348730100001</c:v>
                </c:pt>
                <c:pt idx="14">
                  <c:v>104.546817961</c:v>
                </c:pt>
                <c:pt idx="15">
                  <c:v>108.46356654900001</c:v>
                </c:pt>
                <c:pt idx="16">
                  <c:v>97.206162382000002</c:v>
                </c:pt>
                <c:pt idx="17">
                  <c:v>98.172511219</c:v>
                </c:pt>
                <c:pt idx="18">
                  <c:v>94.861808319000005</c:v>
                </c:pt>
                <c:pt idx="19">
                  <c:v>92.928394732000001</c:v>
                </c:pt>
                <c:pt idx="20">
                  <c:v>94.058806958999995</c:v>
                </c:pt>
                <c:pt idx="21">
                  <c:v>93.501275996000004</c:v>
                </c:pt>
                <c:pt idx="22">
                  <c:v>96.237329348000003</c:v>
                </c:pt>
                <c:pt idx="23">
                  <c:v>96.036387172999994</c:v>
                </c:pt>
                <c:pt idx="24">
                  <c:v>97.189408327999999</c:v>
                </c:pt>
                <c:pt idx="25">
                  <c:v>99.516474306000006</c:v>
                </c:pt>
                <c:pt idx="26">
                  <c:v>100.937506372</c:v>
                </c:pt>
                <c:pt idx="27">
                  <c:v>99.641254767000007</c:v>
                </c:pt>
                <c:pt idx="28">
                  <c:v>102.144455612</c:v>
                </c:pt>
                <c:pt idx="29">
                  <c:v>100.380960058</c:v>
                </c:pt>
                <c:pt idx="30">
                  <c:v>96.835672324000001</c:v>
                </c:pt>
                <c:pt idx="31">
                  <c:v>100.780199576</c:v>
                </c:pt>
                <c:pt idx="32">
                  <c:v>98.881353876999995</c:v>
                </c:pt>
                <c:pt idx="33">
                  <c:v>101.108385797</c:v>
                </c:pt>
                <c:pt idx="34">
                  <c:v>101.281567185</c:v>
                </c:pt>
                <c:pt idx="35">
                  <c:v>99.301158844</c:v>
                </c:pt>
                <c:pt idx="36">
                  <c:v>97.441432405</c:v>
                </c:pt>
                <c:pt idx="37">
                  <c:v>101.966680461</c:v>
                </c:pt>
                <c:pt idx="38">
                  <c:v>102.259872137</c:v>
                </c:pt>
              </c:numCache>
            </c:numRef>
          </c:val>
          <c:smooth val="0"/>
          <c:extLst>
            <c:ext xmlns:c16="http://schemas.microsoft.com/office/drawing/2014/chart" uri="{C3380CC4-5D6E-409C-BE32-E72D297353CC}">
              <c16:uniqueId val="{0000002E-EC66-46D2-AB13-F5B1CEC0370D}"/>
            </c:ext>
          </c:extLst>
        </c:ser>
        <c:ser>
          <c:idx val="2"/>
          <c:order val="4"/>
          <c:tx>
            <c:strRef>
              <c:f>'Prerađivačka_6 graf'!$BE$7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graf'!$BE$44:$BE$82</c:f>
              <c:numCache>
                <c:formatCode>#.#00</c:formatCode>
                <c:ptCount val="39"/>
                <c:pt idx="0">
                  <c:v>76.046129753000002</c:v>
                </c:pt>
                <c:pt idx="1">
                  <c:v>74.482751242000006</c:v>
                </c:pt>
                <c:pt idx="2">
                  <c:v>73.229833880000001</c:v>
                </c:pt>
                <c:pt idx="3">
                  <c:v>73.114433597000001</c:v>
                </c:pt>
                <c:pt idx="4">
                  <c:v>74.781184838000001</c:v>
                </c:pt>
                <c:pt idx="5">
                  <c:v>78.159435576999996</c:v>
                </c:pt>
                <c:pt idx="6">
                  <c:v>82.349438864999996</c:v>
                </c:pt>
                <c:pt idx="7">
                  <c:v>86.529303448999997</c:v>
                </c:pt>
                <c:pt idx="8">
                  <c:v>90.086908405000003</c:v>
                </c:pt>
                <c:pt idx="9">
                  <c:v>92.880153041</c:v>
                </c:pt>
                <c:pt idx="10">
                  <c:v>95.261333673999999</c:v>
                </c:pt>
                <c:pt idx="11">
                  <c:v>97.449671180999999</c:v>
                </c:pt>
                <c:pt idx="12">
                  <c:v>99.500836179000004</c:v>
                </c:pt>
                <c:pt idx="13">
                  <c:v>101.045545456</c:v>
                </c:pt>
                <c:pt idx="14">
                  <c:v>101.637494171</c:v>
                </c:pt>
                <c:pt idx="15">
                  <c:v>101.15336695800001</c:v>
                </c:pt>
                <c:pt idx="16">
                  <c:v>99.580295397</c:v>
                </c:pt>
                <c:pt idx="17">
                  <c:v>97.419739667000002</c:v>
                </c:pt>
                <c:pt idx="18">
                  <c:v>95.493265457000007</c:v>
                </c:pt>
                <c:pt idx="19">
                  <c:v>94.230735019999997</c:v>
                </c:pt>
                <c:pt idx="20">
                  <c:v>93.797090190000006</c:v>
                </c:pt>
                <c:pt idx="21">
                  <c:v>94.213302462000001</c:v>
                </c:pt>
                <c:pt idx="22">
                  <c:v>95.143331434999993</c:v>
                </c:pt>
                <c:pt idx="23">
                  <c:v>96.394441276999999</c:v>
                </c:pt>
                <c:pt idx="24">
                  <c:v>97.853777011999995</c:v>
                </c:pt>
                <c:pt idx="25">
                  <c:v>99.114999710000006</c:v>
                </c:pt>
                <c:pt idx="26">
                  <c:v>100.007678181</c:v>
                </c:pt>
                <c:pt idx="27">
                  <c:v>100.408350637</c:v>
                </c:pt>
                <c:pt idx="28">
                  <c:v>100.338412826</c:v>
                </c:pt>
                <c:pt idx="29">
                  <c:v>100.055919166</c:v>
                </c:pt>
                <c:pt idx="30">
                  <c:v>99.826352288999999</c:v>
                </c:pt>
                <c:pt idx="31">
                  <c:v>99.729605050999993</c:v>
                </c:pt>
                <c:pt idx="32">
                  <c:v>99.731326687999996</c:v>
                </c:pt>
                <c:pt idx="33">
                  <c:v>99.782250821000005</c:v>
                </c:pt>
                <c:pt idx="34">
                  <c:v>99.830498669999997</c:v>
                </c:pt>
                <c:pt idx="35">
                  <c:v>99.948004979999993</c:v>
                </c:pt>
                <c:pt idx="36">
                  <c:v>100.19965635699999</c:v>
                </c:pt>
                <c:pt idx="37">
                  <c:v>100.732133355</c:v>
                </c:pt>
                <c:pt idx="38">
                  <c:v>101.632262442</c:v>
                </c:pt>
              </c:numCache>
            </c:numRef>
          </c:val>
          <c:smooth val="0"/>
          <c:extLst>
            <c:ext xmlns:c16="http://schemas.microsoft.com/office/drawing/2014/chart" uri="{C3380CC4-5D6E-409C-BE32-E72D297353CC}">
              <c16:uniqueId val="{0000002F-EC66-46D2-AB13-F5B1CEC0370D}"/>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graf'!$AF$7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891482249703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FB6-492B-BA83-987EA9BC68E9}"/>
                </c:ext>
              </c:extLst>
            </c:dLbl>
            <c:dLbl>
              <c:idx val="12"/>
              <c:layout>
                <c:manualLayout>
                  <c:x val="7.08282472011890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FB6-492B-BA83-987EA9BC68E9}"/>
                </c:ext>
              </c:extLst>
            </c:dLbl>
            <c:dLbl>
              <c:idx val="24"/>
              <c:layout>
                <c:manualLayout>
                  <c:x val="7.64989140868165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FB6-492B-BA83-987EA9BC68E9}"/>
                </c:ext>
              </c:extLst>
            </c:dLbl>
            <c:dLbl>
              <c:idx val="36"/>
              <c:layout>
                <c:manualLayout>
                  <c:x val="-1.900321921220825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FB6-492B-BA83-987EA9BC68E9}"/>
                </c:ext>
              </c:extLst>
            </c:dLbl>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graf'!$AF$44:$AF$82</c:f>
              <c:numCache>
                <c:formatCode>General</c:formatCode>
                <c:ptCount val="39"/>
                <c:pt idx="0">
                  <c:v>40</c:v>
                </c:pt>
                <c:pt idx="12">
                  <c:v>40</c:v>
                </c:pt>
                <c:pt idx="24">
                  <c:v>40</c:v>
                </c:pt>
                <c:pt idx="36">
                  <c:v>40</c:v>
                </c:pt>
              </c:numCache>
            </c:numRef>
          </c:val>
          <c:smooth val="0"/>
          <c:extLst>
            <c:ext xmlns:c16="http://schemas.microsoft.com/office/drawing/2014/chart" uri="{C3380CC4-5D6E-409C-BE32-E72D297353CC}">
              <c16:uniqueId val="{00000004-0FB6-492B-BA83-987EA9BC68E9}"/>
            </c:ext>
          </c:extLst>
        </c:ser>
        <c:ser>
          <c:idx val="4"/>
          <c:order val="1"/>
          <c:tx>
            <c:strRef>
              <c:f>'Prerađivačka_6 graf'!$AG$7</c:f>
              <c:strCache>
                <c:ptCount val="1"/>
                <c:pt idx="0">
                  <c:v>Series5</c:v>
                </c:pt>
              </c:strCache>
            </c:strRef>
          </c:tx>
          <c:spPr>
            <a:ln w="28575" cap="rnd">
              <a:noFill/>
              <a:round/>
            </a:ln>
            <a:effectLst/>
          </c:spPr>
          <c:marker>
            <c:symbol val="none"/>
          </c:marker>
          <c:dLbls>
            <c:dLbl>
              <c:idx val="0"/>
              <c:tx>
                <c:rich>
                  <a:bodyPr/>
                  <a:lstStyle/>
                  <a:p>
                    <a:fld id="{5A7A1738-A45C-4BFE-9918-52F57FA0B21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0FB6-492B-BA83-987EA9BC68E9}"/>
                </c:ext>
              </c:extLst>
            </c:dLbl>
            <c:dLbl>
              <c:idx val="1"/>
              <c:tx>
                <c:rich>
                  <a:bodyPr/>
                  <a:lstStyle/>
                  <a:p>
                    <a:fld id="{DCE1BABF-C534-4DB3-93DE-AB683759E64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0FB6-492B-BA83-987EA9BC68E9}"/>
                </c:ext>
              </c:extLst>
            </c:dLbl>
            <c:dLbl>
              <c:idx val="2"/>
              <c:tx>
                <c:rich>
                  <a:bodyPr/>
                  <a:lstStyle/>
                  <a:p>
                    <a:fld id="{28D03C50-E3B1-4BF4-94AE-B94B595E22B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0FB6-492B-BA83-987EA9BC68E9}"/>
                </c:ext>
              </c:extLst>
            </c:dLbl>
            <c:dLbl>
              <c:idx val="3"/>
              <c:tx>
                <c:rich>
                  <a:bodyPr/>
                  <a:lstStyle/>
                  <a:p>
                    <a:fld id="{217CD6A8-8A61-439F-80BF-5B30E066D89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FB6-492B-BA83-987EA9BC68E9}"/>
                </c:ext>
              </c:extLst>
            </c:dLbl>
            <c:dLbl>
              <c:idx val="4"/>
              <c:tx>
                <c:rich>
                  <a:bodyPr/>
                  <a:lstStyle/>
                  <a:p>
                    <a:fld id="{89D09F01-1A7A-46BB-93FC-75581D7DE06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FB6-492B-BA83-987EA9BC68E9}"/>
                </c:ext>
              </c:extLst>
            </c:dLbl>
            <c:dLbl>
              <c:idx val="5"/>
              <c:tx>
                <c:rich>
                  <a:bodyPr/>
                  <a:lstStyle/>
                  <a:p>
                    <a:fld id="{32C6D5EE-A754-429C-9121-F6544ABA6F4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FB6-492B-BA83-987EA9BC68E9}"/>
                </c:ext>
              </c:extLst>
            </c:dLbl>
            <c:dLbl>
              <c:idx val="6"/>
              <c:tx>
                <c:rich>
                  <a:bodyPr/>
                  <a:lstStyle/>
                  <a:p>
                    <a:fld id="{D1A54401-3939-4129-B7B4-BB0ACF2A687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FB6-492B-BA83-987EA9BC68E9}"/>
                </c:ext>
              </c:extLst>
            </c:dLbl>
            <c:dLbl>
              <c:idx val="7"/>
              <c:tx>
                <c:rich>
                  <a:bodyPr/>
                  <a:lstStyle/>
                  <a:p>
                    <a:fld id="{DAC1CB9A-7939-4715-A164-26DF848E3D3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FB6-492B-BA83-987EA9BC68E9}"/>
                </c:ext>
              </c:extLst>
            </c:dLbl>
            <c:dLbl>
              <c:idx val="8"/>
              <c:tx>
                <c:rich>
                  <a:bodyPr/>
                  <a:lstStyle/>
                  <a:p>
                    <a:fld id="{BF80A6DB-9EA0-4F8F-9AAE-328744DF328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FB6-492B-BA83-987EA9BC68E9}"/>
                </c:ext>
              </c:extLst>
            </c:dLbl>
            <c:dLbl>
              <c:idx val="9"/>
              <c:tx>
                <c:rich>
                  <a:bodyPr/>
                  <a:lstStyle/>
                  <a:p>
                    <a:fld id="{CA772088-F544-4910-AD29-2D2CD3A1B01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FB6-492B-BA83-987EA9BC68E9}"/>
                </c:ext>
              </c:extLst>
            </c:dLbl>
            <c:dLbl>
              <c:idx val="10"/>
              <c:tx>
                <c:rich>
                  <a:bodyPr/>
                  <a:lstStyle/>
                  <a:p>
                    <a:fld id="{CF6392A8-9AA5-4096-93DF-55D04D4C236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FB6-492B-BA83-987EA9BC68E9}"/>
                </c:ext>
              </c:extLst>
            </c:dLbl>
            <c:dLbl>
              <c:idx val="11"/>
              <c:tx>
                <c:rich>
                  <a:bodyPr/>
                  <a:lstStyle/>
                  <a:p>
                    <a:fld id="{A1848709-907B-452A-9D93-7B46CB34ED3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FB6-492B-BA83-987EA9BC68E9}"/>
                </c:ext>
              </c:extLst>
            </c:dLbl>
            <c:dLbl>
              <c:idx val="12"/>
              <c:tx>
                <c:rich>
                  <a:bodyPr/>
                  <a:lstStyle/>
                  <a:p>
                    <a:fld id="{A11CAD7F-CA08-4375-82DE-FE4A3D45BCD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FB6-492B-BA83-987EA9BC68E9}"/>
                </c:ext>
              </c:extLst>
            </c:dLbl>
            <c:dLbl>
              <c:idx val="13"/>
              <c:tx>
                <c:rich>
                  <a:bodyPr/>
                  <a:lstStyle/>
                  <a:p>
                    <a:fld id="{39D2DBA0-C721-4D66-ADDE-9C22CA68918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FB6-492B-BA83-987EA9BC68E9}"/>
                </c:ext>
              </c:extLst>
            </c:dLbl>
            <c:dLbl>
              <c:idx val="14"/>
              <c:tx>
                <c:rich>
                  <a:bodyPr/>
                  <a:lstStyle/>
                  <a:p>
                    <a:fld id="{18EF1BBA-98B5-4AC8-A017-6B7F9AA7798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FB6-492B-BA83-987EA9BC68E9}"/>
                </c:ext>
              </c:extLst>
            </c:dLbl>
            <c:dLbl>
              <c:idx val="15"/>
              <c:tx>
                <c:rich>
                  <a:bodyPr/>
                  <a:lstStyle/>
                  <a:p>
                    <a:fld id="{8F6F4B9F-BBDB-478B-B967-F3030E2BA7E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FB6-492B-BA83-987EA9BC68E9}"/>
                </c:ext>
              </c:extLst>
            </c:dLbl>
            <c:dLbl>
              <c:idx val="16"/>
              <c:tx>
                <c:rich>
                  <a:bodyPr/>
                  <a:lstStyle/>
                  <a:p>
                    <a:fld id="{5B5DF642-9B8E-45F4-B0B0-82838CCB5DF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FB6-492B-BA83-987EA9BC68E9}"/>
                </c:ext>
              </c:extLst>
            </c:dLbl>
            <c:dLbl>
              <c:idx val="17"/>
              <c:tx>
                <c:rich>
                  <a:bodyPr/>
                  <a:lstStyle/>
                  <a:p>
                    <a:fld id="{01CBA226-E9DE-465E-A950-44CDD1E3F81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FB6-492B-BA83-987EA9BC68E9}"/>
                </c:ext>
              </c:extLst>
            </c:dLbl>
            <c:dLbl>
              <c:idx val="18"/>
              <c:tx>
                <c:rich>
                  <a:bodyPr/>
                  <a:lstStyle/>
                  <a:p>
                    <a:fld id="{DFA4F118-18F2-4280-8FC3-36A76AB5CC8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FB6-492B-BA83-987EA9BC68E9}"/>
                </c:ext>
              </c:extLst>
            </c:dLbl>
            <c:dLbl>
              <c:idx val="19"/>
              <c:tx>
                <c:rich>
                  <a:bodyPr/>
                  <a:lstStyle/>
                  <a:p>
                    <a:fld id="{1B40A416-98CB-4BB0-98CF-856C7051D62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FB6-492B-BA83-987EA9BC68E9}"/>
                </c:ext>
              </c:extLst>
            </c:dLbl>
            <c:dLbl>
              <c:idx val="20"/>
              <c:tx>
                <c:rich>
                  <a:bodyPr/>
                  <a:lstStyle/>
                  <a:p>
                    <a:fld id="{5678157D-E0C3-4BA1-BEB1-590C3397A0E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FB6-492B-BA83-987EA9BC68E9}"/>
                </c:ext>
              </c:extLst>
            </c:dLbl>
            <c:dLbl>
              <c:idx val="21"/>
              <c:tx>
                <c:rich>
                  <a:bodyPr/>
                  <a:lstStyle/>
                  <a:p>
                    <a:fld id="{36470768-8B71-411B-B657-1FBC6D45C29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FB6-492B-BA83-987EA9BC68E9}"/>
                </c:ext>
              </c:extLst>
            </c:dLbl>
            <c:dLbl>
              <c:idx val="22"/>
              <c:tx>
                <c:rich>
                  <a:bodyPr/>
                  <a:lstStyle/>
                  <a:p>
                    <a:fld id="{4F087276-35ED-4EA4-B2A4-F73A7E83812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FB6-492B-BA83-987EA9BC68E9}"/>
                </c:ext>
              </c:extLst>
            </c:dLbl>
            <c:dLbl>
              <c:idx val="23"/>
              <c:tx>
                <c:rich>
                  <a:bodyPr/>
                  <a:lstStyle/>
                  <a:p>
                    <a:fld id="{32B56399-778F-4E05-91E7-B17A3B524B3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FB6-492B-BA83-987EA9BC68E9}"/>
                </c:ext>
              </c:extLst>
            </c:dLbl>
            <c:dLbl>
              <c:idx val="24"/>
              <c:tx>
                <c:rich>
                  <a:bodyPr/>
                  <a:lstStyle/>
                  <a:p>
                    <a:fld id="{38A671FD-6D13-40BD-A11E-7D4787D03F2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FB6-492B-BA83-987EA9BC68E9}"/>
                </c:ext>
              </c:extLst>
            </c:dLbl>
            <c:dLbl>
              <c:idx val="25"/>
              <c:tx>
                <c:rich>
                  <a:bodyPr/>
                  <a:lstStyle/>
                  <a:p>
                    <a:fld id="{ECBB5CB8-8DD6-4C3E-A4BA-EA3145AF0BD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FB6-492B-BA83-987EA9BC68E9}"/>
                </c:ext>
              </c:extLst>
            </c:dLbl>
            <c:dLbl>
              <c:idx val="26"/>
              <c:tx>
                <c:rich>
                  <a:bodyPr/>
                  <a:lstStyle/>
                  <a:p>
                    <a:fld id="{CA3EDB9B-9EE2-4E6E-908A-0ABA119533E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FB6-492B-BA83-987EA9BC68E9}"/>
                </c:ext>
              </c:extLst>
            </c:dLbl>
            <c:dLbl>
              <c:idx val="27"/>
              <c:tx>
                <c:rich>
                  <a:bodyPr/>
                  <a:lstStyle/>
                  <a:p>
                    <a:fld id="{B844D186-DE43-4B0B-9599-B25079ECE27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FB6-492B-BA83-987EA9BC68E9}"/>
                </c:ext>
              </c:extLst>
            </c:dLbl>
            <c:dLbl>
              <c:idx val="28"/>
              <c:tx>
                <c:rich>
                  <a:bodyPr/>
                  <a:lstStyle/>
                  <a:p>
                    <a:fld id="{408AD87F-3EF8-497E-B38E-382FBFAA8C3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FB6-492B-BA83-987EA9BC68E9}"/>
                </c:ext>
              </c:extLst>
            </c:dLbl>
            <c:dLbl>
              <c:idx val="29"/>
              <c:tx>
                <c:rich>
                  <a:bodyPr/>
                  <a:lstStyle/>
                  <a:p>
                    <a:fld id="{5CA61D99-4CC0-4D0F-8FCB-326F043F1FB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FB6-492B-BA83-987EA9BC68E9}"/>
                </c:ext>
              </c:extLst>
            </c:dLbl>
            <c:dLbl>
              <c:idx val="30"/>
              <c:tx>
                <c:rich>
                  <a:bodyPr/>
                  <a:lstStyle/>
                  <a:p>
                    <a:fld id="{D56B4CAC-2F38-4944-ADF4-49B5B130163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FB6-492B-BA83-987EA9BC68E9}"/>
                </c:ext>
              </c:extLst>
            </c:dLbl>
            <c:dLbl>
              <c:idx val="31"/>
              <c:tx>
                <c:rich>
                  <a:bodyPr/>
                  <a:lstStyle/>
                  <a:p>
                    <a:fld id="{348742A5-B35E-4F88-8C9F-81EC7AA2CE4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FB6-492B-BA83-987EA9BC68E9}"/>
                </c:ext>
              </c:extLst>
            </c:dLbl>
            <c:dLbl>
              <c:idx val="32"/>
              <c:tx>
                <c:rich>
                  <a:bodyPr/>
                  <a:lstStyle/>
                  <a:p>
                    <a:fld id="{1756AE4C-FCC5-4108-B151-4B3C6270E29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FB6-492B-BA83-987EA9BC68E9}"/>
                </c:ext>
              </c:extLst>
            </c:dLbl>
            <c:dLbl>
              <c:idx val="33"/>
              <c:tx>
                <c:rich>
                  <a:bodyPr/>
                  <a:lstStyle/>
                  <a:p>
                    <a:fld id="{66EDE2E4-AB88-49C3-9F30-5892679F969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FB6-492B-BA83-987EA9BC68E9}"/>
                </c:ext>
              </c:extLst>
            </c:dLbl>
            <c:dLbl>
              <c:idx val="34"/>
              <c:tx>
                <c:rich>
                  <a:bodyPr/>
                  <a:lstStyle/>
                  <a:p>
                    <a:fld id="{08AE4086-2677-493D-A981-795B711D790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FB6-492B-BA83-987EA9BC68E9}"/>
                </c:ext>
              </c:extLst>
            </c:dLbl>
            <c:dLbl>
              <c:idx val="35"/>
              <c:tx>
                <c:rich>
                  <a:bodyPr/>
                  <a:lstStyle/>
                  <a:p>
                    <a:fld id="{85B063E9-A677-475A-A0BC-F52040757AB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FB6-492B-BA83-987EA9BC68E9}"/>
                </c:ext>
              </c:extLst>
            </c:dLbl>
            <c:dLbl>
              <c:idx val="36"/>
              <c:tx>
                <c:rich>
                  <a:bodyPr/>
                  <a:lstStyle/>
                  <a:p>
                    <a:fld id="{9EDE2E60-C05B-4812-A0F3-C147EB59557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FB6-492B-BA83-987EA9BC68E9}"/>
                </c:ext>
              </c:extLst>
            </c:dLbl>
            <c:dLbl>
              <c:idx val="37"/>
              <c:tx>
                <c:rich>
                  <a:bodyPr/>
                  <a:lstStyle/>
                  <a:p>
                    <a:fld id="{AFD58418-A754-4ECE-9FF7-E2E084A2D14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FB6-492B-BA83-987EA9BC68E9}"/>
                </c:ext>
              </c:extLst>
            </c:dLbl>
            <c:dLbl>
              <c:idx val="38"/>
              <c:tx>
                <c:rich>
                  <a:bodyPr/>
                  <a:lstStyle/>
                  <a:p>
                    <a:fld id="{9E522ACA-BAD1-4744-BAC9-3629AA34D37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FB6-492B-BA83-987EA9BC68E9}"/>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graf'!$AG$44:$AG$82</c:f>
              <c:numCache>
                <c:formatCode>General</c:formatCode>
                <c:ptCount val="39"/>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0FB6-492B-BA83-987EA9BC68E9}"/>
            </c:ext>
          </c:extLst>
        </c:ser>
        <c:ser>
          <c:idx val="0"/>
          <c:order val="2"/>
          <c:tx>
            <c:strRef>
              <c:f>'Prerađivačka_6 graf'!$AH$7</c:f>
              <c:strCache>
                <c:ptCount val="1"/>
                <c:pt idx="0">
                  <c:v>y</c:v>
                </c:pt>
              </c:strCache>
            </c:strRef>
          </c:tx>
          <c:spPr>
            <a:ln w="12700" cap="rnd">
              <a:solidFill>
                <a:srgbClr val="7F3F98"/>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graf'!$AH$44:$AH$82</c:f>
              <c:numCache>
                <c:formatCode>#.#00</c:formatCode>
                <c:ptCount val="39"/>
                <c:pt idx="0">
                  <c:v>89.739527219722419</c:v>
                </c:pt>
                <c:pt idx="1">
                  <c:v>109.74079472716905</c:v>
                </c:pt>
                <c:pt idx="2">
                  <c:v>106.24247417453579</c:v>
                </c:pt>
                <c:pt idx="3">
                  <c:v>50.497496672792963</c:v>
                </c:pt>
                <c:pt idx="4">
                  <c:v>84.948349071550808</c:v>
                </c:pt>
                <c:pt idx="5">
                  <c:v>97.040370112174429</c:v>
                </c:pt>
                <c:pt idx="6">
                  <c:v>104.56936434501554</c:v>
                </c:pt>
                <c:pt idx="7">
                  <c:v>101.3752455795678</c:v>
                </c:pt>
                <c:pt idx="8">
                  <c:v>118.10634387477027</c:v>
                </c:pt>
                <c:pt idx="9">
                  <c:v>119.24710057671592</c:v>
                </c:pt>
                <c:pt idx="10">
                  <c:v>110.80550098231828</c:v>
                </c:pt>
                <c:pt idx="11">
                  <c:v>102.43995183471704</c:v>
                </c:pt>
                <c:pt idx="12">
                  <c:v>86.773559794663797</c:v>
                </c:pt>
                <c:pt idx="13">
                  <c:v>104.49331389821917</c:v>
                </c:pt>
                <c:pt idx="14">
                  <c:v>111.87020723746753</c:v>
                </c:pt>
                <c:pt idx="15">
                  <c:v>107.00297864249953</c:v>
                </c:pt>
                <c:pt idx="16">
                  <c:v>103.35255719627354</c:v>
                </c:pt>
                <c:pt idx="17">
                  <c:v>111.41390455668929</c:v>
                </c:pt>
                <c:pt idx="18">
                  <c:v>107.00297864249953</c:v>
                </c:pt>
                <c:pt idx="19">
                  <c:v>96.127764750617928</c:v>
                </c:pt>
                <c:pt idx="20">
                  <c:v>107.23112998288866</c:v>
                </c:pt>
                <c:pt idx="21">
                  <c:v>108.9042398124089</c:v>
                </c:pt>
                <c:pt idx="22">
                  <c:v>107.61138221687054</c:v>
                </c:pt>
                <c:pt idx="23">
                  <c:v>101.3752455795678</c:v>
                </c:pt>
                <c:pt idx="24">
                  <c:v>88.7</c:v>
                </c:pt>
                <c:pt idx="25">
                  <c:v>102.62329485834208</c:v>
                </c:pt>
                <c:pt idx="26">
                  <c:v>110.4581673306773</c:v>
                </c:pt>
                <c:pt idx="27">
                  <c:v>97.8</c:v>
                </c:pt>
                <c:pt idx="28">
                  <c:v>104.5</c:v>
                </c:pt>
                <c:pt idx="29">
                  <c:v>106.7</c:v>
                </c:pt>
                <c:pt idx="30">
                  <c:v>95.8</c:v>
                </c:pt>
                <c:pt idx="31">
                  <c:v>92.6</c:v>
                </c:pt>
                <c:pt idx="32">
                  <c:v>104.7</c:v>
                </c:pt>
                <c:pt idx="33">
                  <c:v>108.6</c:v>
                </c:pt>
                <c:pt idx="34">
                  <c:v>96.4</c:v>
                </c:pt>
                <c:pt idx="35">
                  <c:v>90.5</c:v>
                </c:pt>
                <c:pt idx="36">
                  <c:v>84.5</c:v>
                </c:pt>
                <c:pt idx="37">
                  <c:v>97.8</c:v>
                </c:pt>
                <c:pt idx="38">
                  <c:v>110.9</c:v>
                </c:pt>
              </c:numCache>
            </c:numRef>
          </c:val>
          <c:smooth val="0"/>
          <c:extLst>
            <c:ext xmlns:c16="http://schemas.microsoft.com/office/drawing/2014/chart" uri="{C3380CC4-5D6E-409C-BE32-E72D297353CC}">
              <c16:uniqueId val="{0000002D-0FB6-492B-BA83-987EA9BC68E9}"/>
            </c:ext>
          </c:extLst>
        </c:ser>
        <c:ser>
          <c:idx val="1"/>
          <c:order val="3"/>
          <c:tx>
            <c:strRef>
              <c:f>'Prerađivačka_6 graf'!$AI$7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graf'!$AI$44:$AI$82</c:f>
              <c:numCache>
                <c:formatCode>#.#00</c:formatCode>
                <c:ptCount val="39"/>
                <c:pt idx="0">
                  <c:v>107.45641698086649</c:v>
                </c:pt>
                <c:pt idx="1">
                  <c:v>104.28947464396443</c:v>
                </c:pt>
                <c:pt idx="2">
                  <c:v>98.020758479017502</c:v>
                </c:pt>
                <c:pt idx="3">
                  <c:v>50.973925445514503</c:v>
                </c:pt>
                <c:pt idx="4">
                  <c:v>85.282681539234915</c:v>
                </c:pt>
                <c:pt idx="5">
                  <c:v>92.134100520627896</c:v>
                </c:pt>
                <c:pt idx="6">
                  <c:v>99.850135908538277</c:v>
                </c:pt>
                <c:pt idx="7">
                  <c:v>107.55258833373904</c:v>
                </c:pt>
                <c:pt idx="8">
                  <c:v>110.20287113804491</c:v>
                </c:pt>
                <c:pt idx="9">
                  <c:v>109.92865241514401</c:v>
                </c:pt>
                <c:pt idx="10">
                  <c:v>110.63979787044295</c:v>
                </c:pt>
                <c:pt idx="11">
                  <c:v>111.654391623116</c:v>
                </c:pt>
                <c:pt idx="12">
                  <c:v>104.98981923605508</c:v>
                </c:pt>
                <c:pt idx="13">
                  <c:v>105.6455760587899</c:v>
                </c:pt>
                <c:pt idx="14">
                  <c:v>102.2634513234017</c:v>
                </c:pt>
                <c:pt idx="15">
                  <c:v>108.56965842091844</c:v>
                </c:pt>
                <c:pt idx="16">
                  <c:v>101.31812949673382</c:v>
                </c:pt>
                <c:pt idx="17">
                  <c:v>106.01761780746286</c:v>
                </c:pt>
                <c:pt idx="18">
                  <c:v>104.82546624180905</c:v>
                </c:pt>
                <c:pt idx="19">
                  <c:v>101.30964898307607</c:v>
                </c:pt>
                <c:pt idx="20">
                  <c:v>100.05159577274128</c:v>
                </c:pt>
                <c:pt idx="21">
                  <c:v>101.21370168721784</c:v>
                </c:pt>
                <c:pt idx="22">
                  <c:v>105.5685232557214</c:v>
                </c:pt>
                <c:pt idx="23">
                  <c:v>109.00257965563534</c:v>
                </c:pt>
                <c:pt idx="24">
                  <c:v>104.53419366369759</c:v>
                </c:pt>
                <c:pt idx="25">
                  <c:v>103.52715599591619</c:v>
                </c:pt>
                <c:pt idx="26">
                  <c:v>101.17094782639137</c:v>
                </c:pt>
                <c:pt idx="27">
                  <c:v>100.05285484878137</c:v>
                </c:pt>
                <c:pt idx="28">
                  <c:v>103.45739135086278</c:v>
                </c:pt>
                <c:pt idx="29">
                  <c:v>101.33550553222017</c:v>
                </c:pt>
                <c:pt idx="30">
                  <c:v>95.903623924256834</c:v>
                </c:pt>
                <c:pt idx="31">
                  <c:v>96.763128376220962</c:v>
                </c:pt>
                <c:pt idx="32">
                  <c:v>97.970102945976194</c:v>
                </c:pt>
                <c:pt idx="33">
                  <c:v>100.60645366247304</c:v>
                </c:pt>
                <c:pt idx="34">
                  <c:v>94.557072279534822</c:v>
                </c:pt>
                <c:pt idx="35">
                  <c:v>97.867338930545017</c:v>
                </c:pt>
                <c:pt idx="36">
                  <c:v>98.005611776521548</c:v>
                </c:pt>
                <c:pt idx="37">
                  <c:v>98.547210325665972</c:v>
                </c:pt>
                <c:pt idx="38">
                  <c:v>101.59615440201988</c:v>
                </c:pt>
              </c:numCache>
            </c:numRef>
          </c:val>
          <c:smooth val="0"/>
          <c:extLst>
            <c:ext xmlns:c16="http://schemas.microsoft.com/office/drawing/2014/chart" uri="{C3380CC4-5D6E-409C-BE32-E72D297353CC}">
              <c16:uniqueId val="{0000002E-0FB6-492B-BA83-987EA9BC68E9}"/>
            </c:ext>
          </c:extLst>
        </c:ser>
        <c:ser>
          <c:idx val="2"/>
          <c:order val="4"/>
          <c:tx>
            <c:strRef>
              <c:f>'Prerađivačka_6 graf'!$AJ$7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graf'!$AJ$44:$AJ$82</c:f>
              <c:numCache>
                <c:formatCode>#.#00</c:formatCode>
                <c:ptCount val="39"/>
                <c:pt idx="0">
                  <c:v>101.08948445893382</c:v>
                </c:pt>
                <c:pt idx="1">
                  <c:v>99.762039700570384</c:v>
                </c:pt>
                <c:pt idx="2">
                  <c:v>98.226894302104526</c:v>
                </c:pt>
                <c:pt idx="3">
                  <c:v>97.231551232112025</c:v>
                </c:pt>
                <c:pt idx="4">
                  <c:v>97.361387758181124</c:v>
                </c:pt>
                <c:pt idx="5">
                  <c:v>98.891948038151284</c:v>
                </c:pt>
                <c:pt idx="6">
                  <c:v>101.70947321288796</c:v>
                </c:pt>
                <c:pt idx="7">
                  <c:v>105.18695842094151</c:v>
                </c:pt>
                <c:pt idx="8">
                  <c:v>108.26047825260335</c:v>
                </c:pt>
                <c:pt idx="9">
                  <c:v>109.95149491075965</c:v>
                </c:pt>
                <c:pt idx="10">
                  <c:v>110.17331637866255</c:v>
                </c:pt>
                <c:pt idx="11">
                  <c:v>109.17163225247575</c:v>
                </c:pt>
                <c:pt idx="12">
                  <c:v>107.55013642034558</c:v>
                </c:pt>
                <c:pt idx="13">
                  <c:v>106.08296568374786</c:v>
                </c:pt>
                <c:pt idx="14">
                  <c:v>105.16552968265198</c:v>
                </c:pt>
                <c:pt idx="15">
                  <c:v>104.67283491557393</c:v>
                </c:pt>
                <c:pt idx="16">
                  <c:v>104.27094183363381</c:v>
                </c:pt>
                <c:pt idx="17">
                  <c:v>103.7591038629013</c:v>
                </c:pt>
                <c:pt idx="18">
                  <c:v>103.1003237362663</c:v>
                </c:pt>
                <c:pt idx="19">
                  <c:v>102.50942640851616</c:v>
                </c:pt>
                <c:pt idx="20">
                  <c:v>102.37991300834233</c:v>
                </c:pt>
                <c:pt idx="21">
                  <c:v>102.75078399169855</c:v>
                </c:pt>
                <c:pt idx="22">
                  <c:v>103.32432278832113</c:v>
                </c:pt>
                <c:pt idx="23">
                  <c:v>103.68700018081795</c:v>
                </c:pt>
                <c:pt idx="24">
                  <c:v>103.80206254976932</c:v>
                </c:pt>
                <c:pt idx="25">
                  <c:v>103.46448765927117</c:v>
                </c:pt>
                <c:pt idx="26">
                  <c:v>102.71262376254224</c:v>
                </c:pt>
                <c:pt idx="27">
                  <c:v>101.72938440366995</c:v>
                </c:pt>
                <c:pt idx="28">
                  <c:v>100.80401457029676</c:v>
                </c:pt>
                <c:pt idx="29">
                  <c:v>99.934986545683543</c:v>
                </c:pt>
                <c:pt idx="30">
                  <c:v>99.037837186978123</c:v>
                </c:pt>
                <c:pt idx="31">
                  <c:v>98.184783137881865</c:v>
                </c:pt>
                <c:pt idx="32">
                  <c:v>97.444037755497234</c:v>
                </c:pt>
                <c:pt idx="33">
                  <c:v>97.035526238478923</c:v>
                </c:pt>
                <c:pt idx="34">
                  <c:v>97.128143381845206</c:v>
                </c:pt>
                <c:pt idx="35">
                  <c:v>97.640111194468204</c:v>
                </c:pt>
                <c:pt idx="36">
                  <c:v>98.309149662848441</c:v>
                </c:pt>
                <c:pt idx="37">
                  <c:v>99.002722996825639</c:v>
                </c:pt>
                <c:pt idx="38">
                  <c:v>99.632782779136946</c:v>
                </c:pt>
              </c:numCache>
            </c:numRef>
          </c:val>
          <c:smooth val="0"/>
          <c:extLst>
            <c:ext xmlns:c16="http://schemas.microsoft.com/office/drawing/2014/chart" uri="{C3380CC4-5D6E-409C-BE32-E72D297353CC}">
              <c16:uniqueId val="{0000002F-0FB6-492B-BA83-987EA9BC68E9}"/>
            </c:ext>
          </c:extLst>
        </c:ser>
        <c:dLbls>
          <c:showLegendKey val="0"/>
          <c:showVal val="0"/>
          <c:showCatName val="0"/>
          <c:showSerName val="0"/>
          <c:showPercent val="0"/>
          <c:showBubbleSize val="0"/>
        </c:dLbls>
        <c:marker val="1"/>
        <c:smooth val="0"/>
        <c:axId val="2092125712"/>
        <c:axId val="2092128432"/>
      </c:lineChart>
      <c:dateAx>
        <c:axId val="20921257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28432"/>
        <c:crosses val="autoZero"/>
        <c:auto val="1"/>
        <c:lblOffset val="0"/>
        <c:baseTimeUnit val="months"/>
        <c:majorUnit val="12"/>
        <c:majorTimeUnit val="months"/>
      </c:dateAx>
      <c:valAx>
        <c:axId val="2092128432"/>
        <c:scaling>
          <c:orientation val="minMax"/>
          <c:max val="12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25712"/>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graf'!$AK$7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335153589562704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208-4C54-A80C-9589F28CF494}"/>
                </c:ext>
              </c:extLst>
            </c:dLbl>
            <c:dLbl>
              <c:idx val="12"/>
              <c:layout>
                <c:manualLayout>
                  <c:x val="7.529659725306779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208-4C54-A80C-9589F28CF494}"/>
                </c:ext>
              </c:extLst>
            </c:dLbl>
            <c:dLbl>
              <c:idx val="24"/>
              <c:layout>
                <c:manualLayout>
                  <c:x val="7.6443097396772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208-4C54-A80C-9589F28CF494}"/>
                </c:ext>
              </c:extLst>
            </c:dLbl>
            <c:dLbl>
              <c:idx val="36"/>
              <c:layout>
                <c:manualLayout>
                  <c:x val="-1.899581079786446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208-4C54-A80C-9589F28CF49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graf'!$AK$44:$AK$82</c:f>
              <c:numCache>
                <c:formatCode>General</c:formatCode>
                <c:ptCount val="39"/>
                <c:pt idx="0">
                  <c:v>60</c:v>
                </c:pt>
                <c:pt idx="12">
                  <c:v>60</c:v>
                </c:pt>
                <c:pt idx="24">
                  <c:v>60</c:v>
                </c:pt>
                <c:pt idx="36">
                  <c:v>60</c:v>
                </c:pt>
              </c:numCache>
            </c:numRef>
          </c:val>
          <c:smooth val="0"/>
          <c:extLst>
            <c:ext xmlns:c16="http://schemas.microsoft.com/office/drawing/2014/chart" uri="{C3380CC4-5D6E-409C-BE32-E72D297353CC}">
              <c16:uniqueId val="{00000004-F208-4C54-A80C-9589F28CF494}"/>
            </c:ext>
          </c:extLst>
        </c:ser>
        <c:ser>
          <c:idx val="4"/>
          <c:order val="1"/>
          <c:tx>
            <c:strRef>
              <c:f>'Prerađivačka_6 graf'!$AL$7</c:f>
              <c:strCache>
                <c:ptCount val="1"/>
                <c:pt idx="0">
                  <c:v>Series5</c:v>
                </c:pt>
              </c:strCache>
            </c:strRef>
          </c:tx>
          <c:spPr>
            <a:ln w="25400" cap="rnd">
              <a:noFill/>
              <a:round/>
            </a:ln>
            <a:effectLst/>
          </c:spPr>
          <c:marker>
            <c:symbol val="none"/>
          </c:marker>
          <c:dLbls>
            <c:dLbl>
              <c:idx val="0"/>
              <c:tx>
                <c:rich>
                  <a:bodyPr/>
                  <a:lstStyle/>
                  <a:p>
                    <a:fld id="{4FA77F49-8EC2-4D37-A02D-676E9EA1357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F208-4C54-A80C-9589F28CF494}"/>
                </c:ext>
              </c:extLst>
            </c:dLbl>
            <c:dLbl>
              <c:idx val="1"/>
              <c:tx>
                <c:rich>
                  <a:bodyPr/>
                  <a:lstStyle/>
                  <a:p>
                    <a:fld id="{EF536693-5452-478D-91B8-D1317BCA596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F208-4C54-A80C-9589F28CF494}"/>
                </c:ext>
              </c:extLst>
            </c:dLbl>
            <c:dLbl>
              <c:idx val="2"/>
              <c:tx>
                <c:rich>
                  <a:bodyPr/>
                  <a:lstStyle/>
                  <a:p>
                    <a:fld id="{0D320C39-AE44-4FB1-8FC0-8CB290C39F7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F208-4C54-A80C-9589F28CF494}"/>
                </c:ext>
              </c:extLst>
            </c:dLbl>
            <c:dLbl>
              <c:idx val="3"/>
              <c:tx>
                <c:rich>
                  <a:bodyPr/>
                  <a:lstStyle/>
                  <a:p>
                    <a:fld id="{0D948EC5-CC7B-4CA8-BDCD-AFC93A3626F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F208-4C54-A80C-9589F28CF494}"/>
                </c:ext>
              </c:extLst>
            </c:dLbl>
            <c:dLbl>
              <c:idx val="4"/>
              <c:tx>
                <c:rich>
                  <a:bodyPr/>
                  <a:lstStyle/>
                  <a:p>
                    <a:fld id="{8EED285A-A85F-4689-9028-88A3B273841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F208-4C54-A80C-9589F28CF494}"/>
                </c:ext>
              </c:extLst>
            </c:dLbl>
            <c:dLbl>
              <c:idx val="5"/>
              <c:tx>
                <c:rich>
                  <a:bodyPr/>
                  <a:lstStyle/>
                  <a:p>
                    <a:fld id="{D495960A-7B06-4AC0-B1A7-2A7A71DEB20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F208-4C54-A80C-9589F28CF494}"/>
                </c:ext>
              </c:extLst>
            </c:dLbl>
            <c:dLbl>
              <c:idx val="6"/>
              <c:tx>
                <c:rich>
                  <a:bodyPr/>
                  <a:lstStyle/>
                  <a:p>
                    <a:fld id="{AA9045DF-7E4D-44AD-8611-C7ECB0671E2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F208-4C54-A80C-9589F28CF494}"/>
                </c:ext>
              </c:extLst>
            </c:dLbl>
            <c:dLbl>
              <c:idx val="7"/>
              <c:tx>
                <c:rich>
                  <a:bodyPr/>
                  <a:lstStyle/>
                  <a:p>
                    <a:fld id="{56DD1254-6351-4FA5-9303-BD9BF0449A9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F208-4C54-A80C-9589F28CF494}"/>
                </c:ext>
              </c:extLst>
            </c:dLbl>
            <c:dLbl>
              <c:idx val="8"/>
              <c:tx>
                <c:rich>
                  <a:bodyPr/>
                  <a:lstStyle/>
                  <a:p>
                    <a:fld id="{A0871C98-819F-42E8-B2D6-527A62AF2F6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F208-4C54-A80C-9589F28CF494}"/>
                </c:ext>
              </c:extLst>
            </c:dLbl>
            <c:dLbl>
              <c:idx val="9"/>
              <c:tx>
                <c:rich>
                  <a:bodyPr/>
                  <a:lstStyle/>
                  <a:p>
                    <a:fld id="{15D94133-3B11-4233-B6F1-9BBE6BDABC2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F208-4C54-A80C-9589F28CF494}"/>
                </c:ext>
              </c:extLst>
            </c:dLbl>
            <c:dLbl>
              <c:idx val="10"/>
              <c:tx>
                <c:rich>
                  <a:bodyPr/>
                  <a:lstStyle/>
                  <a:p>
                    <a:fld id="{801BD808-43D6-4D2D-B4CC-AB636D89FA3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F208-4C54-A80C-9589F28CF494}"/>
                </c:ext>
              </c:extLst>
            </c:dLbl>
            <c:dLbl>
              <c:idx val="11"/>
              <c:tx>
                <c:rich>
                  <a:bodyPr/>
                  <a:lstStyle/>
                  <a:p>
                    <a:fld id="{D6F1FC7B-A02E-4E48-8753-9BC66A583B1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F208-4C54-A80C-9589F28CF494}"/>
                </c:ext>
              </c:extLst>
            </c:dLbl>
            <c:dLbl>
              <c:idx val="12"/>
              <c:tx>
                <c:rich>
                  <a:bodyPr/>
                  <a:lstStyle/>
                  <a:p>
                    <a:fld id="{63ACBA88-3350-4287-B50D-5C1D2DB413D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F208-4C54-A80C-9589F28CF494}"/>
                </c:ext>
              </c:extLst>
            </c:dLbl>
            <c:dLbl>
              <c:idx val="13"/>
              <c:tx>
                <c:rich>
                  <a:bodyPr/>
                  <a:lstStyle/>
                  <a:p>
                    <a:fld id="{834BA518-7717-4A6C-93B9-8C555A04863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F208-4C54-A80C-9589F28CF494}"/>
                </c:ext>
              </c:extLst>
            </c:dLbl>
            <c:dLbl>
              <c:idx val="14"/>
              <c:tx>
                <c:rich>
                  <a:bodyPr/>
                  <a:lstStyle/>
                  <a:p>
                    <a:fld id="{FC9A1E5E-F4A1-4BB6-93FB-C4782BDD863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F208-4C54-A80C-9589F28CF494}"/>
                </c:ext>
              </c:extLst>
            </c:dLbl>
            <c:dLbl>
              <c:idx val="15"/>
              <c:tx>
                <c:rich>
                  <a:bodyPr/>
                  <a:lstStyle/>
                  <a:p>
                    <a:fld id="{159EE476-E35D-49F0-841D-1555D8AD15E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F208-4C54-A80C-9589F28CF494}"/>
                </c:ext>
              </c:extLst>
            </c:dLbl>
            <c:dLbl>
              <c:idx val="16"/>
              <c:tx>
                <c:rich>
                  <a:bodyPr/>
                  <a:lstStyle/>
                  <a:p>
                    <a:fld id="{B74BB70C-83F6-4CBA-AC0F-4FD5008451B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F208-4C54-A80C-9589F28CF494}"/>
                </c:ext>
              </c:extLst>
            </c:dLbl>
            <c:dLbl>
              <c:idx val="17"/>
              <c:tx>
                <c:rich>
                  <a:bodyPr/>
                  <a:lstStyle/>
                  <a:p>
                    <a:fld id="{A1A21114-3A07-4243-8C0B-13F4AA15FC3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F208-4C54-A80C-9589F28CF494}"/>
                </c:ext>
              </c:extLst>
            </c:dLbl>
            <c:dLbl>
              <c:idx val="18"/>
              <c:tx>
                <c:rich>
                  <a:bodyPr/>
                  <a:lstStyle/>
                  <a:p>
                    <a:fld id="{28DD2DDA-6144-47E7-A603-8355753D7F3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F208-4C54-A80C-9589F28CF494}"/>
                </c:ext>
              </c:extLst>
            </c:dLbl>
            <c:dLbl>
              <c:idx val="19"/>
              <c:tx>
                <c:rich>
                  <a:bodyPr/>
                  <a:lstStyle/>
                  <a:p>
                    <a:fld id="{5DAFF53D-5B3C-415C-8E48-D26460A4548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F208-4C54-A80C-9589F28CF494}"/>
                </c:ext>
              </c:extLst>
            </c:dLbl>
            <c:dLbl>
              <c:idx val="20"/>
              <c:tx>
                <c:rich>
                  <a:bodyPr/>
                  <a:lstStyle/>
                  <a:p>
                    <a:fld id="{0F95B796-62E9-496A-92CC-FB8E55CF10A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F208-4C54-A80C-9589F28CF494}"/>
                </c:ext>
              </c:extLst>
            </c:dLbl>
            <c:dLbl>
              <c:idx val="21"/>
              <c:tx>
                <c:rich>
                  <a:bodyPr/>
                  <a:lstStyle/>
                  <a:p>
                    <a:fld id="{24E7924E-1B9F-49D2-AC84-B68525D631F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F208-4C54-A80C-9589F28CF494}"/>
                </c:ext>
              </c:extLst>
            </c:dLbl>
            <c:dLbl>
              <c:idx val="22"/>
              <c:tx>
                <c:rich>
                  <a:bodyPr/>
                  <a:lstStyle/>
                  <a:p>
                    <a:fld id="{36735429-3188-46CB-936F-F4ABF6498C5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F208-4C54-A80C-9589F28CF494}"/>
                </c:ext>
              </c:extLst>
            </c:dLbl>
            <c:dLbl>
              <c:idx val="23"/>
              <c:tx>
                <c:rich>
                  <a:bodyPr/>
                  <a:lstStyle/>
                  <a:p>
                    <a:fld id="{4E6C1955-C209-4583-A09B-334F25477C2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F208-4C54-A80C-9589F28CF494}"/>
                </c:ext>
              </c:extLst>
            </c:dLbl>
            <c:dLbl>
              <c:idx val="24"/>
              <c:tx>
                <c:rich>
                  <a:bodyPr/>
                  <a:lstStyle/>
                  <a:p>
                    <a:fld id="{3EBE9420-41B8-48A2-A972-45CEF4DA455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F208-4C54-A80C-9589F28CF494}"/>
                </c:ext>
              </c:extLst>
            </c:dLbl>
            <c:dLbl>
              <c:idx val="25"/>
              <c:tx>
                <c:rich>
                  <a:bodyPr/>
                  <a:lstStyle/>
                  <a:p>
                    <a:fld id="{33C7FB07-9ADD-4C25-9133-1BFDC83FC83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F208-4C54-A80C-9589F28CF494}"/>
                </c:ext>
              </c:extLst>
            </c:dLbl>
            <c:dLbl>
              <c:idx val="26"/>
              <c:tx>
                <c:rich>
                  <a:bodyPr/>
                  <a:lstStyle/>
                  <a:p>
                    <a:fld id="{7186F480-1DE9-4BDE-BE41-6E3078FE244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F208-4C54-A80C-9589F28CF494}"/>
                </c:ext>
              </c:extLst>
            </c:dLbl>
            <c:dLbl>
              <c:idx val="27"/>
              <c:tx>
                <c:rich>
                  <a:bodyPr/>
                  <a:lstStyle/>
                  <a:p>
                    <a:fld id="{ABB92C1F-FBCD-4ADA-B758-889BB269937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F208-4C54-A80C-9589F28CF494}"/>
                </c:ext>
              </c:extLst>
            </c:dLbl>
            <c:dLbl>
              <c:idx val="28"/>
              <c:tx>
                <c:rich>
                  <a:bodyPr/>
                  <a:lstStyle/>
                  <a:p>
                    <a:fld id="{860CD1B7-2060-4E7A-AB6B-62256B9E1D5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F208-4C54-A80C-9589F28CF494}"/>
                </c:ext>
              </c:extLst>
            </c:dLbl>
            <c:dLbl>
              <c:idx val="29"/>
              <c:tx>
                <c:rich>
                  <a:bodyPr/>
                  <a:lstStyle/>
                  <a:p>
                    <a:fld id="{79641038-4011-469C-AA96-CA96EDECFEC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F208-4C54-A80C-9589F28CF494}"/>
                </c:ext>
              </c:extLst>
            </c:dLbl>
            <c:dLbl>
              <c:idx val="30"/>
              <c:tx>
                <c:rich>
                  <a:bodyPr/>
                  <a:lstStyle/>
                  <a:p>
                    <a:fld id="{1EACFAFB-C256-4D70-985A-14299820E4D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F208-4C54-A80C-9589F28CF494}"/>
                </c:ext>
              </c:extLst>
            </c:dLbl>
            <c:dLbl>
              <c:idx val="31"/>
              <c:tx>
                <c:rich>
                  <a:bodyPr/>
                  <a:lstStyle/>
                  <a:p>
                    <a:fld id="{F97971E5-8603-497E-BC98-2307FCEA4B9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F208-4C54-A80C-9589F28CF494}"/>
                </c:ext>
              </c:extLst>
            </c:dLbl>
            <c:dLbl>
              <c:idx val="32"/>
              <c:tx>
                <c:rich>
                  <a:bodyPr/>
                  <a:lstStyle/>
                  <a:p>
                    <a:fld id="{AF3119EB-BF17-4464-B63B-060E7E9C850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F208-4C54-A80C-9589F28CF494}"/>
                </c:ext>
              </c:extLst>
            </c:dLbl>
            <c:dLbl>
              <c:idx val="33"/>
              <c:tx>
                <c:rich>
                  <a:bodyPr/>
                  <a:lstStyle/>
                  <a:p>
                    <a:fld id="{829E7A7B-1309-44C5-B6D1-121792511FF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F208-4C54-A80C-9589F28CF494}"/>
                </c:ext>
              </c:extLst>
            </c:dLbl>
            <c:dLbl>
              <c:idx val="34"/>
              <c:tx>
                <c:rich>
                  <a:bodyPr/>
                  <a:lstStyle/>
                  <a:p>
                    <a:fld id="{1E7CBA97-463B-4C06-AEC2-AB9EBFDCD04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F208-4C54-A80C-9589F28CF494}"/>
                </c:ext>
              </c:extLst>
            </c:dLbl>
            <c:dLbl>
              <c:idx val="35"/>
              <c:tx>
                <c:rich>
                  <a:bodyPr/>
                  <a:lstStyle/>
                  <a:p>
                    <a:fld id="{DCABB220-E6B2-424E-B9E1-AC7891FE540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F208-4C54-A80C-9589F28CF494}"/>
                </c:ext>
              </c:extLst>
            </c:dLbl>
            <c:dLbl>
              <c:idx val="36"/>
              <c:tx>
                <c:rich>
                  <a:bodyPr/>
                  <a:lstStyle/>
                  <a:p>
                    <a:fld id="{0F5FDF86-085D-45B0-A20D-0A5D07103CE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F208-4C54-A80C-9589F28CF494}"/>
                </c:ext>
              </c:extLst>
            </c:dLbl>
            <c:dLbl>
              <c:idx val="37"/>
              <c:tx>
                <c:rich>
                  <a:bodyPr/>
                  <a:lstStyle/>
                  <a:p>
                    <a:fld id="{8BFA3BCB-DE59-4CA7-AF56-45929B6F429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F208-4C54-A80C-9589F28CF494}"/>
                </c:ext>
              </c:extLst>
            </c:dLbl>
            <c:dLbl>
              <c:idx val="38"/>
              <c:tx>
                <c:rich>
                  <a:bodyPr/>
                  <a:lstStyle/>
                  <a:p>
                    <a:fld id="{ED5E8D81-85B4-43F0-B36A-CDDE3E097E2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F208-4C54-A80C-9589F28CF494}"/>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graf'!$AL$44:$AL$82</c:f>
              <c:numCache>
                <c:formatCode>General</c:formatCode>
                <c:ptCount val="39"/>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F208-4C54-A80C-9589F28CF494}"/>
            </c:ext>
          </c:extLst>
        </c:ser>
        <c:ser>
          <c:idx val="0"/>
          <c:order val="2"/>
          <c:tx>
            <c:strRef>
              <c:f>'Prerađivačka_6 graf'!$AM$7</c:f>
              <c:strCache>
                <c:ptCount val="1"/>
                <c:pt idx="0">
                  <c:v>y</c:v>
                </c:pt>
              </c:strCache>
            </c:strRef>
          </c:tx>
          <c:spPr>
            <a:ln w="12700" cap="rnd">
              <a:solidFill>
                <a:srgbClr val="92278F"/>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graf'!$AM$44:$AM$82</c:f>
              <c:numCache>
                <c:formatCode>#.#00</c:formatCode>
                <c:ptCount val="39"/>
                <c:pt idx="0">
                  <c:v>118.44630616907847</c:v>
                </c:pt>
                <c:pt idx="1">
                  <c:v>109.39832444782942</c:v>
                </c:pt>
                <c:pt idx="2">
                  <c:v>110.40365575019042</c:v>
                </c:pt>
                <c:pt idx="3">
                  <c:v>109.4897182025895</c:v>
                </c:pt>
                <c:pt idx="4">
                  <c:v>111.22619954303126</c:v>
                </c:pt>
                <c:pt idx="5">
                  <c:v>117.25818735719729</c:v>
                </c:pt>
                <c:pt idx="6">
                  <c:v>119.54303122619959</c:v>
                </c:pt>
                <c:pt idx="7">
                  <c:v>116.43564356435647</c:v>
                </c:pt>
                <c:pt idx="8">
                  <c:v>111.95734958111198</c:v>
                </c:pt>
                <c:pt idx="9">
                  <c:v>89.748667174409775</c:v>
                </c:pt>
                <c:pt idx="10">
                  <c:v>96.146230007616168</c:v>
                </c:pt>
                <c:pt idx="11">
                  <c:v>128.31683168316835</c:v>
                </c:pt>
                <c:pt idx="12">
                  <c:v>119.72581873571974</c:v>
                </c:pt>
                <c:pt idx="13">
                  <c:v>112.32292460015236</c:v>
                </c:pt>
                <c:pt idx="14">
                  <c:v>128.77380045696881</c:v>
                </c:pt>
                <c:pt idx="15">
                  <c:v>118.53769992383856</c:v>
                </c:pt>
                <c:pt idx="16">
                  <c:v>118.26351865955829</c:v>
                </c:pt>
                <c:pt idx="17">
                  <c:v>117.53236862147756</c:v>
                </c:pt>
                <c:pt idx="18">
                  <c:v>124.20411271896424</c:v>
                </c:pt>
                <c:pt idx="19">
                  <c:v>128.04265041888806</c:v>
                </c:pt>
                <c:pt idx="20">
                  <c:v>129.87052551408988</c:v>
                </c:pt>
                <c:pt idx="21">
                  <c:v>115.24752475247526</c:v>
                </c:pt>
                <c:pt idx="22">
                  <c:v>113.14546839299318</c:v>
                </c:pt>
                <c:pt idx="23">
                  <c:v>134.44021325209445</c:v>
                </c:pt>
                <c:pt idx="24">
                  <c:v>125.8</c:v>
                </c:pt>
                <c:pt idx="25">
                  <c:v>123.49102773246331</c:v>
                </c:pt>
                <c:pt idx="26">
                  <c:v>133.38683788121989</c:v>
                </c:pt>
                <c:pt idx="27">
                  <c:v>121.9</c:v>
                </c:pt>
                <c:pt idx="28">
                  <c:v>111.3</c:v>
                </c:pt>
                <c:pt idx="29">
                  <c:v>90.6</c:v>
                </c:pt>
                <c:pt idx="30">
                  <c:v>86.4</c:v>
                </c:pt>
                <c:pt idx="31">
                  <c:v>85.1</c:v>
                </c:pt>
                <c:pt idx="32">
                  <c:v>82.7</c:v>
                </c:pt>
                <c:pt idx="33">
                  <c:v>83</c:v>
                </c:pt>
                <c:pt idx="34">
                  <c:v>84.3</c:v>
                </c:pt>
                <c:pt idx="35">
                  <c:v>72</c:v>
                </c:pt>
                <c:pt idx="36">
                  <c:v>67.7</c:v>
                </c:pt>
                <c:pt idx="37">
                  <c:v>75.7</c:v>
                </c:pt>
                <c:pt idx="38">
                  <c:v>83.1</c:v>
                </c:pt>
              </c:numCache>
            </c:numRef>
          </c:val>
          <c:smooth val="0"/>
          <c:extLst>
            <c:ext xmlns:c16="http://schemas.microsoft.com/office/drawing/2014/chart" uri="{C3380CC4-5D6E-409C-BE32-E72D297353CC}">
              <c16:uniqueId val="{0000002D-F208-4C54-A80C-9589F28CF494}"/>
            </c:ext>
          </c:extLst>
        </c:ser>
        <c:ser>
          <c:idx val="1"/>
          <c:order val="3"/>
          <c:tx>
            <c:strRef>
              <c:f>'Prerađivačka_6 graf'!$AN$7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graf'!$AN$44:$AN$82</c:f>
              <c:numCache>
                <c:formatCode>#.#00</c:formatCode>
                <c:ptCount val="39"/>
                <c:pt idx="0">
                  <c:v>127.46813037618801</c:v>
                </c:pt>
                <c:pt idx="1">
                  <c:v>114.14323252797912</c:v>
                </c:pt>
                <c:pt idx="2">
                  <c:v>104.73424629293797</c:v>
                </c:pt>
                <c:pt idx="3">
                  <c:v>105.36750424698843</c:v>
                </c:pt>
                <c:pt idx="4">
                  <c:v>108.28184815301786</c:v>
                </c:pt>
                <c:pt idx="5">
                  <c:v>115.93026928593731</c:v>
                </c:pt>
                <c:pt idx="6">
                  <c:v>115.89457916552391</c:v>
                </c:pt>
                <c:pt idx="7">
                  <c:v>117.61433925957773</c:v>
                </c:pt>
                <c:pt idx="8">
                  <c:v>112.13852766500297</c:v>
                </c:pt>
                <c:pt idx="9">
                  <c:v>89.933890382203472</c:v>
                </c:pt>
                <c:pt idx="10">
                  <c:v>103.52273250868762</c:v>
                </c:pt>
                <c:pt idx="11">
                  <c:v>121.3036726073271</c:v>
                </c:pt>
                <c:pt idx="12">
                  <c:v>130.46701005622688</c:v>
                </c:pt>
                <c:pt idx="13">
                  <c:v>117.83090038568164</c:v>
                </c:pt>
                <c:pt idx="14">
                  <c:v>118.46875989094799</c:v>
                </c:pt>
                <c:pt idx="15">
                  <c:v>114.37595950768794</c:v>
                </c:pt>
                <c:pt idx="16">
                  <c:v>111.34488770541148</c:v>
                </c:pt>
                <c:pt idx="17">
                  <c:v>117.23804780569702</c:v>
                </c:pt>
                <c:pt idx="18">
                  <c:v>123.82538690785748</c:v>
                </c:pt>
                <c:pt idx="19">
                  <c:v>126.95295515845824</c:v>
                </c:pt>
                <c:pt idx="20">
                  <c:v>129.06043271177728</c:v>
                </c:pt>
                <c:pt idx="21">
                  <c:v>118.57448338612235</c:v>
                </c:pt>
                <c:pt idx="22">
                  <c:v>121.56386870932181</c:v>
                </c:pt>
                <c:pt idx="23">
                  <c:v>127.29643264611543</c:v>
                </c:pt>
                <c:pt idx="24">
                  <c:v>132.79039395590422</c:v>
                </c:pt>
                <c:pt idx="25">
                  <c:v>126.47374013317547</c:v>
                </c:pt>
                <c:pt idx="26">
                  <c:v>120.35903165967615</c:v>
                </c:pt>
                <c:pt idx="27">
                  <c:v>118.6567014721403</c:v>
                </c:pt>
                <c:pt idx="28">
                  <c:v>106.57213771430098</c:v>
                </c:pt>
                <c:pt idx="29">
                  <c:v>91.183684953373501</c:v>
                </c:pt>
                <c:pt idx="30">
                  <c:v>88.054156556341553</c:v>
                </c:pt>
                <c:pt idx="31">
                  <c:v>83.061066143529246</c:v>
                </c:pt>
                <c:pt idx="32">
                  <c:v>81.993343216762881</c:v>
                </c:pt>
                <c:pt idx="33">
                  <c:v>86.115259213735811</c:v>
                </c:pt>
                <c:pt idx="34">
                  <c:v>91.461869012254326</c:v>
                </c:pt>
                <c:pt idx="35">
                  <c:v>69.693602575940048</c:v>
                </c:pt>
                <c:pt idx="36">
                  <c:v>69.900897877855812</c:v>
                </c:pt>
                <c:pt idx="37">
                  <c:v>76.291078181060442</c:v>
                </c:pt>
                <c:pt idx="38">
                  <c:v>74.256325633286778</c:v>
                </c:pt>
              </c:numCache>
            </c:numRef>
          </c:val>
          <c:smooth val="0"/>
          <c:extLst>
            <c:ext xmlns:c16="http://schemas.microsoft.com/office/drawing/2014/chart" uri="{C3380CC4-5D6E-409C-BE32-E72D297353CC}">
              <c16:uniqueId val="{0000002E-F208-4C54-A80C-9589F28CF494}"/>
            </c:ext>
          </c:extLst>
        </c:ser>
        <c:ser>
          <c:idx val="2"/>
          <c:order val="4"/>
          <c:tx>
            <c:strRef>
              <c:f>'Prerađivačka_6 graf'!$AO$7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graf'!$AO$44:$AO$82</c:f>
              <c:numCache>
                <c:formatCode>#.#00</c:formatCode>
                <c:ptCount val="39"/>
                <c:pt idx="0">
                  <c:v>123.65225014619404</c:v>
                </c:pt>
                <c:pt idx="1">
                  <c:v>115.90430896678764</c:v>
                </c:pt>
                <c:pt idx="2">
                  <c:v>110.69939700318697</c:v>
                </c:pt>
                <c:pt idx="3">
                  <c:v>108.77964825550279</c:v>
                </c:pt>
                <c:pt idx="4">
                  <c:v>109.65516303175741</c:v>
                </c:pt>
                <c:pt idx="5">
                  <c:v>111.64551326484998</c:v>
                </c:pt>
                <c:pt idx="6">
                  <c:v>113.21263719550905</c:v>
                </c:pt>
                <c:pt idx="7">
                  <c:v>113.6978309669541</c:v>
                </c:pt>
                <c:pt idx="8">
                  <c:v>113.13692869915737</c:v>
                </c:pt>
                <c:pt idx="9">
                  <c:v>112.56728128615009</c:v>
                </c:pt>
                <c:pt idx="10">
                  <c:v>112.89712715914327</c:v>
                </c:pt>
                <c:pt idx="11">
                  <c:v>114.06310782882801</c:v>
                </c:pt>
                <c:pt idx="12">
                  <c:v>115.33925292537387</c:v>
                </c:pt>
                <c:pt idx="13">
                  <c:v>116.01158860557051</c:v>
                </c:pt>
                <c:pt idx="14">
                  <c:v>116.02616053155917</c:v>
                </c:pt>
                <c:pt idx="15">
                  <c:v>116.12928641748807</c:v>
                </c:pt>
                <c:pt idx="16">
                  <c:v>117.06215532544543</c:v>
                </c:pt>
                <c:pt idx="17">
                  <c:v>118.89790360803829</c:v>
                </c:pt>
                <c:pt idx="18">
                  <c:v>121.10565136989268</c:v>
                </c:pt>
                <c:pt idx="19">
                  <c:v>122.95252562613679</c:v>
                </c:pt>
                <c:pt idx="20">
                  <c:v>124.44987425089381</c:v>
                </c:pt>
                <c:pt idx="21">
                  <c:v>125.48888704536527</c:v>
                </c:pt>
                <c:pt idx="22">
                  <c:v>126.27466070802076</c:v>
                </c:pt>
                <c:pt idx="23">
                  <c:v>127.06538074161605</c:v>
                </c:pt>
                <c:pt idx="24">
                  <c:v>127.27403956453162</c:v>
                </c:pt>
                <c:pt idx="25">
                  <c:v>125.69060977263013</c:v>
                </c:pt>
                <c:pt idx="26">
                  <c:v>121.31907654452952</c:v>
                </c:pt>
                <c:pt idx="27">
                  <c:v>114.06736427266593</c:v>
                </c:pt>
                <c:pt idx="28">
                  <c:v>105.22823215652177</c:v>
                </c:pt>
                <c:pt idx="29">
                  <c:v>96.844466751026673</c:v>
                </c:pt>
                <c:pt idx="30">
                  <c:v>90.158078074728621</c:v>
                </c:pt>
                <c:pt idx="31">
                  <c:v>85.270829421892756</c:v>
                </c:pt>
                <c:pt idx="32">
                  <c:v>81.819421962138676</c:v>
                </c:pt>
                <c:pt idx="33">
                  <c:v>79.324853232943056</c:v>
                </c:pt>
                <c:pt idx="34">
                  <c:v>77.242459742465186</c:v>
                </c:pt>
                <c:pt idx="35">
                  <c:v>75.316487303730099</c:v>
                </c:pt>
                <c:pt idx="36">
                  <c:v>74.046120586233542</c:v>
                </c:pt>
                <c:pt idx="37">
                  <c:v>73.992974657484481</c:v>
                </c:pt>
                <c:pt idx="38">
                  <c:v>75.081072829870124</c:v>
                </c:pt>
              </c:numCache>
            </c:numRef>
          </c:val>
          <c:smooth val="0"/>
          <c:extLst>
            <c:ext xmlns:c16="http://schemas.microsoft.com/office/drawing/2014/chart" uri="{C3380CC4-5D6E-409C-BE32-E72D297353CC}">
              <c16:uniqueId val="{0000002F-F208-4C54-A80C-9589F28CF494}"/>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6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'Prerađivačka_6 graf'!$V$7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80933469199348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FD0-4C9C-83FF-9840A43611E0}"/>
                </c:ext>
              </c:extLst>
            </c:dLbl>
            <c:dLbl>
              <c:idx val="12"/>
              <c:layout>
                <c:manualLayout>
                  <c:x val="6.654856774575636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FD0-4C9C-83FF-9840A43611E0}"/>
                </c:ext>
              </c:extLst>
            </c:dLbl>
            <c:dLbl>
              <c:idx val="24"/>
              <c:layout>
                <c:manualLayout>
                  <c:x val="7.202501328177392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FD0-4C9C-83FF-9840A43611E0}"/>
                </c:ext>
              </c:extLst>
            </c:dLbl>
            <c:dLbl>
              <c:idx val="36"/>
              <c:layout>
                <c:manualLayout>
                  <c:x val="-1.899581079786446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FD0-4C9C-83FF-9840A43611E0}"/>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graf'!$V$44:$V$82</c:f>
              <c:numCache>
                <c:formatCode>General</c:formatCode>
                <c:ptCount val="39"/>
                <c:pt idx="0">
                  <c:v>70</c:v>
                </c:pt>
                <c:pt idx="12">
                  <c:v>70</c:v>
                </c:pt>
                <c:pt idx="24">
                  <c:v>70</c:v>
                </c:pt>
                <c:pt idx="36">
                  <c:v>70</c:v>
                </c:pt>
              </c:numCache>
            </c:numRef>
          </c:val>
          <c:smooth val="0"/>
          <c:extLst>
            <c:ext xmlns:c16="http://schemas.microsoft.com/office/drawing/2014/chart" uri="{C3380CC4-5D6E-409C-BE32-E72D297353CC}">
              <c16:uniqueId val="{00000004-3FD0-4C9C-83FF-9840A43611E0}"/>
            </c:ext>
          </c:extLst>
        </c:ser>
        <c:ser>
          <c:idx val="4"/>
          <c:order val="1"/>
          <c:tx>
            <c:strRef>
              <c:f>'Prerađivačka_6 graf'!$W$7</c:f>
              <c:strCache>
                <c:ptCount val="1"/>
                <c:pt idx="0">
                  <c:v>Series5</c:v>
                </c:pt>
              </c:strCache>
            </c:strRef>
          </c:tx>
          <c:spPr>
            <a:ln w="25400" cap="rnd">
              <a:noFill/>
              <a:round/>
            </a:ln>
            <a:effectLst/>
          </c:spPr>
          <c:marker>
            <c:symbol val="none"/>
          </c:marker>
          <c:dLbls>
            <c:dLbl>
              <c:idx val="0"/>
              <c:tx>
                <c:rich>
                  <a:bodyPr/>
                  <a:lstStyle/>
                  <a:p>
                    <a:fld id="{02C3948F-1DFB-4171-B325-D80336053F9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3FD0-4C9C-83FF-9840A43611E0}"/>
                </c:ext>
              </c:extLst>
            </c:dLbl>
            <c:dLbl>
              <c:idx val="1"/>
              <c:tx>
                <c:rich>
                  <a:bodyPr/>
                  <a:lstStyle/>
                  <a:p>
                    <a:fld id="{21608BAA-320E-4A23-8AF4-02B20AF052E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3FD0-4C9C-83FF-9840A43611E0}"/>
                </c:ext>
              </c:extLst>
            </c:dLbl>
            <c:dLbl>
              <c:idx val="2"/>
              <c:tx>
                <c:rich>
                  <a:bodyPr/>
                  <a:lstStyle/>
                  <a:p>
                    <a:fld id="{79AB9CFC-47BE-4AE1-999C-F9F6AACDC66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3FD0-4C9C-83FF-9840A43611E0}"/>
                </c:ext>
              </c:extLst>
            </c:dLbl>
            <c:dLbl>
              <c:idx val="3"/>
              <c:tx>
                <c:rich>
                  <a:bodyPr/>
                  <a:lstStyle/>
                  <a:p>
                    <a:fld id="{74C9AA43-03D2-4B15-8D4A-AD902A0D988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3FD0-4C9C-83FF-9840A43611E0}"/>
                </c:ext>
              </c:extLst>
            </c:dLbl>
            <c:dLbl>
              <c:idx val="4"/>
              <c:tx>
                <c:rich>
                  <a:bodyPr/>
                  <a:lstStyle/>
                  <a:p>
                    <a:fld id="{10E60A6F-63C8-4E44-AB27-CF91B6486A6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3FD0-4C9C-83FF-9840A43611E0}"/>
                </c:ext>
              </c:extLst>
            </c:dLbl>
            <c:dLbl>
              <c:idx val="5"/>
              <c:tx>
                <c:rich>
                  <a:bodyPr/>
                  <a:lstStyle/>
                  <a:p>
                    <a:fld id="{65E29606-3D8C-4FF4-BF5E-B906760AC2A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3FD0-4C9C-83FF-9840A43611E0}"/>
                </c:ext>
              </c:extLst>
            </c:dLbl>
            <c:dLbl>
              <c:idx val="6"/>
              <c:tx>
                <c:rich>
                  <a:bodyPr/>
                  <a:lstStyle/>
                  <a:p>
                    <a:fld id="{E17425E8-83C5-4DFC-88D4-531A32168E4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3FD0-4C9C-83FF-9840A43611E0}"/>
                </c:ext>
              </c:extLst>
            </c:dLbl>
            <c:dLbl>
              <c:idx val="7"/>
              <c:tx>
                <c:rich>
                  <a:bodyPr/>
                  <a:lstStyle/>
                  <a:p>
                    <a:fld id="{B34ED360-F24F-4AD3-9800-A43C86D758F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3FD0-4C9C-83FF-9840A43611E0}"/>
                </c:ext>
              </c:extLst>
            </c:dLbl>
            <c:dLbl>
              <c:idx val="8"/>
              <c:tx>
                <c:rich>
                  <a:bodyPr/>
                  <a:lstStyle/>
                  <a:p>
                    <a:fld id="{A7824FA0-8D72-4733-AA04-7F96657EAFA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3FD0-4C9C-83FF-9840A43611E0}"/>
                </c:ext>
              </c:extLst>
            </c:dLbl>
            <c:dLbl>
              <c:idx val="9"/>
              <c:tx>
                <c:rich>
                  <a:bodyPr/>
                  <a:lstStyle/>
                  <a:p>
                    <a:fld id="{8A744167-EA2B-488A-883A-9E64ADFDA12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3FD0-4C9C-83FF-9840A43611E0}"/>
                </c:ext>
              </c:extLst>
            </c:dLbl>
            <c:dLbl>
              <c:idx val="10"/>
              <c:tx>
                <c:rich>
                  <a:bodyPr/>
                  <a:lstStyle/>
                  <a:p>
                    <a:fld id="{508DCD1D-DD1F-4FB8-937A-D08594DD457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3FD0-4C9C-83FF-9840A43611E0}"/>
                </c:ext>
              </c:extLst>
            </c:dLbl>
            <c:dLbl>
              <c:idx val="11"/>
              <c:tx>
                <c:rich>
                  <a:bodyPr/>
                  <a:lstStyle/>
                  <a:p>
                    <a:fld id="{543FFDC9-4D01-4AC2-B8B9-C4AF39D28FA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3FD0-4C9C-83FF-9840A43611E0}"/>
                </c:ext>
              </c:extLst>
            </c:dLbl>
            <c:dLbl>
              <c:idx val="12"/>
              <c:tx>
                <c:rich>
                  <a:bodyPr/>
                  <a:lstStyle/>
                  <a:p>
                    <a:fld id="{937B1079-7D0B-495F-BBC6-E6C4D458D98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3FD0-4C9C-83FF-9840A43611E0}"/>
                </c:ext>
              </c:extLst>
            </c:dLbl>
            <c:dLbl>
              <c:idx val="13"/>
              <c:tx>
                <c:rich>
                  <a:bodyPr/>
                  <a:lstStyle/>
                  <a:p>
                    <a:fld id="{403E5F23-1D60-4FB2-ACAF-D18B0F36F56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3FD0-4C9C-83FF-9840A43611E0}"/>
                </c:ext>
              </c:extLst>
            </c:dLbl>
            <c:dLbl>
              <c:idx val="14"/>
              <c:tx>
                <c:rich>
                  <a:bodyPr/>
                  <a:lstStyle/>
                  <a:p>
                    <a:fld id="{37866A9D-D0D6-4855-9F29-F0D01B3238E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3FD0-4C9C-83FF-9840A43611E0}"/>
                </c:ext>
              </c:extLst>
            </c:dLbl>
            <c:dLbl>
              <c:idx val="15"/>
              <c:tx>
                <c:rich>
                  <a:bodyPr/>
                  <a:lstStyle/>
                  <a:p>
                    <a:fld id="{55D1720A-3752-4F34-BE24-3D41978124B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3FD0-4C9C-83FF-9840A43611E0}"/>
                </c:ext>
              </c:extLst>
            </c:dLbl>
            <c:dLbl>
              <c:idx val="16"/>
              <c:tx>
                <c:rich>
                  <a:bodyPr/>
                  <a:lstStyle/>
                  <a:p>
                    <a:fld id="{75460E1C-913D-4DE5-BEB5-0F137B2BA0C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3FD0-4C9C-83FF-9840A43611E0}"/>
                </c:ext>
              </c:extLst>
            </c:dLbl>
            <c:dLbl>
              <c:idx val="17"/>
              <c:tx>
                <c:rich>
                  <a:bodyPr/>
                  <a:lstStyle/>
                  <a:p>
                    <a:fld id="{121DE1F8-F98B-4F2D-BCBB-96E8AC4047B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3FD0-4C9C-83FF-9840A43611E0}"/>
                </c:ext>
              </c:extLst>
            </c:dLbl>
            <c:dLbl>
              <c:idx val="18"/>
              <c:tx>
                <c:rich>
                  <a:bodyPr/>
                  <a:lstStyle/>
                  <a:p>
                    <a:fld id="{F544415A-F0E0-4EF0-AB32-9525D90B562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3FD0-4C9C-83FF-9840A43611E0}"/>
                </c:ext>
              </c:extLst>
            </c:dLbl>
            <c:dLbl>
              <c:idx val="19"/>
              <c:tx>
                <c:rich>
                  <a:bodyPr/>
                  <a:lstStyle/>
                  <a:p>
                    <a:fld id="{FD545E95-4090-42C3-8C19-E415E74C9C5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3FD0-4C9C-83FF-9840A43611E0}"/>
                </c:ext>
              </c:extLst>
            </c:dLbl>
            <c:dLbl>
              <c:idx val="20"/>
              <c:tx>
                <c:rich>
                  <a:bodyPr/>
                  <a:lstStyle/>
                  <a:p>
                    <a:fld id="{AD1B71D0-CC66-4E9B-8458-D142AB07CAA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3FD0-4C9C-83FF-9840A43611E0}"/>
                </c:ext>
              </c:extLst>
            </c:dLbl>
            <c:dLbl>
              <c:idx val="21"/>
              <c:tx>
                <c:rich>
                  <a:bodyPr/>
                  <a:lstStyle/>
                  <a:p>
                    <a:fld id="{DFAD801C-787D-408C-948E-4CEBB16770C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3FD0-4C9C-83FF-9840A43611E0}"/>
                </c:ext>
              </c:extLst>
            </c:dLbl>
            <c:dLbl>
              <c:idx val="22"/>
              <c:tx>
                <c:rich>
                  <a:bodyPr/>
                  <a:lstStyle/>
                  <a:p>
                    <a:fld id="{6D7D3A4A-9D25-4256-8453-ECFCCF75AF1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3FD0-4C9C-83FF-9840A43611E0}"/>
                </c:ext>
              </c:extLst>
            </c:dLbl>
            <c:dLbl>
              <c:idx val="23"/>
              <c:tx>
                <c:rich>
                  <a:bodyPr/>
                  <a:lstStyle/>
                  <a:p>
                    <a:fld id="{4E752868-526C-4D47-8A43-6E9F8E12B51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3FD0-4C9C-83FF-9840A43611E0}"/>
                </c:ext>
              </c:extLst>
            </c:dLbl>
            <c:dLbl>
              <c:idx val="24"/>
              <c:tx>
                <c:rich>
                  <a:bodyPr/>
                  <a:lstStyle/>
                  <a:p>
                    <a:fld id="{E728E70D-2410-4A07-A57A-18281BBC9EC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3FD0-4C9C-83FF-9840A43611E0}"/>
                </c:ext>
              </c:extLst>
            </c:dLbl>
            <c:dLbl>
              <c:idx val="25"/>
              <c:tx>
                <c:rich>
                  <a:bodyPr/>
                  <a:lstStyle/>
                  <a:p>
                    <a:fld id="{C9D7F714-0D75-4112-9E22-44E755FDFB6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3FD0-4C9C-83FF-9840A43611E0}"/>
                </c:ext>
              </c:extLst>
            </c:dLbl>
            <c:dLbl>
              <c:idx val="26"/>
              <c:tx>
                <c:rich>
                  <a:bodyPr/>
                  <a:lstStyle/>
                  <a:p>
                    <a:fld id="{67DA3DE9-A5F1-45CB-8ACF-F05CBB6BD03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3FD0-4C9C-83FF-9840A43611E0}"/>
                </c:ext>
              </c:extLst>
            </c:dLbl>
            <c:dLbl>
              <c:idx val="27"/>
              <c:tx>
                <c:rich>
                  <a:bodyPr/>
                  <a:lstStyle/>
                  <a:p>
                    <a:fld id="{6AC9C322-8ED3-4A96-AB6E-F1BCE60AD0B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3FD0-4C9C-83FF-9840A43611E0}"/>
                </c:ext>
              </c:extLst>
            </c:dLbl>
            <c:dLbl>
              <c:idx val="28"/>
              <c:tx>
                <c:rich>
                  <a:bodyPr/>
                  <a:lstStyle/>
                  <a:p>
                    <a:fld id="{93401A29-040D-4AE4-9D9A-2B595FD06B7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3FD0-4C9C-83FF-9840A43611E0}"/>
                </c:ext>
              </c:extLst>
            </c:dLbl>
            <c:dLbl>
              <c:idx val="29"/>
              <c:tx>
                <c:rich>
                  <a:bodyPr/>
                  <a:lstStyle/>
                  <a:p>
                    <a:fld id="{80DEA02E-0639-4217-B986-7DB65243C0F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3FD0-4C9C-83FF-9840A43611E0}"/>
                </c:ext>
              </c:extLst>
            </c:dLbl>
            <c:dLbl>
              <c:idx val="30"/>
              <c:tx>
                <c:rich>
                  <a:bodyPr/>
                  <a:lstStyle/>
                  <a:p>
                    <a:fld id="{66EBA0C1-5914-4BC0-92D1-25217772944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3FD0-4C9C-83FF-9840A43611E0}"/>
                </c:ext>
              </c:extLst>
            </c:dLbl>
            <c:dLbl>
              <c:idx val="31"/>
              <c:tx>
                <c:rich>
                  <a:bodyPr/>
                  <a:lstStyle/>
                  <a:p>
                    <a:fld id="{7A8767E6-F42B-4ECE-815E-B99C6FA3BD9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3FD0-4C9C-83FF-9840A43611E0}"/>
                </c:ext>
              </c:extLst>
            </c:dLbl>
            <c:dLbl>
              <c:idx val="32"/>
              <c:tx>
                <c:rich>
                  <a:bodyPr/>
                  <a:lstStyle/>
                  <a:p>
                    <a:fld id="{A6E13387-A62A-4857-9EF1-0C07A68BCC9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3FD0-4C9C-83FF-9840A43611E0}"/>
                </c:ext>
              </c:extLst>
            </c:dLbl>
            <c:dLbl>
              <c:idx val="33"/>
              <c:tx>
                <c:rich>
                  <a:bodyPr/>
                  <a:lstStyle/>
                  <a:p>
                    <a:fld id="{B078BE16-4C02-4A2B-AC73-26D40585BDE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3FD0-4C9C-83FF-9840A43611E0}"/>
                </c:ext>
              </c:extLst>
            </c:dLbl>
            <c:dLbl>
              <c:idx val="34"/>
              <c:tx>
                <c:rich>
                  <a:bodyPr/>
                  <a:lstStyle/>
                  <a:p>
                    <a:fld id="{DF467831-CD7F-4D1B-89CE-5BD1C5F273A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3FD0-4C9C-83FF-9840A43611E0}"/>
                </c:ext>
              </c:extLst>
            </c:dLbl>
            <c:dLbl>
              <c:idx val="35"/>
              <c:tx>
                <c:rich>
                  <a:bodyPr/>
                  <a:lstStyle/>
                  <a:p>
                    <a:fld id="{C71A5AFB-E413-42BD-951C-F4CEB8991D2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3FD0-4C9C-83FF-9840A43611E0}"/>
                </c:ext>
              </c:extLst>
            </c:dLbl>
            <c:dLbl>
              <c:idx val="36"/>
              <c:tx>
                <c:rich>
                  <a:bodyPr/>
                  <a:lstStyle/>
                  <a:p>
                    <a:fld id="{75F7CD32-2389-431D-A574-1A8A6C29680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3FD0-4C9C-83FF-9840A43611E0}"/>
                </c:ext>
              </c:extLst>
            </c:dLbl>
            <c:dLbl>
              <c:idx val="37"/>
              <c:tx>
                <c:rich>
                  <a:bodyPr/>
                  <a:lstStyle/>
                  <a:p>
                    <a:fld id="{998A03CC-E40D-4A3C-993F-A9C3B828393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3FD0-4C9C-83FF-9840A43611E0}"/>
                </c:ext>
              </c:extLst>
            </c:dLbl>
            <c:dLbl>
              <c:idx val="38"/>
              <c:tx>
                <c:rich>
                  <a:bodyPr/>
                  <a:lstStyle/>
                  <a:p>
                    <a:fld id="{A68143C4-32EF-43B3-858C-AC9F959F9A9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3FD0-4C9C-83FF-9840A43611E0}"/>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graf'!$W$44:$W$82</c:f>
              <c:numCache>
                <c:formatCode>General</c:formatCode>
                <c:ptCount val="39"/>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numCache>
            </c:numRef>
          </c:val>
          <c:smooth val="0"/>
          <c:extLst>
            <c:ext xmlns:c15="http://schemas.microsoft.com/office/drawing/2012/chart" uri="{02D57815-91ED-43cb-92C2-25804820EDAC}">
              <c15:datalabelsRange>
                <c15:f>'Prerađivačka_6 graf'!$B$44:$B$82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C-3FD0-4C9C-83FF-9840A43611E0}"/>
            </c:ext>
          </c:extLst>
        </c:ser>
        <c:ser>
          <c:idx val="0"/>
          <c:order val="2"/>
          <c:tx>
            <c:strRef>
              <c:f>'Prerađivačka_6 graf'!$X$7</c:f>
              <c:strCache>
                <c:ptCount val="1"/>
                <c:pt idx="0">
                  <c:v>y</c:v>
                </c:pt>
              </c:strCache>
            </c:strRef>
          </c:tx>
          <c:spPr>
            <a:ln w="12700" cap="rnd">
              <a:solidFill>
                <a:srgbClr val="92278F"/>
              </a:solidFill>
              <a:prstDash val="sysDash"/>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graf'!$X$44:$X$82</c:f>
              <c:numCache>
                <c:formatCode>#.#00</c:formatCode>
                <c:ptCount val="39"/>
                <c:pt idx="0">
                  <c:v>96.076677316293939</c:v>
                </c:pt>
                <c:pt idx="1">
                  <c:v>94.006389776357835</c:v>
                </c:pt>
                <c:pt idx="2">
                  <c:v>104.35782747603835</c:v>
                </c:pt>
                <c:pt idx="3">
                  <c:v>96.843450479233226</c:v>
                </c:pt>
                <c:pt idx="4">
                  <c:v>93.62300319488817</c:v>
                </c:pt>
                <c:pt idx="5">
                  <c:v>112.40894568690096</c:v>
                </c:pt>
                <c:pt idx="6">
                  <c:v>117.23961661341855</c:v>
                </c:pt>
                <c:pt idx="7">
                  <c:v>113.94249201277955</c:v>
                </c:pt>
                <c:pt idx="8">
                  <c:v>100.98402555910543</c:v>
                </c:pt>
                <c:pt idx="9">
                  <c:v>110.41533546325878</c:v>
                </c:pt>
                <c:pt idx="10">
                  <c:v>106.73482428115015</c:v>
                </c:pt>
                <c:pt idx="11">
                  <c:v>109.80191693290735</c:v>
                </c:pt>
                <c:pt idx="12">
                  <c:v>97.686900958466467</c:v>
                </c:pt>
                <c:pt idx="13">
                  <c:v>101.75079872204473</c:v>
                </c:pt>
                <c:pt idx="14">
                  <c:v>111.25878594249201</c:v>
                </c:pt>
                <c:pt idx="15">
                  <c:v>104.43450479233228</c:v>
                </c:pt>
                <c:pt idx="16">
                  <c:v>110.49201277955272</c:v>
                </c:pt>
                <c:pt idx="17">
                  <c:v>119.76996805111821</c:v>
                </c:pt>
                <c:pt idx="18">
                  <c:v>110.49201277955272</c:v>
                </c:pt>
                <c:pt idx="19">
                  <c:v>108.11501597444091</c:v>
                </c:pt>
                <c:pt idx="20">
                  <c:v>91.782747603833869</c:v>
                </c:pt>
                <c:pt idx="21">
                  <c:v>110.9520766773163</c:v>
                </c:pt>
                <c:pt idx="22">
                  <c:v>105.89137380191693</c:v>
                </c:pt>
                <c:pt idx="23">
                  <c:v>105.814696485623</c:v>
                </c:pt>
                <c:pt idx="24">
                  <c:v>97.5</c:v>
                </c:pt>
                <c:pt idx="25">
                  <c:v>112.37244897959182</c:v>
                </c:pt>
                <c:pt idx="26">
                  <c:v>121.83257918552036</c:v>
                </c:pt>
                <c:pt idx="27">
                  <c:v>104.9</c:v>
                </c:pt>
                <c:pt idx="28">
                  <c:v>102.3</c:v>
                </c:pt>
                <c:pt idx="29">
                  <c:v>108</c:v>
                </c:pt>
                <c:pt idx="30">
                  <c:v>94.4</c:v>
                </c:pt>
                <c:pt idx="31">
                  <c:v>77.8</c:v>
                </c:pt>
                <c:pt idx="32">
                  <c:v>104.3</c:v>
                </c:pt>
                <c:pt idx="33">
                  <c:v>100.7</c:v>
                </c:pt>
                <c:pt idx="34">
                  <c:v>91.5</c:v>
                </c:pt>
                <c:pt idx="35">
                  <c:v>84.3</c:v>
                </c:pt>
                <c:pt idx="36">
                  <c:v>80.2</c:v>
                </c:pt>
                <c:pt idx="37">
                  <c:v>88.1</c:v>
                </c:pt>
                <c:pt idx="38">
                  <c:v>107.7</c:v>
                </c:pt>
              </c:numCache>
            </c:numRef>
          </c:val>
          <c:smooth val="0"/>
          <c:extLst>
            <c:ext xmlns:c16="http://schemas.microsoft.com/office/drawing/2014/chart" uri="{C3380CC4-5D6E-409C-BE32-E72D297353CC}">
              <c16:uniqueId val="{0000002D-3FD0-4C9C-83FF-9840A43611E0}"/>
            </c:ext>
          </c:extLst>
        </c:ser>
        <c:ser>
          <c:idx val="1"/>
          <c:order val="3"/>
          <c:tx>
            <c:strRef>
              <c:f>'Prerađivačka_6 graf'!$Y$7</c:f>
              <c:strCache>
                <c:ptCount val="1"/>
                <c:pt idx="0">
                  <c:v>sa</c:v>
                </c:pt>
              </c:strCache>
            </c:strRef>
          </c:tx>
          <c:spPr>
            <a:ln w="22225" cap="rnd">
              <a:solidFill>
                <a:srgbClr val="25AAE1"/>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graf'!$Y$44:$Y$82</c:f>
              <c:numCache>
                <c:formatCode>#.#00</c:formatCode>
                <c:ptCount val="39"/>
                <c:pt idx="0">
                  <c:v>102.87929791515072</c:v>
                </c:pt>
                <c:pt idx="1">
                  <c:v>95.627094514257394</c:v>
                </c:pt>
                <c:pt idx="2">
                  <c:v>95.429817037327552</c:v>
                </c:pt>
                <c:pt idx="3">
                  <c:v>98.299917735493977</c:v>
                </c:pt>
                <c:pt idx="4">
                  <c:v>93.783334346594557</c:v>
                </c:pt>
                <c:pt idx="5">
                  <c:v>105.25079063118984</c:v>
                </c:pt>
                <c:pt idx="6">
                  <c:v>115.87028841656985</c:v>
                </c:pt>
                <c:pt idx="7">
                  <c:v>116.63203613852139</c:v>
                </c:pt>
                <c:pt idx="8">
                  <c:v>105.99474326812931</c:v>
                </c:pt>
                <c:pt idx="9">
                  <c:v>105.42128119134829</c:v>
                </c:pt>
                <c:pt idx="10">
                  <c:v>107.28798863797252</c:v>
                </c:pt>
                <c:pt idx="11">
                  <c:v>112.53241517837179</c:v>
                </c:pt>
                <c:pt idx="12">
                  <c:v>106.51712883215087</c:v>
                </c:pt>
                <c:pt idx="13">
                  <c:v>104.90402696286921</c:v>
                </c:pt>
                <c:pt idx="14">
                  <c:v>101.00326831343284</c:v>
                </c:pt>
                <c:pt idx="15">
                  <c:v>106.33743589883298</c:v>
                </c:pt>
                <c:pt idx="16">
                  <c:v>110.72161885657663</c:v>
                </c:pt>
                <c:pt idx="17">
                  <c:v>111.13751275268923</c:v>
                </c:pt>
                <c:pt idx="18">
                  <c:v>109.04874863907625</c:v>
                </c:pt>
                <c:pt idx="19">
                  <c:v>110.28848675330862</c:v>
                </c:pt>
                <c:pt idx="20">
                  <c:v>96.91849936454669</c:v>
                </c:pt>
                <c:pt idx="21">
                  <c:v>105.66118744789215</c:v>
                </c:pt>
                <c:pt idx="22">
                  <c:v>106.18530502206522</c:v>
                </c:pt>
                <c:pt idx="23">
                  <c:v>109.2453242789375</c:v>
                </c:pt>
                <c:pt idx="24">
                  <c:v>107.5055387963944</c:v>
                </c:pt>
                <c:pt idx="25">
                  <c:v>115.62601808786758</c:v>
                </c:pt>
                <c:pt idx="26">
                  <c:v>109.44672971911245</c:v>
                </c:pt>
                <c:pt idx="27">
                  <c:v>106.613388007414</c:v>
                </c:pt>
                <c:pt idx="28">
                  <c:v>102.33112131903911</c:v>
                </c:pt>
                <c:pt idx="29">
                  <c:v>99.478863435767735</c:v>
                </c:pt>
                <c:pt idx="30">
                  <c:v>93.383203382036953</c:v>
                </c:pt>
                <c:pt idx="31">
                  <c:v>79.41045804401611</c:v>
                </c:pt>
                <c:pt idx="32">
                  <c:v>110.93769751749585</c:v>
                </c:pt>
                <c:pt idx="33">
                  <c:v>96.051694977166406</c:v>
                </c:pt>
                <c:pt idx="34">
                  <c:v>92.357043347298813</c:v>
                </c:pt>
                <c:pt idx="35">
                  <c:v>87.622574228164154</c:v>
                </c:pt>
                <c:pt idx="36">
                  <c:v>88.77086204528409</c:v>
                </c:pt>
                <c:pt idx="37">
                  <c:v>90.10689528922029</c:v>
                </c:pt>
                <c:pt idx="38">
                  <c:v>95.732343367526497</c:v>
                </c:pt>
              </c:numCache>
            </c:numRef>
          </c:val>
          <c:smooth val="0"/>
          <c:extLst>
            <c:ext xmlns:c16="http://schemas.microsoft.com/office/drawing/2014/chart" uri="{C3380CC4-5D6E-409C-BE32-E72D297353CC}">
              <c16:uniqueId val="{0000002E-3FD0-4C9C-83FF-9840A43611E0}"/>
            </c:ext>
          </c:extLst>
        </c:ser>
        <c:ser>
          <c:idx val="2"/>
          <c:order val="4"/>
          <c:tx>
            <c:strRef>
              <c:f>'Prerađivačka_6 graf'!$Z$7</c:f>
              <c:strCache>
                <c:ptCount val="1"/>
                <c:pt idx="0">
                  <c:v>t</c:v>
                </c:pt>
              </c:strCache>
            </c:strRef>
          </c:tx>
          <c:spPr>
            <a:ln w="25400" cap="rnd">
              <a:solidFill>
                <a:srgbClr val="FF0000"/>
              </a:solidFill>
              <a:round/>
            </a:ln>
            <a:effectLst/>
          </c:spPr>
          <c:marker>
            <c:symbol val="none"/>
          </c:marker>
          <c:cat>
            <c:numRef>
              <c:f>'Prerađivačka_6 graf'!$C$44:$C$82</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'Prerađivačka_6 graf'!$Z$44:$Z$82</c:f>
              <c:numCache>
                <c:formatCode>#.#00</c:formatCode>
                <c:ptCount val="39"/>
                <c:pt idx="0">
                  <c:v>100.61773185839178</c:v>
                </c:pt>
                <c:pt idx="1">
                  <c:v>97.992883016930818</c:v>
                </c:pt>
                <c:pt idx="2">
                  <c:v>97.033378084599647</c:v>
                </c:pt>
                <c:pt idx="3">
                  <c:v>98.049178886672266</c:v>
                </c:pt>
                <c:pt idx="4">
                  <c:v>100.42619234282482</c:v>
                </c:pt>
                <c:pt idx="5">
                  <c:v>102.9609662384389</c:v>
                </c:pt>
                <c:pt idx="6">
                  <c:v>105.08665755154433</c:v>
                </c:pt>
                <c:pt idx="7">
                  <c:v>106.68168141599031</c:v>
                </c:pt>
                <c:pt idx="8">
                  <c:v>107.56933387182661</c:v>
                </c:pt>
                <c:pt idx="9">
                  <c:v>107.88929102627107</c:v>
                </c:pt>
                <c:pt idx="10">
                  <c:v>107.68827771688412</c:v>
                </c:pt>
                <c:pt idx="11">
                  <c:v>107.18933781278702</c:v>
                </c:pt>
                <c:pt idx="12">
                  <c:v>106.76865719177118</c:v>
                </c:pt>
                <c:pt idx="13">
                  <c:v>106.48919864504188</c:v>
                </c:pt>
                <c:pt idx="14">
                  <c:v>106.66077280724429</c:v>
                </c:pt>
                <c:pt idx="15">
                  <c:v>107.39227400384759</c:v>
                </c:pt>
                <c:pt idx="16">
                  <c:v>108.35338983434696</c:v>
                </c:pt>
                <c:pt idx="17">
                  <c:v>108.98733194479276</c:v>
                </c:pt>
                <c:pt idx="18">
                  <c:v>108.89491647533653</c:v>
                </c:pt>
                <c:pt idx="19">
                  <c:v>107.92182233598578</c:v>
                </c:pt>
                <c:pt idx="20">
                  <c:v>106.84224835326405</c:v>
                </c:pt>
                <c:pt idx="21">
                  <c:v>106.46053313701898</c:v>
                </c:pt>
                <c:pt idx="22">
                  <c:v>107.16604127134694</c:v>
                </c:pt>
                <c:pt idx="23">
                  <c:v>108.57803725518846</c:v>
                </c:pt>
                <c:pt idx="24">
                  <c:v>109.92075372930832</c:v>
                </c:pt>
                <c:pt idx="25">
                  <c:v>110.28411043250409</c:v>
                </c:pt>
                <c:pt idx="26">
                  <c:v>109.09344947111805</c:v>
                </c:pt>
                <c:pt idx="27">
                  <c:v>106.34469499673874</c:v>
                </c:pt>
                <c:pt idx="28">
                  <c:v>102.84489367928741</c:v>
                </c:pt>
                <c:pt idx="29">
                  <c:v>99.483253609795739</c:v>
                </c:pt>
                <c:pt idx="30">
                  <c:v>96.866577401540496</c:v>
                </c:pt>
                <c:pt idx="31">
                  <c:v>95.076442398900753</c:v>
                </c:pt>
                <c:pt idx="32">
                  <c:v>93.753115259544643</c:v>
                </c:pt>
                <c:pt idx="33">
                  <c:v>92.49236025757358</c:v>
                </c:pt>
                <c:pt idx="34">
                  <c:v>91.417313462615738</c:v>
                </c:pt>
                <c:pt idx="35">
                  <c:v>90.781677347758105</c:v>
                </c:pt>
                <c:pt idx="36">
                  <c:v>90.780925974912066</c:v>
                </c:pt>
                <c:pt idx="37">
                  <c:v>91.486130244673575</c:v>
                </c:pt>
                <c:pt idx="38">
                  <c:v>92.598174311432587</c:v>
                </c:pt>
              </c:numCache>
            </c:numRef>
          </c:val>
          <c:smooth val="0"/>
          <c:extLst>
            <c:ext xmlns:c16="http://schemas.microsoft.com/office/drawing/2014/chart" uri="{C3380CC4-5D6E-409C-BE32-E72D297353CC}">
              <c16:uniqueId val="{0000002F-3FD0-4C9C-83FF-9840A43611E0}"/>
            </c:ext>
          </c:extLst>
        </c:ser>
        <c:dLbls>
          <c:showLegendKey val="0"/>
          <c:showVal val="0"/>
          <c:showCatName val="0"/>
          <c:showSerName val="0"/>
          <c:showPercent val="0"/>
          <c:showBubbleSize val="0"/>
        </c:dLbls>
        <c:marker val="1"/>
        <c:smooth val="0"/>
        <c:axId val="2092158352"/>
        <c:axId val="2092178480"/>
      </c:lineChart>
      <c:dateAx>
        <c:axId val="209215835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8480"/>
        <c:crosses val="autoZero"/>
        <c:auto val="1"/>
        <c:lblOffset val="0"/>
        <c:baseTimeUnit val="months"/>
        <c:majorUnit val="12"/>
        <c:majorTimeUnit val="months"/>
      </c:dateAx>
      <c:valAx>
        <c:axId val="2092178480"/>
        <c:scaling>
          <c:orientation val="minMax"/>
          <c:max val="125"/>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58352"/>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33333333333E-2"/>
          <c:y val="4.3644144144144144E-2"/>
          <c:w val="0.86257083333333318"/>
          <c:h val="0.8328986486486486"/>
        </c:manualLayout>
      </c:layout>
      <c:lineChart>
        <c:grouping val="standard"/>
        <c:varyColors val="0"/>
        <c:ser>
          <c:idx val="0"/>
          <c:order val="0"/>
          <c:tx>
            <c:strRef>
              <c:f>'BoP_izvoz usluga'!$Z$5</c:f>
              <c:strCache>
                <c:ptCount val="1"/>
                <c:pt idx="0">
                  <c:v>y</c:v>
                </c:pt>
              </c:strCache>
            </c:strRef>
          </c:tx>
          <c:spPr>
            <a:ln w="12700" cap="rnd">
              <a:solidFill>
                <a:srgbClr val="7F3F98"/>
              </a:solidFill>
              <a:prstDash val="sysDash"/>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usluga'!$Z$102:$Z$139</c:f>
              <c:numCache>
                <c:formatCode>#.#00</c:formatCode>
                <c:ptCount val="38"/>
                <c:pt idx="0">
                  <c:v>63.604407532514585</c:v>
                </c:pt>
                <c:pt idx="1">
                  <c:v>57.232627854843244</c:v>
                </c:pt>
                <c:pt idx="2">
                  <c:v>55.401145316068977</c:v>
                </c:pt>
                <c:pt idx="3">
                  <c:v>47.098429370953724</c:v>
                </c:pt>
                <c:pt idx="4">
                  <c:v>44.017353176277837</c:v>
                </c:pt>
                <c:pt idx="5">
                  <c:v>49.354115305318494</c:v>
                </c:pt>
                <c:pt idx="6">
                  <c:v>54.718244638261936</c:v>
                </c:pt>
                <c:pt idx="7">
                  <c:v>49.856587996761533</c:v>
                </c:pt>
                <c:pt idx="8">
                  <c:v>52.613603178215371</c:v>
                </c:pt>
                <c:pt idx="9">
                  <c:v>60.733371556725189</c:v>
                </c:pt>
                <c:pt idx="10">
                  <c:v>59.566245249094429</c:v>
                </c:pt>
                <c:pt idx="11">
                  <c:v>75.946329266815297</c:v>
                </c:pt>
                <c:pt idx="12">
                  <c:v>56.195153254195475</c:v>
                </c:pt>
                <c:pt idx="13">
                  <c:v>53.794168446886914</c:v>
                </c:pt>
                <c:pt idx="14">
                  <c:v>64.818453725791642</c:v>
                </c:pt>
                <c:pt idx="15">
                  <c:v>64.672445487974926</c:v>
                </c:pt>
                <c:pt idx="16">
                  <c:v>63.971399997742175</c:v>
                </c:pt>
                <c:pt idx="17">
                  <c:v>69.29460814320889</c:v>
                </c:pt>
                <c:pt idx="18">
                  <c:v>79.809254809292668</c:v>
                </c:pt>
                <c:pt idx="19">
                  <c:v>75.898310162850464</c:v>
                </c:pt>
                <c:pt idx="20">
                  <c:v>72.472185168341213</c:v>
                </c:pt>
                <c:pt idx="21">
                  <c:v>70.243835404400528</c:v>
                </c:pt>
                <c:pt idx="22">
                  <c:v>77.944496611466548</c:v>
                </c:pt>
                <c:pt idx="23">
                  <c:v>95.127366501051583</c:v>
                </c:pt>
                <c:pt idx="24">
                  <c:v>73.507083522901922</c:v>
                </c:pt>
                <c:pt idx="25">
                  <c:v>72.217502822739661</c:v>
                </c:pt>
                <c:pt idx="26">
                  <c:v>88.863636032392108</c:v>
                </c:pt>
                <c:pt idx="27">
                  <c:v>86.200864835028781</c:v>
                </c:pt>
                <c:pt idx="28">
                  <c:v>91.881387607615324</c:v>
                </c:pt>
                <c:pt idx="29">
                  <c:v>97.829290748993657</c:v>
                </c:pt>
                <c:pt idx="30">
                  <c:v>112.29000446227806</c:v>
                </c:pt>
                <c:pt idx="31">
                  <c:v>114.53434714444914</c:v>
                </c:pt>
                <c:pt idx="32">
                  <c:v>110.56619504987708</c:v>
                </c:pt>
                <c:pt idx="33">
                  <c:v>109.24683101218791</c:v>
                </c:pt>
                <c:pt idx="34">
                  <c:v>109.83437178453535</c:v>
                </c:pt>
                <c:pt idx="35">
                  <c:v>133.02848497700097</c:v>
                </c:pt>
                <c:pt idx="36">
                  <c:v>103.04423047176734</c:v>
                </c:pt>
                <c:pt idx="37">
                  <c:v>100.0230054023508</c:v>
                </c:pt>
              </c:numCache>
            </c:numRef>
          </c:val>
          <c:smooth val="0"/>
          <c:extLst>
            <c:ext xmlns:c16="http://schemas.microsoft.com/office/drawing/2014/chart" uri="{C3380CC4-5D6E-409C-BE32-E72D297353CC}">
              <c16:uniqueId val="{00000000-1EBE-4060-98E0-8524CC20E621}"/>
            </c:ext>
          </c:extLst>
        </c:ser>
        <c:ser>
          <c:idx val="1"/>
          <c:order val="1"/>
          <c:tx>
            <c:strRef>
              <c:f>'BoP_izvoz usluga'!$AA$5</c:f>
              <c:strCache>
                <c:ptCount val="1"/>
                <c:pt idx="0">
                  <c:v>sa</c:v>
                </c:pt>
              </c:strCache>
            </c:strRef>
          </c:tx>
          <c:spPr>
            <a:ln w="22225" cap="rnd">
              <a:solidFill>
                <a:srgbClr val="25AAE1"/>
              </a:solidFill>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usluga'!$AA$102:$AA$139</c:f>
              <c:numCache>
                <c:formatCode>#.#00</c:formatCode>
                <c:ptCount val="38"/>
                <c:pt idx="0">
                  <c:v>68.006309165175736</c:v>
                </c:pt>
                <c:pt idx="1">
                  <c:v>69.265390401649228</c:v>
                </c:pt>
                <c:pt idx="2">
                  <c:v>57.851377424423134</c:v>
                </c:pt>
                <c:pt idx="3">
                  <c:v>48.512406801659154</c:v>
                </c:pt>
                <c:pt idx="4">
                  <c:v>47.716821417085995</c:v>
                </c:pt>
                <c:pt idx="5">
                  <c:v>48.882837528387434</c:v>
                </c:pt>
                <c:pt idx="6">
                  <c:v>46.281983874841565</c:v>
                </c:pt>
                <c:pt idx="7">
                  <c:v>48.441018757224292</c:v>
                </c:pt>
                <c:pt idx="8">
                  <c:v>51.324503319270711</c:v>
                </c:pt>
                <c:pt idx="9">
                  <c:v>60.39979077641155</c:v>
                </c:pt>
                <c:pt idx="10">
                  <c:v>61.815382804884351</c:v>
                </c:pt>
                <c:pt idx="11">
                  <c:v>62.938352498761596</c:v>
                </c:pt>
                <c:pt idx="12">
                  <c:v>64.451147175034166</c:v>
                </c:pt>
                <c:pt idx="13">
                  <c:v>64.053517407059573</c:v>
                </c:pt>
                <c:pt idx="14">
                  <c:v>65.23959311736877</c:v>
                </c:pt>
                <c:pt idx="15">
                  <c:v>66.415069097044054</c:v>
                </c:pt>
                <c:pt idx="16">
                  <c:v>68.7503438299089</c:v>
                </c:pt>
                <c:pt idx="17">
                  <c:v>69.191259850310573</c:v>
                </c:pt>
                <c:pt idx="18">
                  <c:v>70.018081701764999</c:v>
                </c:pt>
                <c:pt idx="19">
                  <c:v>71.020168854319678</c:v>
                </c:pt>
                <c:pt idx="20">
                  <c:v>70.971940225585314</c:v>
                </c:pt>
                <c:pt idx="21">
                  <c:v>72.745206089631793</c:v>
                </c:pt>
                <c:pt idx="22">
                  <c:v>77.572639063345633</c:v>
                </c:pt>
                <c:pt idx="23">
                  <c:v>79.313902049632091</c:v>
                </c:pt>
                <c:pt idx="24">
                  <c:v>83.466368533161869</c:v>
                </c:pt>
                <c:pt idx="25">
                  <c:v>85.737114843630735</c:v>
                </c:pt>
                <c:pt idx="26">
                  <c:v>89.827064150748186</c:v>
                </c:pt>
                <c:pt idx="27">
                  <c:v>92.165597080356605</c:v>
                </c:pt>
                <c:pt idx="28">
                  <c:v>94.305923292037136</c:v>
                </c:pt>
                <c:pt idx="29">
                  <c:v>98.020619028509216</c:v>
                </c:pt>
                <c:pt idx="30">
                  <c:v>102.41532818367945</c:v>
                </c:pt>
                <c:pt idx="31">
                  <c:v>103.900893871832</c:v>
                </c:pt>
                <c:pt idx="32">
                  <c:v>108.3197776682704</c:v>
                </c:pt>
                <c:pt idx="33">
                  <c:v>112.35192457186953</c:v>
                </c:pt>
                <c:pt idx="34">
                  <c:v>110.36338357298645</c:v>
                </c:pt>
                <c:pt idx="35">
                  <c:v>114.96773384046033</c:v>
                </c:pt>
                <c:pt idx="36">
                  <c:v>111.6159160314339</c:v>
                </c:pt>
                <c:pt idx="37">
                  <c:v>118.48458502464187</c:v>
                </c:pt>
              </c:numCache>
            </c:numRef>
          </c:val>
          <c:smooth val="0"/>
          <c:extLst>
            <c:ext xmlns:c16="http://schemas.microsoft.com/office/drawing/2014/chart" uri="{C3380CC4-5D6E-409C-BE32-E72D297353CC}">
              <c16:uniqueId val="{00000001-1EBE-4060-98E0-8524CC20E621}"/>
            </c:ext>
          </c:extLst>
        </c:ser>
        <c:ser>
          <c:idx val="2"/>
          <c:order val="2"/>
          <c:tx>
            <c:strRef>
              <c:f>'BoP_izvoz usluga'!$AB$5</c:f>
              <c:strCache>
                <c:ptCount val="1"/>
                <c:pt idx="0">
                  <c:v>t</c:v>
                </c:pt>
              </c:strCache>
            </c:strRef>
          </c:tx>
          <c:spPr>
            <a:ln w="25400" cap="rnd">
              <a:solidFill>
                <a:srgbClr val="FF0000"/>
              </a:solidFill>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usluga'!$AB$102:$AB$139</c:f>
              <c:numCache>
                <c:formatCode>#.#00</c:formatCode>
                <c:ptCount val="38"/>
                <c:pt idx="0">
                  <c:v>68.188396757716291</c:v>
                </c:pt>
                <c:pt idx="1">
                  <c:v>69.14769779471068</c:v>
                </c:pt>
                <c:pt idx="2">
                  <c:v>46.949582577259285</c:v>
                </c:pt>
                <c:pt idx="3">
                  <c:v>47.486814129733688</c:v>
                </c:pt>
                <c:pt idx="4">
                  <c:v>47.975868319944446</c:v>
                </c:pt>
                <c:pt idx="5">
                  <c:v>48.477673595949902</c:v>
                </c:pt>
                <c:pt idx="6">
                  <c:v>49.018004366281758</c:v>
                </c:pt>
                <c:pt idx="7">
                  <c:v>49.691765601422659</c:v>
                </c:pt>
                <c:pt idx="8">
                  <c:v>50.512328481855114</c:v>
                </c:pt>
                <c:pt idx="9">
                  <c:v>60.726920802068904</c:v>
                </c:pt>
                <c:pt idx="10">
                  <c:v>61.789223162715629</c:v>
                </c:pt>
                <c:pt idx="11">
                  <c:v>62.774414121687741</c:v>
                </c:pt>
                <c:pt idx="12">
                  <c:v>63.715073273855701</c:v>
                </c:pt>
                <c:pt idx="13">
                  <c:v>64.65772337045351</c:v>
                </c:pt>
                <c:pt idx="14">
                  <c:v>65.697260835782245</c:v>
                </c:pt>
                <c:pt idx="15">
                  <c:v>66.816022349669694</c:v>
                </c:pt>
                <c:pt idx="16">
                  <c:v>67.857407343055115</c:v>
                </c:pt>
                <c:pt idx="17">
                  <c:v>68.823299270018012</c:v>
                </c:pt>
                <c:pt idx="18">
                  <c:v>69.750573939686092</c:v>
                </c:pt>
                <c:pt idx="19">
                  <c:v>70.809917757288076</c:v>
                </c:pt>
                <c:pt idx="20">
                  <c:v>72.201868076388024</c:v>
                </c:pt>
                <c:pt idx="21">
                  <c:v>74.142978187039716</c:v>
                </c:pt>
                <c:pt idx="22">
                  <c:v>76.691950948719395</c:v>
                </c:pt>
                <c:pt idx="23">
                  <c:v>79.69515115023512</c:v>
                </c:pt>
                <c:pt idx="24">
                  <c:v>82.86140228719006</c:v>
                </c:pt>
                <c:pt idx="25">
                  <c:v>86.031130964153448</c:v>
                </c:pt>
                <c:pt idx="26">
                  <c:v>89.099539416280876</c:v>
                </c:pt>
                <c:pt idx="27">
                  <c:v>92.082321635494125</c:v>
                </c:pt>
                <c:pt idx="28">
                  <c:v>95.185789413468143</c:v>
                </c:pt>
                <c:pt idx="29">
                  <c:v>98.403660198449529</c:v>
                </c:pt>
                <c:pt idx="30">
                  <c:v>101.63782316892484</c:v>
                </c:pt>
                <c:pt idx="31">
                  <c:v>104.76493456955762</c:v>
                </c:pt>
                <c:pt idx="32">
                  <c:v>107.62133569087737</c:v>
                </c:pt>
                <c:pt idx="33">
                  <c:v>110.13606248669039</c:v>
                </c:pt>
                <c:pt idx="34">
                  <c:v>112.3187257372432</c:v>
                </c:pt>
                <c:pt idx="35">
                  <c:v>114.31603933837172</c:v>
                </c:pt>
                <c:pt idx="36">
                  <c:v>116.31134726673766</c:v>
                </c:pt>
                <c:pt idx="37">
                  <c:v>118.38205017579133</c:v>
                </c:pt>
              </c:numCache>
            </c:numRef>
          </c:val>
          <c:smooth val="0"/>
          <c:extLst>
            <c:ext xmlns:c16="http://schemas.microsoft.com/office/drawing/2014/chart" uri="{C3380CC4-5D6E-409C-BE32-E72D297353CC}">
              <c16:uniqueId val="{00000002-1EBE-4060-98E0-8524CC20E621}"/>
            </c:ext>
          </c:extLst>
        </c:ser>
        <c:ser>
          <c:idx val="3"/>
          <c:order val="3"/>
          <c:tx>
            <c:strRef>
              <c:f>'BoP_izvoz usluga'!$AC$5</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9243212270345864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EBE-4060-98E0-8524CC20E621}"/>
                </c:ext>
              </c:extLst>
            </c:dLbl>
            <c:dLbl>
              <c:idx val="12"/>
              <c:layout>
                <c:manualLayout>
                  <c:x val="7.4861886204694833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EBE-4060-98E0-8524CC20E621}"/>
                </c:ext>
              </c:extLst>
            </c:dLbl>
            <c:dLbl>
              <c:idx val="24"/>
              <c:layout>
                <c:manualLayout>
                  <c:x val="7.9297602101318213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EBE-4060-98E0-8524CC20E621}"/>
                </c:ext>
              </c:extLst>
            </c:dLbl>
            <c:dLbl>
              <c:idx val="36"/>
              <c:layout>
                <c:manualLayout>
                  <c:x val="-2.7732231587050394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EBE-4060-98E0-8524CC20E62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usluga'!$AC$102:$AC$139</c:f>
              <c:numCache>
                <c:formatCode>General</c:formatCode>
                <c:ptCount val="38"/>
                <c:pt idx="0">
                  <c:v>20</c:v>
                </c:pt>
                <c:pt idx="12">
                  <c:v>20</c:v>
                </c:pt>
                <c:pt idx="24">
                  <c:v>20</c:v>
                </c:pt>
                <c:pt idx="36">
                  <c:v>20</c:v>
                </c:pt>
              </c:numCache>
            </c:numRef>
          </c:val>
          <c:smooth val="0"/>
          <c:extLst>
            <c:ext xmlns:c16="http://schemas.microsoft.com/office/drawing/2014/chart" uri="{C3380CC4-5D6E-409C-BE32-E72D297353CC}">
              <c16:uniqueId val="{00000007-1EBE-4060-98E0-8524CC20E621}"/>
            </c:ext>
          </c:extLst>
        </c:ser>
        <c:ser>
          <c:idx val="4"/>
          <c:order val="4"/>
          <c:tx>
            <c:strRef>
              <c:f>'BoP_izvoz usluga'!$AD$5</c:f>
              <c:strCache>
                <c:ptCount val="1"/>
                <c:pt idx="0">
                  <c:v>Series5</c:v>
                </c:pt>
              </c:strCache>
            </c:strRef>
          </c:tx>
          <c:spPr>
            <a:ln w="28575" cap="rnd">
              <a:noFill/>
              <a:round/>
            </a:ln>
            <a:effectLst/>
          </c:spPr>
          <c:marker>
            <c:symbol val="none"/>
          </c:marker>
          <c:dLbls>
            <c:dLbl>
              <c:idx val="0"/>
              <c:tx>
                <c:rich>
                  <a:bodyPr/>
                  <a:lstStyle/>
                  <a:p>
                    <a:fld id="{DDFDE725-E999-4FB4-993D-A133C912D37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1EBE-4060-98E0-8524CC20E621}"/>
                </c:ext>
              </c:extLst>
            </c:dLbl>
            <c:dLbl>
              <c:idx val="1"/>
              <c:tx>
                <c:rich>
                  <a:bodyPr/>
                  <a:lstStyle/>
                  <a:p>
                    <a:fld id="{8392CA3E-3664-4528-8276-4A03F57C592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1EBE-4060-98E0-8524CC20E621}"/>
                </c:ext>
              </c:extLst>
            </c:dLbl>
            <c:dLbl>
              <c:idx val="2"/>
              <c:tx>
                <c:rich>
                  <a:bodyPr/>
                  <a:lstStyle/>
                  <a:p>
                    <a:fld id="{54BD9535-ACCB-42F9-89B6-A4C981BA193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1EBE-4060-98E0-8524CC20E621}"/>
                </c:ext>
              </c:extLst>
            </c:dLbl>
            <c:dLbl>
              <c:idx val="3"/>
              <c:tx>
                <c:rich>
                  <a:bodyPr/>
                  <a:lstStyle/>
                  <a:p>
                    <a:fld id="{5DC597EC-9794-43C0-B018-E68A678765A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EBE-4060-98E0-8524CC20E621}"/>
                </c:ext>
              </c:extLst>
            </c:dLbl>
            <c:dLbl>
              <c:idx val="4"/>
              <c:tx>
                <c:rich>
                  <a:bodyPr/>
                  <a:lstStyle/>
                  <a:p>
                    <a:fld id="{A876AC6E-D8CA-446B-9B55-6064660CE02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1EBE-4060-98E0-8524CC20E621}"/>
                </c:ext>
              </c:extLst>
            </c:dLbl>
            <c:dLbl>
              <c:idx val="5"/>
              <c:tx>
                <c:rich>
                  <a:bodyPr/>
                  <a:lstStyle/>
                  <a:p>
                    <a:fld id="{205E237E-2259-4739-AFE8-D3E744B15CA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1EBE-4060-98E0-8524CC20E621}"/>
                </c:ext>
              </c:extLst>
            </c:dLbl>
            <c:dLbl>
              <c:idx val="6"/>
              <c:tx>
                <c:rich>
                  <a:bodyPr/>
                  <a:lstStyle/>
                  <a:p>
                    <a:fld id="{FADEA469-7497-4C78-A89A-0A8EA3ADBF4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1EBE-4060-98E0-8524CC20E621}"/>
                </c:ext>
              </c:extLst>
            </c:dLbl>
            <c:dLbl>
              <c:idx val="7"/>
              <c:tx>
                <c:rich>
                  <a:bodyPr/>
                  <a:lstStyle/>
                  <a:p>
                    <a:fld id="{E6DEB8B8-2F83-4BF6-8384-536EC45061F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1EBE-4060-98E0-8524CC20E621}"/>
                </c:ext>
              </c:extLst>
            </c:dLbl>
            <c:dLbl>
              <c:idx val="8"/>
              <c:tx>
                <c:rich>
                  <a:bodyPr/>
                  <a:lstStyle/>
                  <a:p>
                    <a:fld id="{60539071-88EA-4A4E-8CDA-FE4993091F9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1EBE-4060-98E0-8524CC20E621}"/>
                </c:ext>
              </c:extLst>
            </c:dLbl>
            <c:dLbl>
              <c:idx val="9"/>
              <c:tx>
                <c:rich>
                  <a:bodyPr/>
                  <a:lstStyle/>
                  <a:p>
                    <a:fld id="{693A8FBE-2F5E-4720-94B7-6B7B3106453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1EBE-4060-98E0-8524CC20E621}"/>
                </c:ext>
              </c:extLst>
            </c:dLbl>
            <c:dLbl>
              <c:idx val="10"/>
              <c:tx>
                <c:rich>
                  <a:bodyPr/>
                  <a:lstStyle/>
                  <a:p>
                    <a:fld id="{8D3112CC-1DC2-4EA2-83F6-4D52AF1CE7E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1EBE-4060-98E0-8524CC20E621}"/>
                </c:ext>
              </c:extLst>
            </c:dLbl>
            <c:dLbl>
              <c:idx val="11"/>
              <c:tx>
                <c:rich>
                  <a:bodyPr/>
                  <a:lstStyle/>
                  <a:p>
                    <a:fld id="{1B80E536-06EA-47A3-B360-16A3660C921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1EBE-4060-98E0-8524CC20E621}"/>
                </c:ext>
              </c:extLst>
            </c:dLbl>
            <c:dLbl>
              <c:idx val="12"/>
              <c:tx>
                <c:rich>
                  <a:bodyPr/>
                  <a:lstStyle/>
                  <a:p>
                    <a:fld id="{3146DC0A-4E13-4E71-B2F7-D6BBB7ED312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1EBE-4060-98E0-8524CC20E621}"/>
                </c:ext>
              </c:extLst>
            </c:dLbl>
            <c:dLbl>
              <c:idx val="13"/>
              <c:tx>
                <c:rich>
                  <a:bodyPr/>
                  <a:lstStyle/>
                  <a:p>
                    <a:fld id="{C10F6C4C-10F8-4388-8DAD-8F3D40995BE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1EBE-4060-98E0-8524CC20E621}"/>
                </c:ext>
              </c:extLst>
            </c:dLbl>
            <c:dLbl>
              <c:idx val="14"/>
              <c:tx>
                <c:rich>
                  <a:bodyPr/>
                  <a:lstStyle/>
                  <a:p>
                    <a:fld id="{1CEE6E0B-1BCE-4D94-AA82-3A3778A8294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1EBE-4060-98E0-8524CC20E621}"/>
                </c:ext>
              </c:extLst>
            </c:dLbl>
            <c:dLbl>
              <c:idx val="15"/>
              <c:tx>
                <c:rich>
                  <a:bodyPr/>
                  <a:lstStyle/>
                  <a:p>
                    <a:fld id="{C151F3CA-3014-47C2-BF46-751379D6501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1EBE-4060-98E0-8524CC20E621}"/>
                </c:ext>
              </c:extLst>
            </c:dLbl>
            <c:dLbl>
              <c:idx val="16"/>
              <c:tx>
                <c:rich>
                  <a:bodyPr/>
                  <a:lstStyle/>
                  <a:p>
                    <a:fld id="{B2694EC7-EE81-408C-9EEB-2ED26DA8A09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1EBE-4060-98E0-8524CC20E621}"/>
                </c:ext>
              </c:extLst>
            </c:dLbl>
            <c:dLbl>
              <c:idx val="17"/>
              <c:tx>
                <c:rich>
                  <a:bodyPr/>
                  <a:lstStyle/>
                  <a:p>
                    <a:fld id="{04E1E90F-00AA-43AF-93A3-EBA6C2070D8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1EBE-4060-98E0-8524CC20E621}"/>
                </c:ext>
              </c:extLst>
            </c:dLbl>
            <c:dLbl>
              <c:idx val="18"/>
              <c:tx>
                <c:rich>
                  <a:bodyPr/>
                  <a:lstStyle/>
                  <a:p>
                    <a:fld id="{ACE715C3-EC18-4772-973C-6C091DF19AA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1EBE-4060-98E0-8524CC20E621}"/>
                </c:ext>
              </c:extLst>
            </c:dLbl>
            <c:dLbl>
              <c:idx val="19"/>
              <c:tx>
                <c:rich>
                  <a:bodyPr/>
                  <a:lstStyle/>
                  <a:p>
                    <a:fld id="{4EC519DC-1AEE-4CFE-A7F6-37C71A9FFF8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1EBE-4060-98E0-8524CC20E621}"/>
                </c:ext>
              </c:extLst>
            </c:dLbl>
            <c:dLbl>
              <c:idx val="20"/>
              <c:tx>
                <c:rich>
                  <a:bodyPr/>
                  <a:lstStyle/>
                  <a:p>
                    <a:fld id="{CF5C190A-B020-493F-A297-1E2D7308FF4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1EBE-4060-98E0-8524CC20E621}"/>
                </c:ext>
              </c:extLst>
            </c:dLbl>
            <c:dLbl>
              <c:idx val="21"/>
              <c:tx>
                <c:rich>
                  <a:bodyPr/>
                  <a:lstStyle/>
                  <a:p>
                    <a:fld id="{24822D02-F3F2-4188-8FDB-5F559FDDC22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1EBE-4060-98E0-8524CC20E621}"/>
                </c:ext>
              </c:extLst>
            </c:dLbl>
            <c:dLbl>
              <c:idx val="22"/>
              <c:tx>
                <c:rich>
                  <a:bodyPr/>
                  <a:lstStyle/>
                  <a:p>
                    <a:fld id="{C67102C6-3FF1-4C5D-A78B-4390535A352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1EBE-4060-98E0-8524CC20E621}"/>
                </c:ext>
              </c:extLst>
            </c:dLbl>
            <c:dLbl>
              <c:idx val="23"/>
              <c:tx>
                <c:rich>
                  <a:bodyPr/>
                  <a:lstStyle/>
                  <a:p>
                    <a:fld id="{2B480E27-30A1-4B10-948B-A3DC12978EE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1EBE-4060-98E0-8524CC20E621}"/>
                </c:ext>
              </c:extLst>
            </c:dLbl>
            <c:dLbl>
              <c:idx val="24"/>
              <c:tx>
                <c:rich>
                  <a:bodyPr/>
                  <a:lstStyle/>
                  <a:p>
                    <a:fld id="{CBDD5574-A606-41F2-BC55-02B94A71BD0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1EBE-4060-98E0-8524CC20E621}"/>
                </c:ext>
              </c:extLst>
            </c:dLbl>
            <c:dLbl>
              <c:idx val="25"/>
              <c:tx>
                <c:rich>
                  <a:bodyPr/>
                  <a:lstStyle/>
                  <a:p>
                    <a:fld id="{CFEAEB08-0395-4A30-ABC1-E905DEAF888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1EBE-4060-98E0-8524CC20E621}"/>
                </c:ext>
              </c:extLst>
            </c:dLbl>
            <c:dLbl>
              <c:idx val="26"/>
              <c:tx>
                <c:rich>
                  <a:bodyPr/>
                  <a:lstStyle/>
                  <a:p>
                    <a:fld id="{86768342-2BDB-4C16-83DE-27188F1599E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1EBE-4060-98E0-8524CC20E621}"/>
                </c:ext>
              </c:extLst>
            </c:dLbl>
            <c:dLbl>
              <c:idx val="27"/>
              <c:tx>
                <c:rich>
                  <a:bodyPr/>
                  <a:lstStyle/>
                  <a:p>
                    <a:fld id="{915F716F-6662-4CAE-A03D-A0ED436F532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1EBE-4060-98E0-8524CC20E621}"/>
                </c:ext>
              </c:extLst>
            </c:dLbl>
            <c:dLbl>
              <c:idx val="28"/>
              <c:tx>
                <c:rich>
                  <a:bodyPr/>
                  <a:lstStyle/>
                  <a:p>
                    <a:fld id="{73BAA6C3-EEE8-45E7-8296-053EEFC6102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1EBE-4060-98E0-8524CC20E621}"/>
                </c:ext>
              </c:extLst>
            </c:dLbl>
            <c:dLbl>
              <c:idx val="29"/>
              <c:tx>
                <c:rich>
                  <a:bodyPr/>
                  <a:lstStyle/>
                  <a:p>
                    <a:fld id="{04AE76E3-31FB-41D0-BC7D-4483A2BDD4E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1EBE-4060-98E0-8524CC20E621}"/>
                </c:ext>
              </c:extLst>
            </c:dLbl>
            <c:dLbl>
              <c:idx val="30"/>
              <c:tx>
                <c:rich>
                  <a:bodyPr/>
                  <a:lstStyle/>
                  <a:p>
                    <a:fld id="{1E5D1414-AB63-48C3-9095-911B9ECEDDD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1EBE-4060-98E0-8524CC20E621}"/>
                </c:ext>
              </c:extLst>
            </c:dLbl>
            <c:dLbl>
              <c:idx val="31"/>
              <c:tx>
                <c:rich>
                  <a:bodyPr/>
                  <a:lstStyle/>
                  <a:p>
                    <a:fld id="{6DE5DFA1-581D-42D6-8064-A9BE00459B9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1EBE-4060-98E0-8524CC20E621}"/>
                </c:ext>
              </c:extLst>
            </c:dLbl>
            <c:dLbl>
              <c:idx val="32"/>
              <c:tx>
                <c:rich>
                  <a:bodyPr/>
                  <a:lstStyle/>
                  <a:p>
                    <a:fld id="{66526685-9AF1-4C57-A1CF-DEC15438B41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1EBE-4060-98E0-8524CC20E621}"/>
                </c:ext>
              </c:extLst>
            </c:dLbl>
            <c:dLbl>
              <c:idx val="33"/>
              <c:tx>
                <c:rich>
                  <a:bodyPr/>
                  <a:lstStyle/>
                  <a:p>
                    <a:fld id="{39AEF980-C2FD-4409-A5CB-AE9638D9F60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1EBE-4060-98E0-8524CC20E621}"/>
                </c:ext>
              </c:extLst>
            </c:dLbl>
            <c:dLbl>
              <c:idx val="34"/>
              <c:tx>
                <c:rich>
                  <a:bodyPr/>
                  <a:lstStyle/>
                  <a:p>
                    <a:fld id="{690B37DF-1FEC-4940-B66B-38890936ECD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1EBE-4060-98E0-8524CC20E621}"/>
                </c:ext>
              </c:extLst>
            </c:dLbl>
            <c:dLbl>
              <c:idx val="35"/>
              <c:tx>
                <c:rich>
                  <a:bodyPr/>
                  <a:lstStyle/>
                  <a:p>
                    <a:fld id="{45C035DE-B593-4FB9-B997-5A6BAF86BF0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1EBE-4060-98E0-8524CC20E621}"/>
                </c:ext>
              </c:extLst>
            </c:dLbl>
            <c:dLbl>
              <c:idx val="36"/>
              <c:tx>
                <c:rich>
                  <a:bodyPr/>
                  <a:lstStyle/>
                  <a:p>
                    <a:fld id="{160C8B64-6CED-46B4-A354-003351F06E4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1EBE-4060-98E0-8524CC20E621}"/>
                </c:ext>
              </c:extLst>
            </c:dLbl>
            <c:dLbl>
              <c:idx val="37"/>
              <c:tx>
                <c:rich>
                  <a:bodyPr/>
                  <a:lstStyle/>
                  <a:p>
                    <a:fld id="{1E18BB00-A2A5-49B2-A91C-7EAF3709487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1EBE-4060-98E0-8524CC20E621}"/>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usluga'!$AD$102:$AD$139</c:f>
              <c:numCache>
                <c:formatCode>General</c:formatCode>
                <c:ptCount val="38"/>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numCache>
            </c:numRef>
          </c:val>
          <c:smooth val="0"/>
          <c:extLst>
            <c:ext xmlns:c15="http://schemas.microsoft.com/office/drawing/2012/chart" uri="{02D57815-91ED-43cb-92C2-25804820EDAC}">
              <c15:datalabelsRange>
                <c15:f>'BoP_izvoz usluga'!$J$102:$J$139</c15:f>
                <c15:dlblRangeCache>
                  <c:ptCount val="38"/>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E-1EBE-4060-98E0-8524CC20E621}"/>
            </c:ext>
          </c:extLst>
        </c:ser>
        <c:dLbls>
          <c:showLegendKey val="0"/>
          <c:showVal val="0"/>
          <c:showCatName val="0"/>
          <c:showSerName val="0"/>
          <c:showPercent val="0"/>
          <c:showBubbleSize val="0"/>
        </c:dLbls>
        <c:smooth val="0"/>
        <c:axId val="1828932656"/>
        <c:axId val="1828929936"/>
      </c:lineChart>
      <c:dateAx>
        <c:axId val="1828932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9936"/>
        <c:crosses val="autoZero"/>
        <c:auto val="1"/>
        <c:lblOffset val="0"/>
        <c:baseTimeUnit val="months"/>
      </c:dateAx>
      <c:valAx>
        <c:axId val="1828929936"/>
        <c:scaling>
          <c:orientation val="minMax"/>
          <c:max val="14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2656"/>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33333333333E-2"/>
          <c:y val="4.3644144144144144E-2"/>
          <c:w val="0.86257083333333318"/>
          <c:h val="0.8328986486486486"/>
        </c:manualLayout>
      </c:layout>
      <c:lineChart>
        <c:grouping val="standard"/>
        <c:varyColors val="0"/>
        <c:ser>
          <c:idx val="0"/>
          <c:order val="0"/>
          <c:tx>
            <c:strRef>
              <c:f>'BoP_izvoz usluga'!$S$5</c:f>
              <c:strCache>
                <c:ptCount val="1"/>
                <c:pt idx="0">
                  <c:v>y</c:v>
                </c:pt>
              </c:strCache>
            </c:strRef>
          </c:tx>
          <c:spPr>
            <a:ln w="12700" cap="rnd">
              <a:solidFill>
                <a:srgbClr val="7F3F98"/>
              </a:solidFill>
              <a:prstDash val="sysDash"/>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usluga'!$S$102:$S$139</c:f>
              <c:numCache>
                <c:formatCode>#.#00</c:formatCode>
                <c:ptCount val="38"/>
                <c:pt idx="0">
                  <c:v>54.329586302992347</c:v>
                </c:pt>
                <c:pt idx="1">
                  <c:v>58.727560898170751</c:v>
                </c:pt>
                <c:pt idx="2">
                  <c:v>51.253686270674478</c:v>
                </c:pt>
                <c:pt idx="3">
                  <c:v>50.434624404092901</c:v>
                </c:pt>
                <c:pt idx="4">
                  <c:v>46.85096455550287</c:v>
                </c:pt>
                <c:pt idx="5">
                  <c:v>51.618038967023239</c:v>
                </c:pt>
                <c:pt idx="6">
                  <c:v>48.801081885537826</c:v>
                </c:pt>
                <c:pt idx="7">
                  <c:v>44.805407934049541</c:v>
                </c:pt>
                <c:pt idx="8">
                  <c:v>49.149453958834862</c:v>
                </c:pt>
                <c:pt idx="9">
                  <c:v>55.497333907948679</c:v>
                </c:pt>
                <c:pt idx="10">
                  <c:v>53.42677886489119</c:v>
                </c:pt>
                <c:pt idx="11">
                  <c:v>76.523733291889158</c:v>
                </c:pt>
                <c:pt idx="12">
                  <c:v>53.138584901642993</c:v>
                </c:pt>
                <c:pt idx="13">
                  <c:v>55.345776991863517</c:v>
                </c:pt>
                <c:pt idx="14">
                  <c:v>66.46386845346251</c:v>
                </c:pt>
                <c:pt idx="15">
                  <c:v>64.629676500590961</c:v>
                </c:pt>
                <c:pt idx="16">
                  <c:v>61.437847948708971</c:v>
                </c:pt>
                <c:pt idx="17">
                  <c:v>67.204654959434379</c:v>
                </c:pt>
                <c:pt idx="18">
                  <c:v>76.129444297902893</c:v>
                </c:pt>
                <c:pt idx="19">
                  <c:v>66.013519549181325</c:v>
                </c:pt>
                <c:pt idx="20">
                  <c:v>69.674780060435253</c:v>
                </c:pt>
                <c:pt idx="21">
                  <c:v>74.948874607218357</c:v>
                </c:pt>
                <c:pt idx="22">
                  <c:v>76.425366375056839</c:v>
                </c:pt>
                <c:pt idx="23">
                  <c:v>96.345598534802633</c:v>
                </c:pt>
                <c:pt idx="24">
                  <c:v>77.286668160089533</c:v>
                </c:pt>
                <c:pt idx="25">
                  <c:v>77.511084513847393</c:v>
                </c:pt>
                <c:pt idx="26">
                  <c:v>88.69223437187631</c:v>
                </c:pt>
                <c:pt idx="27">
                  <c:v>86.44653329650852</c:v>
                </c:pt>
                <c:pt idx="28">
                  <c:v>94.032565234346208</c:v>
                </c:pt>
                <c:pt idx="29">
                  <c:v>95.500015789106214</c:v>
                </c:pt>
                <c:pt idx="30">
                  <c:v>104.06136968802183</c:v>
                </c:pt>
                <c:pt idx="31">
                  <c:v>106.94676684382227</c:v>
                </c:pt>
                <c:pt idx="32">
                  <c:v>111.38939876842444</c:v>
                </c:pt>
                <c:pt idx="33">
                  <c:v>105.67806091566555</c:v>
                </c:pt>
                <c:pt idx="34">
                  <c:v>111.47998653191478</c:v>
                </c:pt>
                <c:pt idx="35">
                  <c:v>140.97531588637696</c:v>
                </c:pt>
                <c:pt idx="36">
                  <c:v>109.932345365364</c:v>
                </c:pt>
                <c:pt idx="37">
                  <c:v>112.91031104510903</c:v>
                </c:pt>
              </c:numCache>
            </c:numRef>
          </c:val>
          <c:smooth val="0"/>
          <c:extLst>
            <c:ext xmlns:c16="http://schemas.microsoft.com/office/drawing/2014/chart" uri="{C3380CC4-5D6E-409C-BE32-E72D297353CC}">
              <c16:uniqueId val="{00000000-BFD4-4146-B36E-28D42112756F}"/>
            </c:ext>
          </c:extLst>
        </c:ser>
        <c:ser>
          <c:idx val="1"/>
          <c:order val="1"/>
          <c:tx>
            <c:strRef>
              <c:f>'BoP_izvoz usluga'!$T$5</c:f>
              <c:strCache>
                <c:ptCount val="1"/>
                <c:pt idx="0">
                  <c:v>sa</c:v>
                </c:pt>
              </c:strCache>
            </c:strRef>
          </c:tx>
          <c:spPr>
            <a:ln w="22225" cap="rnd">
              <a:solidFill>
                <a:srgbClr val="25AAE1"/>
              </a:solidFill>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usluga'!$T$102:$T$139</c:f>
              <c:numCache>
                <c:formatCode>#.#00</c:formatCode>
                <c:ptCount val="38"/>
                <c:pt idx="0">
                  <c:v>58.560669549055483</c:v>
                </c:pt>
                <c:pt idx="1">
                  <c:v>56.290724086207995</c:v>
                </c:pt>
                <c:pt idx="2">
                  <c:v>50.282373767820054</c:v>
                </c:pt>
                <c:pt idx="3">
                  <c:v>49.979372485049574</c:v>
                </c:pt>
                <c:pt idx="4">
                  <c:v>50.45103914393956</c:v>
                </c:pt>
                <c:pt idx="5">
                  <c:v>52.000760181928051</c:v>
                </c:pt>
                <c:pt idx="6">
                  <c:v>45.141357331366606</c:v>
                </c:pt>
                <c:pt idx="7">
                  <c:v>51.002418205980476</c:v>
                </c:pt>
                <c:pt idx="8">
                  <c:v>51.479943929130187</c:v>
                </c:pt>
                <c:pt idx="9">
                  <c:v>51.349366563398554</c:v>
                </c:pt>
                <c:pt idx="10">
                  <c:v>55.328681925082002</c:v>
                </c:pt>
                <c:pt idx="11">
                  <c:v>61.837040370252168</c:v>
                </c:pt>
                <c:pt idx="12">
                  <c:v>59.508716273395656</c:v>
                </c:pt>
                <c:pt idx="13">
                  <c:v>58.871944628257033</c:v>
                </c:pt>
                <c:pt idx="14">
                  <c:v>65.355880050809674</c:v>
                </c:pt>
                <c:pt idx="15">
                  <c:v>62.954369452078929</c:v>
                </c:pt>
                <c:pt idx="16">
                  <c:v>64.338583109000837</c:v>
                </c:pt>
                <c:pt idx="17">
                  <c:v>68.213123348439282</c:v>
                </c:pt>
                <c:pt idx="18">
                  <c:v>70.364864555055078</c:v>
                </c:pt>
                <c:pt idx="19">
                  <c:v>71.280698589630049</c:v>
                </c:pt>
                <c:pt idx="20">
                  <c:v>73.179752909003696</c:v>
                </c:pt>
                <c:pt idx="21">
                  <c:v>72.885801878974561</c:v>
                </c:pt>
                <c:pt idx="22">
                  <c:v>78.275142880704436</c:v>
                </c:pt>
                <c:pt idx="23">
                  <c:v>78.134718715003672</c:v>
                </c:pt>
                <c:pt idx="24">
                  <c:v>84.901203595862597</c:v>
                </c:pt>
                <c:pt idx="25">
                  <c:v>81.671549292274435</c:v>
                </c:pt>
                <c:pt idx="26">
                  <c:v>83.527446042930421</c:v>
                </c:pt>
                <c:pt idx="27">
                  <c:v>86.379057869932694</c:v>
                </c:pt>
                <c:pt idx="28">
                  <c:v>97.071550568962323</c:v>
                </c:pt>
                <c:pt idx="29">
                  <c:v>97.205918609498369</c:v>
                </c:pt>
                <c:pt idx="30">
                  <c:v>100.9083030410942</c:v>
                </c:pt>
                <c:pt idx="31">
                  <c:v>115.35933915245936</c:v>
                </c:pt>
                <c:pt idx="32">
                  <c:v>110.81671365343763</c:v>
                </c:pt>
                <c:pt idx="33">
                  <c:v>108.76578666464773</c:v>
                </c:pt>
                <c:pt idx="34">
                  <c:v>114.61912514078439</c:v>
                </c:pt>
                <c:pt idx="35">
                  <c:v>114.98269180825847</c:v>
                </c:pt>
                <c:pt idx="36">
                  <c:v>111.75076965359955</c:v>
                </c:pt>
                <c:pt idx="37">
                  <c:v>118.20840496087995</c:v>
                </c:pt>
              </c:numCache>
            </c:numRef>
          </c:val>
          <c:smooth val="0"/>
          <c:extLst>
            <c:ext xmlns:c16="http://schemas.microsoft.com/office/drawing/2014/chart" uri="{C3380CC4-5D6E-409C-BE32-E72D297353CC}">
              <c16:uniqueId val="{00000001-BFD4-4146-B36E-28D42112756F}"/>
            </c:ext>
          </c:extLst>
        </c:ser>
        <c:ser>
          <c:idx val="2"/>
          <c:order val="2"/>
          <c:tx>
            <c:strRef>
              <c:f>'BoP_izvoz usluga'!$U$5</c:f>
              <c:strCache>
                <c:ptCount val="1"/>
                <c:pt idx="0">
                  <c:v>t</c:v>
                </c:pt>
              </c:strCache>
            </c:strRef>
          </c:tx>
          <c:spPr>
            <a:ln w="25400" cap="rnd">
              <a:solidFill>
                <a:srgbClr val="FF0000"/>
              </a:solidFill>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usluga'!$U$102:$U$139</c:f>
              <c:numCache>
                <c:formatCode>#.#00</c:formatCode>
                <c:ptCount val="38"/>
                <c:pt idx="0">
                  <c:v>55.146454406147356</c:v>
                </c:pt>
                <c:pt idx="1">
                  <c:v>54.075669315218626</c:v>
                </c:pt>
                <c:pt idx="2">
                  <c:v>52.7280465256216</c:v>
                </c:pt>
                <c:pt idx="3">
                  <c:v>51.551295344455959</c:v>
                </c:pt>
                <c:pt idx="4">
                  <c:v>50.716792904809957</c:v>
                </c:pt>
                <c:pt idx="5">
                  <c:v>50.343655498113108</c:v>
                </c:pt>
                <c:pt idx="6">
                  <c:v>50.37504967020886</c:v>
                </c:pt>
                <c:pt idx="7">
                  <c:v>50.943110742346938</c:v>
                </c:pt>
                <c:pt idx="8">
                  <c:v>51.800087728890759</c:v>
                </c:pt>
                <c:pt idx="9">
                  <c:v>53.04977546933322</c:v>
                </c:pt>
                <c:pt idx="10">
                  <c:v>54.807718398185798</c:v>
                </c:pt>
                <c:pt idx="11">
                  <c:v>56.841657138047978</c:v>
                </c:pt>
                <c:pt idx="12">
                  <c:v>58.855158727496963</c:v>
                </c:pt>
                <c:pt idx="13">
                  <c:v>60.690930680612681</c:v>
                </c:pt>
                <c:pt idx="14">
                  <c:v>62.388705477747671</c:v>
                </c:pt>
                <c:pt idx="15">
                  <c:v>64.080973661546665</c:v>
                </c:pt>
                <c:pt idx="16">
                  <c:v>65.801562455512894</c:v>
                </c:pt>
                <c:pt idx="17">
                  <c:v>67.60664847867757</c:v>
                </c:pt>
                <c:pt idx="18">
                  <c:v>69.339089945796218</c:v>
                </c:pt>
                <c:pt idx="19">
                  <c:v>71.114148901426418</c:v>
                </c:pt>
                <c:pt idx="20">
                  <c:v>73.051483449882397</c:v>
                </c:pt>
                <c:pt idx="21">
                  <c:v>75.135261993449433</c:v>
                </c:pt>
                <c:pt idx="22">
                  <c:v>77.040013401207659</c:v>
                </c:pt>
                <c:pt idx="23">
                  <c:v>78.902824066583122</c:v>
                </c:pt>
                <c:pt idx="24">
                  <c:v>80.897377150197144</c:v>
                </c:pt>
                <c:pt idx="25">
                  <c:v>83.111749913846211</c:v>
                </c:pt>
                <c:pt idx="26">
                  <c:v>85.767945788547451</c:v>
                </c:pt>
                <c:pt idx="27">
                  <c:v>89.188777060493521</c:v>
                </c:pt>
                <c:pt idx="28">
                  <c:v>93.3118936125625</c:v>
                </c:pt>
                <c:pt idx="29">
                  <c:v>97.845661131111541</c:v>
                </c:pt>
                <c:pt idx="30">
                  <c:v>102.33848439752983</c:v>
                </c:pt>
                <c:pt idx="31">
                  <c:v>106.21547278871708</c:v>
                </c:pt>
                <c:pt idx="32">
                  <c:v>109.0671837667484</c:v>
                </c:pt>
                <c:pt idx="33">
                  <c:v>111.07097856107174</c:v>
                </c:pt>
                <c:pt idx="34">
                  <c:v>112.62059192519214</c:v>
                </c:pt>
                <c:pt idx="35">
                  <c:v>114.09611745186042</c:v>
                </c:pt>
                <c:pt idx="36">
                  <c:v>115.77340258420753</c:v>
                </c:pt>
                <c:pt idx="37">
                  <c:v>117.80032295645574</c:v>
                </c:pt>
              </c:numCache>
            </c:numRef>
          </c:val>
          <c:smooth val="0"/>
          <c:extLst>
            <c:ext xmlns:c16="http://schemas.microsoft.com/office/drawing/2014/chart" uri="{C3380CC4-5D6E-409C-BE32-E72D297353CC}">
              <c16:uniqueId val="{00000002-BFD4-4146-B36E-28D42112756F}"/>
            </c:ext>
          </c:extLst>
        </c:ser>
        <c:ser>
          <c:idx val="3"/>
          <c:order val="3"/>
          <c:tx>
            <c:strRef>
              <c:f>'BoP_izvoz usluga'!$V$5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737167078819729E-2"/>
                  <c:y val="6.551126126126126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FD4-4146-B36E-28D42112756F}"/>
                </c:ext>
              </c:extLst>
            </c:dLbl>
            <c:dLbl>
              <c:idx val="12"/>
              <c:layout>
                <c:manualLayout>
                  <c:x val="7.7904379335621984E-2"/>
                  <c:y val="6.551126126126126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FD4-4146-B36E-28D42112756F}"/>
                </c:ext>
              </c:extLst>
            </c:dLbl>
            <c:dLbl>
              <c:idx val="24"/>
              <c:layout>
                <c:manualLayout>
                  <c:x val="7.5968675212416237E-2"/>
                  <c:y val="6.551126126126126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FD4-4146-B36E-28D42112756F}"/>
                </c:ext>
              </c:extLst>
            </c:dLbl>
            <c:dLbl>
              <c:idx val="36"/>
              <c:layout>
                <c:manualLayout>
                  <c:x val="-2.7714361468916957E-2"/>
                  <c:y val="6.551126126126126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FD4-4146-B36E-28D42112756F}"/>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usluga'!$V$102:$V$139</c:f>
              <c:numCache>
                <c:formatCode>General</c:formatCode>
                <c:ptCount val="38"/>
                <c:pt idx="0">
                  <c:v>20</c:v>
                </c:pt>
                <c:pt idx="12">
                  <c:v>20</c:v>
                </c:pt>
                <c:pt idx="24">
                  <c:v>20</c:v>
                </c:pt>
                <c:pt idx="36">
                  <c:v>20</c:v>
                </c:pt>
              </c:numCache>
            </c:numRef>
          </c:val>
          <c:smooth val="0"/>
          <c:extLst>
            <c:ext xmlns:c16="http://schemas.microsoft.com/office/drawing/2014/chart" uri="{C3380CC4-5D6E-409C-BE32-E72D297353CC}">
              <c16:uniqueId val="{00000007-BFD4-4146-B36E-28D42112756F}"/>
            </c:ext>
          </c:extLst>
        </c:ser>
        <c:ser>
          <c:idx val="4"/>
          <c:order val="4"/>
          <c:tx>
            <c:strRef>
              <c:f>'BoP_izvoz usluga'!$W$5</c:f>
              <c:strCache>
                <c:ptCount val="1"/>
                <c:pt idx="0">
                  <c:v>Series5</c:v>
                </c:pt>
              </c:strCache>
            </c:strRef>
          </c:tx>
          <c:spPr>
            <a:ln w="28575" cap="rnd">
              <a:noFill/>
              <a:round/>
            </a:ln>
            <a:effectLst/>
          </c:spPr>
          <c:marker>
            <c:symbol val="none"/>
          </c:marker>
          <c:dLbls>
            <c:dLbl>
              <c:idx val="0"/>
              <c:tx>
                <c:rich>
                  <a:bodyPr/>
                  <a:lstStyle/>
                  <a:p>
                    <a:fld id="{30850168-D608-4100-B2B6-05886849057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FD4-4146-B36E-28D42112756F}"/>
                </c:ext>
              </c:extLst>
            </c:dLbl>
            <c:dLbl>
              <c:idx val="1"/>
              <c:tx>
                <c:rich>
                  <a:bodyPr/>
                  <a:lstStyle/>
                  <a:p>
                    <a:fld id="{F4CA461F-7DFF-4D31-8BE6-A60DA82824C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FD4-4146-B36E-28D42112756F}"/>
                </c:ext>
              </c:extLst>
            </c:dLbl>
            <c:dLbl>
              <c:idx val="2"/>
              <c:tx>
                <c:rich>
                  <a:bodyPr/>
                  <a:lstStyle/>
                  <a:p>
                    <a:fld id="{47FE02C5-64A9-4D5B-81D7-72ADE3C723B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FD4-4146-B36E-28D42112756F}"/>
                </c:ext>
              </c:extLst>
            </c:dLbl>
            <c:dLbl>
              <c:idx val="3"/>
              <c:tx>
                <c:rich>
                  <a:bodyPr/>
                  <a:lstStyle/>
                  <a:p>
                    <a:fld id="{8FF7E3A4-5EAA-44B1-8C72-FDDEC5B6553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FD4-4146-B36E-28D42112756F}"/>
                </c:ext>
              </c:extLst>
            </c:dLbl>
            <c:dLbl>
              <c:idx val="4"/>
              <c:tx>
                <c:rich>
                  <a:bodyPr/>
                  <a:lstStyle/>
                  <a:p>
                    <a:fld id="{81CB7D18-B611-484D-9A55-961317567FA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FD4-4146-B36E-28D42112756F}"/>
                </c:ext>
              </c:extLst>
            </c:dLbl>
            <c:dLbl>
              <c:idx val="5"/>
              <c:tx>
                <c:rich>
                  <a:bodyPr/>
                  <a:lstStyle/>
                  <a:p>
                    <a:fld id="{A49A9FCA-2861-4686-A6F5-741B30B54AD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FD4-4146-B36E-28D42112756F}"/>
                </c:ext>
              </c:extLst>
            </c:dLbl>
            <c:dLbl>
              <c:idx val="6"/>
              <c:tx>
                <c:rich>
                  <a:bodyPr/>
                  <a:lstStyle/>
                  <a:p>
                    <a:fld id="{62FAD59C-64F0-4CE7-AD31-B27890635A4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FD4-4146-B36E-28D42112756F}"/>
                </c:ext>
              </c:extLst>
            </c:dLbl>
            <c:dLbl>
              <c:idx val="7"/>
              <c:tx>
                <c:rich>
                  <a:bodyPr/>
                  <a:lstStyle/>
                  <a:p>
                    <a:fld id="{63811C6F-2A60-42A9-994B-9317A96806F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FD4-4146-B36E-28D42112756F}"/>
                </c:ext>
              </c:extLst>
            </c:dLbl>
            <c:dLbl>
              <c:idx val="8"/>
              <c:tx>
                <c:rich>
                  <a:bodyPr/>
                  <a:lstStyle/>
                  <a:p>
                    <a:fld id="{DC9F32E9-91B5-410A-81A4-088DEF24672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FD4-4146-B36E-28D42112756F}"/>
                </c:ext>
              </c:extLst>
            </c:dLbl>
            <c:dLbl>
              <c:idx val="9"/>
              <c:tx>
                <c:rich>
                  <a:bodyPr/>
                  <a:lstStyle/>
                  <a:p>
                    <a:fld id="{B83229F2-5C4A-4D31-9891-229ED13AA1A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FD4-4146-B36E-28D42112756F}"/>
                </c:ext>
              </c:extLst>
            </c:dLbl>
            <c:dLbl>
              <c:idx val="10"/>
              <c:tx>
                <c:rich>
                  <a:bodyPr/>
                  <a:lstStyle/>
                  <a:p>
                    <a:fld id="{F17281C5-073A-4219-B209-7DD8927F7E0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FD4-4146-B36E-28D42112756F}"/>
                </c:ext>
              </c:extLst>
            </c:dLbl>
            <c:dLbl>
              <c:idx val="11"/>
              <c:tx>
                <c:rich>
                  <a:bodyPr/>
                  <a:lstStyle/>
                  <a:p>
                    <a:fld id="{0D67BBEB-5DDE-4D52-BFB5-4884DB413B2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FD4-4146-B36E-28D42112756F}"/>
                </c:ext>
              </c:extLst>
            </c:dLbl>
            <c:dLbl>
              <c:idx val="12"/>
              <c:tx>
                <c:rich>
                  <a:bodyPr/>
                  <a:lstStyle/>
                  <a:p>
                    <a:fld id="{B6A3F0B2-BF60-40E1-9645-DF2D9D4E42B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FD4-4146-B36E-28D42112756F}"/>
                </c:ext>
              </c:extLst>
            </c:dLbl>
            <c:dLbl>
              <c:idx val="13"/>
              <c:tx>
                <c:rich>
                  <a:bodyPr/>
                  <a:lstStyle/>
                  <a:p>
                    <a:fld id="{BFE1BA89-CE6F-4C48-A91B-EA82108912A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FD4-4146-B36E-28D42112756F}"/>
                </c:ext>
              </c:extLst>
            </c:dLbl>
            <c:dLbl>
              <c:idx val="14"/>
              <c:tx>
                <c:rich>
                  <a:bodyPr/>
                  <a:lstStyle/>
                  <a:p>
                    <a:fld id="{28D7C53A-0D7B-4B80-9C4F-FF80C0BC634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FD4-4146-B36E-28D42112756F}"/>
                </c:ext>
              </c:extLst>
            </c:dLbl>
            <c:dLbl>
              <c:idx val="15"/>
              <c:tx>
                <c:rich>
                  <a:bodyPr/>
                  <a:lstStyle/>
                  <a:p>
                    <a:fld id="{A1658C97-8B77-4690-B585-D338709D44E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FD4-4146-B36E-28D42112756F}"/>
                </c:ext>
              </c:extLst>
            </c:dLbl>
            <c:dLbl>
              <c:idx val="16"/>
              <c:tx>
                <c:rich>
                  <a:bodyPr/>
                  <a:lstStyle/>
                  <a:p>
                    <a:fld id="{8944C9A5-9BBA-406B-8988-6A50A79C3C9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FD4-4146-B36E-28D42112756F}"/>
                </c:ext>
              </c:extLst>
            </c:dLbl>
            <c:dLbl>
              <c:idx val="17"/>
              <c:tx>
                <c:rich>
                  <a:bodyPr/>
                  <a:lstStyle/>
                  <a:p>
                    <a:fld id="{78849C56-E8A3-4E4C-956E-4A0046DEF5A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FD4-4146-B36E-28D42112756F}"/>
                </c:ext>
              </c:extLst>
            </c:dLbl>
            <c:dLbl>
              <c:idx val="18"/>
              <c:tx>
                <c:rich>
                  <a:bodyPr/>
                  <a:lstStyle/>
                  <a:p>
                    <a:fld id="{569CCDF5-0521-402C-8FCD-F3013059CEF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FD4-4146-B36E-28D42112756F}"/>
                </c:ext>
              </c:extLst>
            </c:dLbl>
            <c:dLbl>
              <c:idx val="19"/>
              <c:tx>
                <c:rich>
                  <a:bodyPr/>
                  <a:lstStyle/>
                  <a:p>
                    <a:fld id="{80F4F45C-AE58-45F2-8F74-53E18AC484B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FD4-4146-B36E-28D42112756F}"/>
                </c:ext>
              </c:extLst>
            </c:dLbl>
            <c:dLbl>
              <c:idx val="20"/>
              <c:tx>
                <c:rich>
                  <a:bodyPr/>
                  <a:lstStyle/>
                  <a:p>
                    <a:fld id="{3026ECB3-67A6-4ED0-90F8-A1F736CB052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FD4-4146-B36E-28D42112756F}"/>
                </c:ext>
              </c:extLst>
            </c:dLbl>
            <c:dLbl>
              <c:idx val="21"/>
              <c:tx>
                <c:rich>
                  <a:bodyPr/>
                  <a:lstStyle/>
                  <a:p>
                    <a:fld id="{4691111A-BD70-45F2-9F4B-EFBCF97B6F3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FD4-4146-B36E-28D42112756F}"/>
                </c:ext>
              </c:extLst>
            </c:dLbl>
            <c:dLbl>
              <c:idx val="22"/>
              <c:tx>
                <c:rich>
                  <a:bodyPr/>
                  <a:lstStyle/>
                  <a:p>
                    <a:fld id="{4CE0A2FC-6833-4C25-9CFF-18276662214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FD4-4146-B36E-28D42112756F}"/>
                </c:ext>
              </c:extLst>
            </c:dLbl>
            <c:dLbl>
              <c:idx val="23"/>
              <c:tx>
                <c:rich>
                  <a:bodyPr/>
                  <a:lstStyle/>
                  <a:p>
                    <a:fld id="{3A25046D-E25E-482D-8319-000C9144187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FD4-4146-B36E-28D42112756F}"/>
                </c:ext>
              </c:extLst>
            </c:dLbl>
            <c:dLbl>
              <c:idx val="24"/>
              <c:tx>
                <c:rich>
                  <a:bodyPr/>
                  <a:lstStyle/>
                  <a:p>
                    <a:fld id="{9CC2B8D8-2BB8-4871-B862-88EA79547C3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FD4-4146-B36E-28D42112756F}"/>
                </c:ext>
              </c:extLst>
            </c:dLbl>
            <c:dLbl>
              <c:idx val="25"/>
              <c:tx>
                <c:rich>
                  <a:bodyPr/>
                  <a:lstStyle/>
                  <a:p>
                    <a:fld id="{F7CC5AE2-C1F3-4090-974F-1187601B3EB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FD4-4146-B36E-28D42112756F}"/>
                </c:ext>
              </c:extLst>
            </c:dLbl>
            <c:dLbl>
              <c:idx val="26"/>
              <c:tx>
                <c:rich>
                  <a:bodyPr/>
                  <a:lstStyle/>
                  <a:p>
                    <a:fld id="{5AD0730F-366A-404E-8F8E-44263FDC144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FD4-4146-B36E-28D42112756F}"/>
                </c:ext>
              </c:extLst>
            </c:dLbl>
            <c:dLbl>
              <c:idx val="27"/>
              <c:tx>
                <c:rich>
                  <a:bodyPr/>
                  <a:lstStyle/>
                  <a:p>
                    <a:fld id="{17FBA78E-210E-4351-8AEC-8DA6D99EB02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FD4-4146-B36E-28D42112756F}"/>
                </c:ext>
              </c:extLst>
            </c:dLbl>
            <c:dLbl>
              <c:idx val="28"/>
              <c:tx>
                <c:rich>
                  <a:bodyPr/>
                  <a:lstStyle/>
                  <a:p>
                    <a:fld id="{BDF2B0D7-10E9-485C-BFA8-F73A6592BC7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FD4-4146-B36E-28D42112756F}"/>
                </c:ext>
              </c:extLst>
            </c:dLbl>
            <c:dLbl>
              <c:idx val="29"/>
              <c:tx>
                <c:rich>
                  <a:bodyPr/>
                  <a:lstStyle/>
                  <a:p>
                    <a:fld id="{F74B03FC-9B3F-438A-A3C0-6A07B074AE6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FD4-4146-B36E-28D42112756F}"/>
                </c:ext>
              </c:extLst>
            </c:dLbl>
            <c:dLbl>
              <c:idx val="30"/>
              <c:tx>
                <c:rich>
                  <a:bodyPr/>
                  <a:lstStyle/>
                  <a:p>
                    <a:fld id="{54E5FDDB-331F-4813-A49D-6290998B5D1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FD4-4146-B36E-28D42112756F}"/>
                </c:ext>
              </c:extLst>
            </c:dLbl>
            <c:dLbl>
              <c:idx val="31"/>
              <c:tx>
                <c:rich>
                  <a:bodyPr/>
                  <a:lstStyle/>
                  <a:p>
                    <a:fld id="{8F8BC663-A9FF-4E12-85C1-F9F08C050C5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FD4-4146-B36E-28D42112756F}"/>
                </c:ext>
              </c:extLst>
            </c:dLbl>
            <c:dLbl>
              <c:idx val="32"/>
              <c:tx>
                <c:rich>
                  <a:bodyPr/>
                  <a:lstStyle/>
                  <a:p>
                    <a:fld id="{A180A456-283D-4C4F-BE5C-04AEE3822B1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FD4-4146-B36E-28D42112756F}"/>
                </c:ext>
              </c:extLst>
            </c:dLbl>
            <c:dLbl>
              <c:idx val="33"/>
              <c:tx>
                <c:rich>
                  <a:bodyPr/>
                  <a:lstStyle/>
                  <a:p>
                    <a:fld id="{2220D444-6B30-42E8-A6C4-31593A40B5C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FD4-4146-B36E-28D42112756F}"/>
                </c:ext>
              </c:extLst>
            </c:dLbl>
            <c:dLbl>
              <c:idx val="34"/>
              <c:tx>
                <c:rich>
                  <a:bodyPr/>
                  <a:lstStyle/>
                  <a:p>
                    <a:fld id="{0BDFA62A-7054-4DF8-A93B-E8511A172DC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FD4-4146-B36E-28D42112756F}"/>
                </c:ext>
              </c:extLst>
            </c:dLbl>
            <c:dLbl>
              <c:idx val="35"/>
              <c:tx>
                <c:rich>
                  <a:bodyPr/>
                  <a:lstStyle/>
                  <a:p>
                    <a:fld id="{6674EFAF-EAFE-4A26-8A90-866A27EE56B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FD4-4146-B36E-28D42112756F}"/>
                </c:ext>
              </c:extLst>
            </c:dLbl>
            <c:dLbl>
              <c:idx val="36"/>
              <c:tx>
                <c:rich>
                  <a:bodyPr/>
                  <a:lstStyle/>
                  <a:p>
                    <a:fld id="{FB384AB6-A107-46D2-B6C5-2E1D445F245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FD4-4146-B36E-28D42112756F}"/>
                </c:ext>
              </c:extLst>
            </c:dLbl>
            <c:dLbl>
              <c:idx val="37"/>
              <c:tx>
                <c:rich>
                  <a:bodyPr/>
                  <a:lstStyle/>
                  <a:p>
                    <a:fld id="{F51EDD0E-9215-4684-8FE9-39A31630CEA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BFD4-4146-B36E-28D42112756F}"/>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usluga'!$W$102:$W$139</c:f>
              <c:numCache>
                <c:formatCode>General</c:formatCode>
                <c:ptCount val="38"/>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numCache>
            </c:numRef>
          </c:val>
          <c:smooth val="0"/>
          <c:extLst>
            <c:ext xmlns:c15="http://schemas.microsoft.com/office/drawing/2012/chart" uri="{02D57815-91ED-43cb-92C2-25804820EDAC}">
              <c15:datalabelsRange>
                <c15:f>'BoP_izvoz usluga'!$J$102:$J$139</c15:f>
                <c15:dlblRangeCache>
                  <c:ptCount val="38"/>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E-BFD4-4146-B36E-28D42112756F}"/>
            </c:ext>
          </c:extLst>
        </c:ser>
        <c:dLbls>
          <c:showLegendKey val="0"/>
          <c:showVal val="0"/>
          <c:showCatName val="0"/>
          <c:showSerName val="0"/>
          <c:showPercent val="0"/>
          <c:showBubbleSize val="0"/>
        </c:dLbls>
        <c:smooth val="0"/>
        <c:axId val="1828932656"/>
        <c:axId val="1828929936"/>
      </c:lineChart>
      <c:dateAx>
        <c:axId val="1828932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9936"/>
        <c:crosses val="autoZero"/>
        <c:auto val="1"/>
        <c:lblOffset val="0"/>
        <c:baseTimeUnit val="months"/>
      </c:dateAx>
      <c:valAx>
        <c:axId val="1828929936"/>
        <c:scaling>
          <c:orientation val="minMax"/>
          <c:max val="15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2656"/>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6702970650144162"/>
          <c:h val="0.84243318318318317"/>
        </c:manualLayout>
      </c:layout>
      <c:lineChart>
        <c:grouping val="standard"/>
        <c:varyColors val="0"/>
        <c:ser>
          <c:idx val="0"/>
          <c:order val="0"/>
          <c:tx>
            <c:strRef>
              <c:f>'BoP_izvoz usluga'!$E$5</c:f>
              <c:strCache>
                <c:ptCount val="1"/>
                <c:pt idx="0">
                  <c:v>y</c:v>
                </c:pt>
              </c:strCache>
            </c:strRef>
          </c:tx>
          <c:spPr>
            <a:ln w="12700" cap="rnd">
              <a:solidFill>
                <a:srgbClr val="7F3F98"/>
              </a:solidFill>
              <a:prstDash val="sysDash"/>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usluga'!$E$102:$E$139</c:f>
              <c:numCache>
                <c:formatCode>#.#00</c:formatCode>
                <c:ptCount val="38"/>
                <c:pt idx="0">
                  <c:v>62.94710848491529</c:v>
                </c:pt>
                <c:pt idx="1">
                  <c:v>57.631676267636159</c:v>
                </c:pt>
                <c:pt idx="2">
                  <c:v>55.525520468275388</c:v>
                </c:pt>
                <c:pt idx="3">
                  <c:v>42.776863953534736</c:v>
                </c:pt>
                <c:pt idx="4">
                  <c:v>36.823065700527529</c:v>
                </c:pt>
                <c:pt idx="5">
                  <c:v>38.8512433061099</c:v>
                </c:pt>
                <c:pt idx="6">
                  <c:v>45.542908758139845</c:v>
                </c:pt>
                <c:pt idx="7">
                  <c:v>45.612230188552033</c:v>
                </c:pt>
                <c:pt idx="8">
                  <c:v>52.700315964471436</c:v>
                </c:pt>
                <c:pt idx="9">
                  <c:v>54.810184015376009</c:v>
                </c:pt>
                <c:pt idx="10">
                  <c:v>58.886408666308199</c:v>
                </c:pt>
                <c:pt idx="11">
                  <c:v>63.063547517437236</c:v>
                </c:pt>
                <c:pt idx="12">
                  <c:v>49.337671341955151</c:v>
                </c:pt>
                <c:pt idx="13">
                  <c:v>49.771883019109829</c:v>
                </c:pt>
                <c:pt idx="14">
                  <c:v>59.994351594601689</c:v>
                </c:pt>
                <c:pt idx="15">
                  <c:v>56.388917710036466</c:v>
                </c:pt>
                <c:pt idx="16">
                  <c:v>61.130413427562416</c:v>
                </c:pt>
                <c:pt idx="17">
                  <c:v>74.569793955840709</c:v>
                </c:pt>
                <c:pt idx="18">
                  <c:v>71.257496950196725</c:v>
                </c:pt>
                <c:pt idx="19">
                  <c:v>69.864497762985152</c:v>
                </c:pt>
                <c:pt idx="20">
                  <c:v>67.841193909590046</c:v>
                </c:pt>
                <c:pt idx="21">
                  <c:v>69.565103155023039</c:v>
                </c:pt>
                <c:pt idx="22">
                  <c:v>85.34620687249695</c:v>
                </c:pt>
                <c:pt idx="23">
                  <c:v>88.814074485943578</c:v>
                </c:pt>
                <c:pt idx="24">
                  <c:v>64.317973836833247</c:v>
                </c:pt>
                <c:pt idx="25">
                  <c:v>69.795121523616999</c:v>
                </c:pt>
                <c:pt idx="26">
                  <c:v>85.504474459479781</c:v>
                </c:pt>
                <c:pt idx="27">
                  <c:v>89.675589378046965</c:v>
                </c:pt>
                <c:pt idx="28">
                  <c:v>94.55837106291591</c:v>
                </c:pt>
                <c:pt idx="29">
                  <c:v>108.29231710801199</c:v>
                </c:pt>
                <c:pt idx="30">
                  <c:v>107.86328502986788</c:v>
                </c:pt>
                <c:pt idx="31">
                  <c:v>119.23827553241813</c:v>
                </c:pt>
                <c:pt idx="32">
                  <c:v>120.47165742304315</c:v>
                </c:pt>
                <c:pt idx="33">
                  <c:v>96.924436102676026</c:v>
                </c:pt>
                <c:pt idx="34">
                  <c:v>125.45903975245196</c:v>
                </c:pt>
                <c:pt idx="35">
                  <c:v>117.89945879063792</c:v>
                </c:pt>
                <c:pt idx="36">
                  <c:v>110.03312615164337</c:v>
                </c:pt>
                <c:pt idx="37">
                  <c:v>103.47699343761332</c:v>
                </c:pt>
              </c:numCache>
            </c:numRef>
          </c:val>
          <c:smooth val="0"/>
          <c:extLst>
            <c:ext xmlns:c16="http://schemas.microsoft.com/office/drawing/2014/chart" uri="{C3380CC4-5D6E-409C-BE32-E72D297353CC}">
              <c16:uniqueId val="{00000000-B094-4757-B298-FC826D8347B3}"/>
            </c:ext>
          </c:extLst>
        </c:ser>
        <c:ser>
          <c:idx val="1"/>
          <c:order val="1"/>
          <c:tx>
            <c:strRef>
              <c:f>'BoP_izvoz usluga'!$F$5</c:f>
              <c:strCache>
                <c:ptCount val="1"/>
                <c:pt idx="0">
                  <c:v>sa</c:v>
                </c:pt>
              </c:strCache>
            </c:strRef>
          </c:tx>
          <c:spPr>
            <a:ln w="22225" cap="rnd">
              <a:solidFill>
                <a:srgbClr val="25AAE1"/>
              </a:solidFill>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usluga'!$F$102:$F$139</c:f>
              <c:numCache>
                <c:formatCode>#.#00</c:formatCode>
                <c:ptCount val="38"/>
                <c:pt idx="0">
                  <c:v>72.509909190024842</c:v>
                </c:pt>
                <c:pt idx="1">
                  <c:v>61.576404689225413</c:v>
                </c:pt>
                <c:pt idx="2">
                  <c:v>59.517705507066182</c:v>
                </c:pt>
                <c:pt idx="3">
                  <c:v>44.549547490929903</c:v>
                </c:pt>
                <c:pt idx="4">
                  <c:v>38.451196530564062</c:v>
                </c:pt>
                <c:pt idx="5">
                  <c:v>38.168178549459896</c:v>
                </c:pt>
                <c:pt idx="6">
                  <c:v>40.590260849265128</c:v>
                </c:pt>
                <c:pt idx="7">
                  <c:v>44.855019812087654</c:v>
                </c:pt>
                <c:pt idx="8">
                  <c:v>48.606312651320884</c:v>
                </c:pt>
                <c:pt idx="9">
                  <c:v>52.081168745749963</c:v>
                </c:pt>
                <c:pt idx="10">
                  <c:v>56.55890302147845</c:v>
                </c:pt>
                <c:pt idx="11">
                  <c:v>55.94755872670784</c:v>
                </c:pt>
                <c:pt idx="12">
                  <c:v>58.238870989518567</c:v>
                </c:pt>
                <c:pt idx="13">
                  <c:v>59.598281799052927</c:v>
                </c:pt>
                <c:pt idx="14">
                  <c:v>62.64796852792449</c:v>
                </c:pt>
                <c:pt idx="15">
                  <c:v>59.257450799727934</c:v>
                </c:pt>
                <c:pt idx="16">
                  <c:v>62.846165254983987</c:v>
                </c:pt>
                <c:pt idx="17">
                  <c:v>71.94438817894293</c:v>
                </c:pt>
                <c:pt idx="18">
                  <c:v>66.741431116309556</c:v>
                </c:pt>
                <c:pt idx="19">
                  <c:v>65.06629075401915</c:v>
                </c:pt>
                <c:pt idx="20">
                  <c:v>63.648608332073714</c:v>
                </c:pt>
                <c:pt idx="21">
                  <c:v>68.428682032132897</c:v>
                </c:pt>
                <c:pt idx="22">
                  <c:v>76.767591312312362</c:v>
                </c:pt>
                <c:pt idx="23">
                  <c:v>79.574560258552282</c:v>
                </c:pt>
                <c:pt idx="24">
                  <c:v>75.206962361223404</c:v>
                </c:pt>
                <c:pt idx="25">
                  <c:v>84.43159043490104</c:v>
                </c:pt>
                <c:pt idx="26">
                  <c:v>88.200978007810846</c:v>
                </c:pt>
                <c:pt idx="27">
                  <c:v>95.452911256660684</c:v>
                </c:pt>
                <c:pt idx="28">
                  <c:v>96.966949000868311</c:v>
                </c:pt>
                <c:pt idx="29">
                  <c:v>105.51114339058937</c:v>
                </c:pt>
                <c:pt idx="30">
                  <c:v>103.58661607415834</c:v>
                </c:pt>
                <c:pt idx="31">
                  <c:v>108.21458753644023</c:v>
                </c:pt>
                <c:pt idx="32">
                  <c:v>111.5567024020623</c:v>
                </c:pt>
                <c:pt idx="33">
                  <c:v>99.106292264274742</c:v>
                </c:pt>
                <c:pt idx="34">
                  <c:v>112.63909685878258</c:v>
                </c:pt>
                <c:pt idx="35">
                  <c:v>111.14018039978637</c:v>
                </c:pt>
                <c:pt idx="36">
                  <c:v>120.25704685255252</c:v>
                </c:pt>
                <c:pt idx="37">
                  <c:v>122.76356606411086</c:v>
                </c:pt>
              </c:numCache>
            </c:numRef>
          </c:val>
          <c:smooth val="0"/>
          <c:extLst>
            <c:ext xmlns:c16="http://schemas.microsoft.com/office/drawing/2014/chart" uri="{C3380CC4-5D6E-409C-BE32-E72D297353CC}">
              <c16:uniqueId val="{00000001-B094-4757-B298-FC826D8347B3}"/>
            </c:ext>
          </c:extLst>
        </c:ser>
        <c:ser>
          <c:idx val="2"/>
          <c:order val="2"/>
          <c:tx>
            <c:strRef>
              <c:f>'BoP_izvoz usluga'!$G$5</c:f>
              <c:strCache>
                <c:ptCount val="1"/>
                <c:pt idx="0">
                  <c:v>t</c:v>
                </c:pt>
              </c:strCache>
            </c:strRef>
          </c:tx>
          <c:spPr>
            <a:ln w="25400" cap="rnd">
              <a:solidFill>
                <a:srgbClr val="FF0000"/>
              </a:solidFill>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usluga'!$G$102:$G$139</c:f>
              <c:numCache>
                <c:formatCode>#.#00</c:formatCode>
                <c:ptCount val="38"/>
                <c:pt idx="0">
                  <c:v>62.860683707209105</c:v>
                </c:pt>
                <c:pt idx="1">
                  <c:v>61.234183521604628</c:v>
                </c:pt>
                <c:pt idx="2">
                  <c:v>59.690527557335635</c:v>
                </c:pt>
                <c:pt idx="3">
                  <c:v>39.258872129454708</c:v>
                </c:pt>
                <c:pt idx="4">
                  <c:v>39.106298078057947</c:v>
                </c:pt>
                <c:pt idx="5">
                  <c:v>39.938513788511472</c:v>
                </c:pt>
                <c:pt idx="6">
                  <c:v>41.926865993625171</c:v>
                </c:pt>
                <c:pt idx="7">
                  <c:v>44.843848721463623</c:v>
                </c:pt>
                <c:pt idx="8">
                  <c:v>48.215650052892641</c:v>
                </c:pt>
                <c:pt idx="9">
                  <c:v>51.6085516321982</c:v>
                </c:pt>
                <c:pt idx="10">
                  <c:v>54.589517607978479</c:v>
                </c:pt>
                <c:pt idx="11">
                  <c:v>56.889332278447931</c:v>
                </c:pt>
                <c:pt idx="12">
                  <c:v>58.542737560874464</c:v>
                </c:pt>
                <c:pt idx="13">
                  <c:v>59.828628598429837</c:v>
                </c:pt>
                <c:pt idx="14">
                  <c:v>60.999372292810015</c:v>
                </c:pt>
                <c:pt idx="15">
                  <c:v>62.128167009090895</c:v>
                </c:pt>
                <c:pt idx="16">
                  <c:v>63.0760743625695</c:v>
                </c:pt>
                <c:pt idx="17">
                  <c:v>63.855863419890042</c:v>
                </c:pt>
                <c:pt idx="18">
                  <c:v>64.788123093845442</c:v>
                </c:pt>
                <c:pt idx="19">
                  <c:v>66.19046452194236</c:v>
                </c:pt>
                <c:pt idx="20">
                  <c:v>68.183950874028355</c:v>
                </c:pt>
                <c:pt idx="21">
                  <c:v>70.70205991996832</c:v>
                </c:pt>
                <c:pt idx="22">
                  <c:v>73.727824012870599</c:v>
                </c:pt>
                <c:pt idx="23">
                  <c:v>77.170640455139633</c:v>
                </c:pt>
                <c:pt idx="24">
                  <c:v>80.988770362675027</c:v>
                </c:pt>
                <c:pt idx="25">
                  <c:v>85.079066740485047</c:v>
                </c:pt>
                <c:pt idx="26">
                  <c:v>89.341773248230581</c:v>
                </c:pt>
                <c:pt idx="27">
                  <c:v>93.812670167177188</c:v>
                </c:pt>
                <c:pt idx="28">
                  <c:v>98.27672795006076</c:v>
                </c:pt>
                <c:pt idx="29">
                  <c:v>102.39295084111785</c:v>
                </c:pt>
                <c:pt idx="30">
                  <c:v>105.57656029300398</c:v>
                </c:pt>
                <c:pt idx="31">
                  <c:v>107.78673225985912</c:v>
                </c:pt>
                <c:pt idx="32">
                  <c:v>109.42873878064896</c:v>
                </c:pt>
                <c:pt idx="33">
                  <c:v>110.9273321552435</c:v>
                </c:pt>
                <c:pt idx="34">
                  <c:v>112.75116593991866</c:v>
                </c:pt>
                <c:pt idx="35">
                  <c:v>115.16815306092096</c:v>
                </c:pt>
                <c:pt idx="36">
                  <c:v>118.31690243632147</c:v>
                </c:pt>
                <c:pt idx="37">
                  <c:v>121.99166842204605</c:v>
                </c:pt>
              </c:numCache>
            </c:numRef>
          </c:val>
          <c:smooth val="0"/>
          <c:extLst>
            <c:ext xmlns:c16="http://schemas.microsoft.com/office/drawing/2014/chart" uri="{C3380CC4-5D6E-409C-BE32-E72D297353CC}">
              <c16:uniqueId val="{00000002-B094-4757-B298-FC826D8347B3}"/>
            </c:ext>
          </c:extLst>
        </c:ser>
        <c:ser>
          <c:idx val="3"/>
          <c:order val="3"/>
          <c:tx>
            <c:strRef>
              <c:f>'BoP_izvoz usluga'!$H$5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1991903661894702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094-4757-B298-FC826D8347B3}"/>
                </c:ext>
              </c:extLst>
            </c:dLbl>
            <c:dLbl>
              <c:idx val="12"/>
              <c:layout>
                <c:manualLayout>
                  <c:x val="8.1979928983746675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094-4757-B298-FC826D8347B3}"/>
                </c:ext>
              </c:extLst>
            </c:dLbl>
            <c:dLbl>
              <c:idx val="24"/>
              <c:layout>
                <c:manualLayout>
                  <c:x val="7.5875095962055342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094-4757-B298-FC826D8347B3}"/>
                </c:ext>
              </c:extLst>
            </c:dLbl>
            <c:dLbl>
              <c:idx val="36"/>
              <c:layout>
                <c:manualLayout>
                  <c:x val="-2.4683433526672686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094-4757-B298-FC826D8347B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usluga'!$H$102:$H$139</c:f>
              <c:numCache>
                <c:formatCode>General</c:formatCode>
                <c:ptCount val="38"/>
                <c:pt idx="0">
                  <c:v>20</c:v>
                </c:pt>
                <c:pt idx="12">
                  <c:v>20</c:v>
                </c:pt>
                <c:pt idx="24">
                  <c:v>20</c:v>
                </c:pt>
                <c:pt idx="36">
                  <c:v>20</c:v>
                </c:pt>
              </c:numCache>
            </c:numRef>
          </c:val>
          <c:smooth val="0"/>
          <c:extLst>
            <c:ext xmlns:c16="http://schemas.microsoft.com/office/drawing/2014/chart" uri="{C3380CC4-5D6E-409C-BE32-E72D297353CC}">
              <c16:uniqueId val="{00000007-B094-4757-B298-FC826D8347B3}"/>
            </c:ext>
          </c:extLst>
        </c:ser>
        <c:ser>
          <c:idx val="4"/>
          <c:order val="4"/>
          <c:tx>
            <c:strRef>
              <c:f>'BoP_izvoz usluga'!$I$5</c:f>
              <c:strCache>
                <c:ptCount val="1"/>
                <c:pt idx="0">
                  <c:v>Series5</c:v>
                </c:pt>
              </c:strCache>
            </c:strRef>
          </c:tx>
          <c:spPr>
            <a:ln w="28575" cap="rnd">
              <a:noFill/>
              <a:round/>
            </a:ln>
            <a:effectLst/>
          </c:spPr>
          <c:marker>
            <c:symbol val="none"/>
          </c:marker>
          <c:dLbls>
            <c:dLbl>
              <c:idx val="0"/>
              <c:tx>
                <c:rich>
                  <a:bodyPr/>
                  <a:lstStyle/>
                  <a:p>
                    <a:fld id="{6D8EE177-A996-40D1-BD42-EEE4A77F6FB7}"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094-4757-B298-FC826D8347B3}"/>
                </c:ext>
              </c:extLst>
            </c:dLbl>
            <c:dLbl>
              <c:idx val="1"/>
              <c:tx>
                <c:rich>
                  <a:bodyPr/>
                  <a:lstStyle/>
                  <a:p>
                    <a:fld id="{C51083CB-1039-467F-BEDD-5E8912031A5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094-4757-B298-FC826D8347B3}"/>
                </c:ext>
              </c:extLst>
            </c:dLbl>
            <c:dLbl>
              <c:idx val="2"/>
              <c:tx>
                <c:rich>
                  <a:bodyPr/>
                  <a:lstStyle/>
                  <a:p>
                    <a:fld id="{7315BF42-41E0-477E-A1A5-A20C134C931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094-4757-B298-FC826D8347B3}"/>
                </c:ext>
              </c:extLst>
            </c:dLbl>
            <c:dLbl>
              <c:idx val="3"/>
              <c:tx>
                <c:rich>
                  <a:bodyPr/>
                  <a:lstStyle/>
                  <a:p>
                    <a:fld id="{E0BAED77-D825-40C2-AE44-646FB9BF6A7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094-4757-B298-FC826D8347B3}"/>
                </c:ext>
              </c:extLst>
            </c:dLbl>
            <c:dLbl>
              <c:idx val="4"/>
              <c:tx>
                <c:rich>
                  <a:bodyPr/>
                  <a:lstStyle/>
                  <a:p>
                    <a:fld id="{0A650721-59CE-4114-A2A5-A2209BE1E13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094-4757-B298-FC826D8347B3}"/>
                </c:ext>
              </c:extLst>
            </c:dLbl>
            <c:dLbl>
              <c:idx val="5"/>
              <c:tx>
                <c:rich>
                  <a:bodyPr/>
                  <a:lstStyle/>
                  <a:p>
                    <a:fld id="{1EAF95B3-BC6A-411C-B79C-C598E2BACF7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094-4757-B298-FC826D8347B3}"/>
                </c:ext>
              </c:extLst>
            </c:dLbl>
            <c:dLbl>
              <c:idx val="6"/>
              <c:tx>
                <c:rich>
                  <a:bodyPr/>
                  <a:lstStyle/>
                  <a:p>
                    <a:fld id="{2FB34F50-7C2D-41E2-AC2B-579C0276DFF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094-4757-B298-FC826D8347B3}"/>
                </c:ext>
              </c:extLst>
            </c:dLbl>
            <c:dLbl>
              <c:idx val="7"/>
              <c:tx>
                <c:rich>
                  <a:bodyPr/>
                  <a:lstStyle/>
                  <a:p>
                    <a:fld id="{E7CDD133-781A-4E08-8787-19596111443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094-4757-B298-FC826D8347B3}"/>
                </c:ext>
              </c:extLst>
            </c:dLbl>
            <c:dLbl>
              <c:idx val="8"/>
              <c:tx>
                <c:rich>
                  <a:bodyPr/>
                  <a:lstStyle/>
                  <a:p>
                    <a:fld id="{155E4F70-55B1-440E-A7BE-40CE48D475C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094-4757-B298-FC826D8347B3}"/>
                </c:ext>
              </c:extLst>
            </c:dLbl>
            <c:dLbl>
              <c:idx val="9"/>
              <c:tx>
                <c:rich>
                  <a:bodyPr/>
                  <a:lstStyle/>
                  <a:p>
                    <a:fld id="{CA83E4E2-9619-4FDA-B147-85860E1A8AE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094-4757-B298-FC826D8347B3}"/>
                </c:ext>
              </c:extLst>
            </c:dLbl>
            <c:dLbl>
              <c:idx val="10"/>
              <c:tx>
                <c:rich>
                  <a:bodyPr/>
                  <a:lstStyle/>
                  <a:p>
                    <a:fld id="{FC796365-7C2E-4F39-BB40-6E4FDCC30B3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094-4757-B298-FC826D8347B3}"/>
                </c:ext>
              </c:extLst>
            </c:dLbl>
            <c:dLbl>
              <c:idx val="11"/>
              <c:tx>
                <c:rich>
                  <a:bodyPr/>
                  <a:lstStyle/>
                  <a:p>
                    <a:fld id="{E89CAD3D-53DD-420C-BD8A-CFAF2E9C1B0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094-4757-B298-FC826D8347B3}"/>
                </c:ext>
              </c:extLst>
            </c:dLbl>
            <c:dLbl>
              <c:idx val="12"/>
              <c:tx>
                <c:rich>
                  <a:bodyPr/>
                  <a:lstStyle/>
                  <a:p>
                    <a:fld id="{6926CFA9-8F8E-4516-9099-F290021E884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094-4757-B298-FC826D8347B3}"/>
                </c:ext>
              </c:extLst>
            </c:dLbl>
            <c:dLbl>
              <c:idx val="13"/>
              <c:tx>
                <c:rich>
                  <a:bodyPr/>
                  <a:lstStyle/>
                  <a:p>
                    <a:fld id="{3BAA5F32-FCF5-4199-ACB4-C1D5D98B407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094-4757-B298-FC826D8347B3}"/>
                </c:ext>
              </c:extLst>
            </c:dLbl>
            <c:dLbl>
              <c:idx val="14"/>
              <c:tx>
                <c:rich>
                  <a:bodyPr/>
                  <a:lstStyle/>
                  <a:p>
                    <a:fld id="{A190083E-EE1E-4C2A-A1CD-70A6A142FCD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094-4757-B298-FC826D8347B3}"/>
                </c:ext>
              </c:extLst>
            </c:dLbl>
            <c:dLbl>
              <c:idx val="15"/>
              <c:tx>
                <c:rich>
                  <a:bodyPr/>
                  <a:lstStyle/>
                  <a:p>
                    <a:fld id="{CE732C96-7B02-49F1-B5EE-FEE2327ED15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094-4757-B298-FC826D8347B3}"/>
                </c:ext>
              </c:extLst>
            </c:dLbl>
            <c:dLbl>
              <c:idx val="16"/>
              <c:tx>
                <c:rich>
                  <a:bodyPr/>
                  <a:lstStyle/>
                  <a:p>
                    <a:fld id="{16B61665-DAF2-459A-BFE5-12A26AE488D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094-4757-B298-FC826D8347B3}"/>
                </c:ext>
              </c:extLst>
            </c:dLbl>
            <c:dLbl>
              <c:idx val="17"/>
              <c:tx>
                <c:rich>
                  <a:bodyPr/>
                  <a:lstStyle/>
                  <a:p>
                    <a:fld id="{31C47BC3-D4F4-4D7C-B763-4E520765C49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094-4757-B298-FC826D8347B3}"/>
                </c:ext>
              </c:extLst>
            </c:dLbl>
            <c:dLbl>
              <c:idx val="18"/>
              <c:tx>
                <c:rich>
                  <a:bodyPr/>
                  <a:lstStyle/>
                  <a:p>
                    <a:fld id="{DFA9F3CD-58DA-44B8-8E4B-4F66FBBAA10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094-4757-B298-FC826D8347B3}"/>
                </c:ext>
              </c:extLst>
            </c:dLbl>
            <c:dLbl>
              <c:idx val="19"/>
              <c:tx>
                <c:rich>
                  <a:bodyPr/>
                  <a:lstStyle/>
                  <a:p>
                    <a:fld id="{377C77C9-519B-44F1-8291-F47D5EFDC81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094-4757-B298-FC826D8347B3}"/>
                </c:ext>
              </c:extLst>
            </c:dLbl>
            <c:dLbl>
              <c:idx val="20"/>
              <c:tx>
                <c:rich>
                  <a:bodyPr/>
                  <a:lstStyle/>
                  <a:p>
                    <a:fld id="{F52CEAA5-1258-4AF0-8962-0BF75FA4CB1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094-4757-B298-FC826D8347B3}"/>
                </c:ext>
              </c:extLst>
            </c:dLbl>
            <c:dLbl>
              <c:idx val="21"/>
              <c:tx>
                <c:rich>
                  <a:bodyPr/>
                  <a:lstStyle/>
                  <a:p>
                    <a:fld id="{4394FC3F-2868-4AC1-92C5-FE897ED418B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094-4757-B298-FC826D8347B3}"/>
                </c:ext>
              </c:extLst>
            </c:dLbl>
            <c:dLbl>
              <c:idx val="22"/>
              <c:tx>
                <c:rich>
                  <a:bodyPr/>
                  <a:lstStyle/>
                  <a:p>
                    <a:fld id="{993291B2-26DB-472B-A038-C8E33D1B2D2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094-4757-B298-FC826D8347B3}"/>
                </c:ext>
              </c:extLst>
            </c:dLbl>
            <c:dLbl>
              <c:idx val="23"/>
              <c:tx>
                <c:rich>
                  <a:bodyPr/>
                  <a:lstStyle/>
                  <a:p>
                    <a:fld id="{4CE7EE8F-31CC-47EF-A8DA-5B1A83D6429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094-4757-B298-FC826D8347B3}"/>
                </c:ext>
              </c:extLst>
            </c:dLbl>
            <c:dLbl>
              <c:idx val="24"/>
              <c:tx>
                <c:rich>
                  <a:bodyPr/>
                  <a:lstStyle/>
                  <a:p>
                    <a:fld id="{3E9AE4A6-B085-4FC5-9349-721B36B4AFA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094-4757-B298-FC826D8347B3}"/>
                </c:ext>
              </c:extLst>
            </c:dLbl>
            <c:dLbl>
              <c:idx val="25"/>
              <c:tx>
                <c:rich>
                  <a:bodyPr/>
                  <a:lstStyle/>
                  <a:p>
                    <a:fld id="{07C72F55-9AAB-4174-A33C-FF1AB4C6BDC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094-4757-B298-FC826D8347B3}"/>
                </c:ext>
              </c:extLst>
            </c:dLbl>
            <c:dLbl>
              <c:idx val="26"/>
              <c:tx>
                <c:rich>
                  <a:bodyPr/>
                  <a:lstStyle/>
                  <a:p>
                    <a:fld id="{0A73225A-B6C2-4EDB-AB27-ADF5CBB5676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094-4757-B298-FC826D8347B3}"/>
                </c:ext>
              </c:extLst>
            </c:dLbl>
            <c:dLbl>
              <c:idx val="27"/>
              <c:tx>
                <c:rich>
                  <a:bodyPr/>
                  <a:lstStyle/>
                  <a:p>
                    <a:fld id="{6753ED21-14F6-493F-AD0C-A51FF0191BF1}"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094-4757-B298-FC826D8347B3}"/>
                </c:ext>
              </c:extLst>
            </c:dLbl>
            <c:dLbl>
              <c:idx val="28"/>
              <c:tx>
                <c:rich>
                  <a:bodyPr/>
                  <a:lstStyle/>
                  <a:p>
                    <a:fld id="{6427AA4B-4D2A-45B8-9765-7A0DDE02E38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094-4757-B298-FC826D8347B3}"/>
                </c:ext>
              </c:extLst>
            </c:dLbl>
            <c:dLbl>
              <c:idx val="29"/>
              <c:tx>
                <c:rich>
                  <a:bodyPr/>
                  <a:lstStyle/>
                  <a:p>
                    <a:fld id="{64514EEF-7E26-4114-BAE6-C62F51CCACC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094-4757-B298-FC826D8347B3}"/>
                </c:ext>
              </c:extLst>
            </c:dLbl>
            <c:dLbl>
              <c:idx val="30"/>
              <c:tx>
                <c:rich>
                  <a:bodyPr/>
                  <a:lstStyle/>
                  <a:p>
                    <a:fld id="{3297B0E7-E23A-48F7-AAB8-AFBF1120E72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094-4757-B298-FC826D8347B3}"/>
                </c:ext>
              </c:extLst>
            </c:dLbl>
            <c:dLbl>
              <c:idx val="31"/>
              <c:tx>
                <c:rich>
                  <a:bodyPr/>
                  <a:lstStyle/>
                  <a:p>
                    <a:fld id="{56C8C8F1-4DE3-4FB0-B2CE-DAA17097FB0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094-4757-B298-FC826D8347B3}"/>
                </c:ext>
              </c:extLst>
            </c:dLbl>
            <c:dLbl>
              <c:idx val="32"/>
              <c:tx>
                <c:rich>
                  <a:bodyPr/>
                  <a:lstStyle/>
                  <a:p>
                    <a:fld id="{DD4A5371-A2E5-4F87-BA47-93F3D825BC3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094-4757-B298-FC826D8347B3}"/>
                </c:ext>
              </c:extLst>
            </c:dLbl>
            <c:dLbl>
              <c:idx val="33"/>
              <c:tx>
                <c:rich>
                  <a:bodyPr/>
                  <a:lstStyle/>
                  <a:p>
                    <a:fld id="{80D2A021-B6D9-4CBF-8A8A-9145DF21556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094-4757-B298-FC826D8347B3}"/>
                </c:ext>
              </c:extLst>
            </c:dLbl>
            <c:dLbl>
              <c:idx val="34"/>
              <c:tx>
                <c:rich>
                  <a:bodyPr/>
                  <a:lstStyle/>
                  <a:p>
                    <a:fld id="{6942DD84-AF4D-4916-957D-2D923A6817E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094-4757-B298-FC826D8347B3}"/>
                </c:ext>
              </c:extLst>
            </c:dLbl>
            <c:dLbl>
              <c:idx val="35"/>
              <c:tx>
                <c:rich>
                  <a:bodyPr/>
                  <a:lstStyle/>
                  <a:p>
                    <a:fld id="{5F5FB3D8-1721-4497-8479-A84CDC4B3EF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094-4757-B298-FC826D8347B3}"/>
                </c:ext>
              </c:extLst>
            </c:dLbl>
            <c:dLbl>
              <c:idx val="36"/>
              <c:tx>
                <c:rich>
                  <a:bodyPr/>
                  <a:lstStyle/>
                  <a:p>
                    <a:fld id="{42B50808-CA95-4788-B883-46437B3D688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094-4757-B298-FC826D8347B3}"/>
                </c:ext>
              </c:extLst>
            </c:dLbl>
            <c:dLbl>
              <c:idx val="37"/>
              <c:tx>
                <c:rich>
                  <a:bodyPr/>
                  <a:lstStyle/>
                  <a:p>
                    <a:fld id="{F6312634-F92F-4470-A0C0-7F7375D01E2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B094-4757-B298-FC826D8347B3}"/>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usluga'!$I$102:$I$139</c:f>
              <c:numCache>
                <c:formatCode>General</c:formatCode>
                <c:ptCount val="38"/>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numCache>
            </c:numRef>
          </c:val>
          <c:smooth val="0"/>
          <c:extLst>
            <c:ext xmlns:c15="http://schemas.microsoft.com/office/drawing/2012/chart" uri="{02D57815-91ED-43cb-92C2-25804820EDAC}">
              <c15:datalabelsRange>
                <c15:f>'BoP_izvoz usluga'!$J$90:$J$139</c15:f>
                <c15:dlblRangeCache>
                  <c:ptCount val="5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15:dlblRangeCache>
              </c15:datalabelsRange>
            </c:ext>
            <c:ext xmlns:c16="http://schemas.microsoft.com/office/drawing/2014/chart" uri="{C3380CC4-5D6E-409C-BE32-E72D297353CC}">
              <c16:uniqueId val="{0000002E-B094-4757-B298-FC826D8347B3}"/>
            </c:ext>
          </c:extLst>
        </c:ser>
        <c:dLbls>
          <c:showLegendKey val="0"/>
          <c:showVal val="0"/>
          <c:showCatName val="0"/>
          <c:showSerName val="0"/>
          <c:showPercent val="0"/>
          <c:showBubbleSize val="0"/>
        </c:dLbls>
        <c:smooth val="0"/>
        <c:axId val="1828933200"/>
        <c:axId val="1828928304"/>
      </c:lineChart>
      <c:dateAx>
        <c:axId val="18289332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8304"/>
        <c:crosses val="autoZero"/>
        <c:auto val="1"/>
        <c:lblOffset val="0"/>
        <c:baseTimeUnit val="months"/>
      </c:dateAx>
      <c:valAx>
        <c:axId val="1828928304"/>
        <c:scaling>
          <c:orientation val="minMax"/>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3200"/>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6259167550669125"/>
          <c:h val="0.84243318318318317"/>
        </c:manualLayout>
      </c:layout>
      <c:lineChart>
        <c:grouping val="standard"/>
        <c:varyColors val="0"/>
        <c:ser>
          <c:idx val="0"/>
          <c:order val="0"/>
          <c:tx>
            <c:strRef>
              <c:f>'BoP_izvoz usluga'!$L$5</c:f>
              <c:strCache>
                <c:ptCount val="1"/>
                <c:pt idx="0">
                  <c:v>y</c:v>
                </c:pt>
              </c:strCache>
            </c:strRef>
          </c:tx>
          <c:spPr>
            <a:ln w="12700" cap="rnd">
              <a:solidFill>
                <a:srgbClr val="7F3F98"/>
              </a:solidFill>
              <a:prstDash val="sysDash"/>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usluga'!$L$102:$L$139</c:f>
              <c:numCache>
                <c:formatCode>#.#00</c:formatCode>
                <c:ptCount val="38"/>
                <c:pt idx="0">
                  <c:v>55.409352392999999</c:v>
                </c:pt>
                <c:pt idx="1">
                  <c:v>39.300972512000001</c:v>
                </c:pt>
                <c:pt idx="2">
                  <c:v>36.643111918000002</c:v>
                </c:pt>
                <c:pt idx="3">
                  <c:v>20.321802035000001</c:v>
                </c:pt>
                <c:pt idx="4">
                  <c:v>30.822995639999998</c:v>
                </c:pt>
                <c:pt idx="5">
                  <c:v>39.884635109000001</c:v>
                </c:pt>
                <c:pt idx="6">
                  <c:v>55.089404703</c:v>
                </c:pt>
                <c:pt idx="7">
                  <c:v>44.625374639</c:v>
                </c:pt>
                <c:pt idx="8">
                  <c:v>42.252087914000001</c:v>
                </c:pt>
                <c:pt idx="9">
                  <c:v>48.133586418999997</c:v>
                </c:pt>
                <c:pt idx="10">
                  <c:v>49.317260482999998</c:v>
                </c:pt>
                <c:pt idx="11">
                  <c:v>61.054048194000003</c:v>
                </c:pt>
                <c:pt idx="12">
                  <c:v>46.903676062999999</c:v>
                </c:pt>
                <c:pt idx="13">
                  <c:v>40.656113022</c:v>
                </c:pt>
                <c:pt idx="14">
                  <c:v>46.550979574000003</c:v>
                </c:pt>
                <c:pt idx="15">
                  <c:v>43.969536239</c:v>
                </c:pt>
                <c:pt idx="16">
                  <c:v>57.800519948000002</c:v>
                </c:pt>
                <c:pt idx="17">
                  <c:v>60.059775451999997</c:v>
                </c:pt>
                <c:pt idx="18">
                  <c:v>92.930454206999997</c:v>
                </c:pt>
                <c:pt idx="19">
                  <c:v>95.436405893</c:v>
                </c:pt>
                <c:pt idx="20">
                  <c:v>70.137755115000004</c:v>
                </c:pt>
                <c:pt idx="21">
                  <c:v>62.077448887000003</c:v>
                </c:pt>
                <c:pt idx="22">
                  <c:v>66.378299646000002</c:v>
                </c:pt>
                <c:pt idx="23">
                  <c:v>86.655464347000006</c:v>
                </c:pt>
                <c:pt idx="24">
                  <c:v>60.288957410000002</c:v>
                </c:pt>
                <c:pt idx="25">
                  <c:v>46.530878800000004</c:v>
                </c:pt>
                <c:pt idx="26">
                  <c:v>85.671393097999996</c:v>
                </c:pt>
                <c:pt idx="27">
                  <c:v>65.741923233999998</c:v>
                </c:pt>
                <c:pt idx="28">
                  <c:v>92.017685514999997</c:v>
                </c:pt>
                <c:pt idx="29">
                  <c:v>94.249806536999998</c:v>
                </c:pt>
                <c:pt idx="30">
                  <c:v>149.228625588</c:v>
                </c:pt>
                <c:pt idx="31">
                  <c:v>141.685347898</c:v>
                </c:pt>
                <c:pt idx="32">
                  <c:v>105.008001318</c:v>
                </c:pt>
                <c:pt idx="33">
                  <c:v>132.145813938</c:v>
                </c:pt>
                <c:pt idx="34">
                  <c:v>102.947059194</c:v>
                </c:pt>
                <c:pt idx="35">
                  <c:v>124.48450747</c:v>
                </c:pt>
                <c:pt idx="36">
                  <c:v>88.649337071000005</c:v>
                </c:pt>
                <c:pt idx="37">
                  <c:v>81.075347739999998</c:v>
                </c:pt>
              </c:numCache>
            </c:numRef>
          </c:val>
          <c:smooth val="0"/>
          <c:extLst>
            <c:ext xmlns:c16="http://schemas.microsoft.com/office/drawing/2014/chart" uri="{C3380CC4-5D6E-409C-BE32-E72D297353CC}">
              <c16:uniqueId val="{00000000-A088-4C65-9064-D1DA0A84FDF3}"/>
            </c:ext>
          </c:extLst>
        </c:ser>
        <c:ser>
          <c:idx val="1"/>
          <c:order val="1"/>
          <c:tx>
            <c:strRef>
              <c:f>'BoP_izvoz usluga'!$M$5</c:f>
              <c:strCache>
                <c:ptCount val="1"/>
                <c:pt idx="0">
                  <c:v>sa</c:v>
                </c:pt>
              </c:strCache>
            </c:strRef>
          </c:tx>
          <c:spPr>
            <a:ln w="22225" cap="rnd">
              <a:solidFill>
                <a:srgbClr val="25AAE1"/>
              </a:solidFill>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usluga'!$M$102:$M$139</c:f>
              <c:numCache>
                <c:formatCode>#.#00</c:formatCode>
                <c:ptCount val="38"/>
                <c:pt idx="0">
                  <c:v>60.878174141999999</c:v>
                </c:pt>
                <c:pt idx="1">
                  <c:v>57.578773787000003</c:v>
                </c:pt>
                <c:pt idx="2">
                  <c:v>49.008590808999998</c:v>
                </c:pt>
                <c:pt idx="3">
                  <c:v>24.236583425999999</c:v>
                </c:pt>
                <c:pt idx="4">
                  <c:v>35.644669895</c:v>
                </c:pt>
                <c:pt idx="5">
                  <c:v>41.955731190000002</c:v>
                </c:pt>
                <c:pt idx="6">
                  <c:v>38.633914314999998</c:v>
                </c:pt>
                <c:pt idx="7">
                  <c:v>30.914711060999998</c:v>
                </c:pt>
                <c:pt idx="8">
                  <c:v>41.353249286</c:v>
                </c:pt>
                <c:pt idx="9">
                  <c:v>49.215802095999997</c:v>
                </c:pt>
                <c:pt idx="10">
                  <c:v>50.663181280000003</c:v>
                </c:pt>
                <c:pt idx="11">
                  <c:v>49.651193093000003</c:v>
                </c:pt>
                <c:pt idx="12">
                  <c:v>56.262446181999998</c:v>
                </c:pt>
                <c:pt idx="13">
                  <c:v>60.229146649999997</c:v>
                </c:pt>
                <c:pt idx="14">
                  <c:v>59.689533130999997</c:v>
                </c:pt>
                <c:pt idx="15">
                  <c:v>54.797130394</c:v>
                </c:pt>
                <c:pt idx="16">
                  <c:v>63.364049543</c:v>
                </c:pt>
                <c:pt idx="17">
                  <c:v>63.542380276999999</c:v>
                </c:pt>
                <c:pt idx="18">
                  <c:v>67.331780718000005</c:v>
                </c:pt>
                <c:pt idx="19">
                  <c:v>64.739816224999998</c:v>
                </c:pt>
                <c:pt idx="20">
                  <c:v>67.750078415000004</c:v>
                </c:pt>
                <c:pt idx="21">
                  <c:v>66.984509204000005</c:v>
                </c:pt>
                <c:pt idx="22">
                  <c:v>66.321788595000001</c:v>
                </c:pt>
                <c:pt idx="23">
                  <c:v>72.314020040000003</c:v>
                </c:pt>
                <c:pt idx="24">
                  <c:v>69.580846532999999</c:v>
                </c:pt>
                <c:pt idx="25">
                  <c:v>68.049558899999994</c:v>
                </c:pt>
                <c:pt idx="26">
                  <c:v>110.145662595</c:v>
                </c:pt>
                <c:pt idx="27">
                  <c:v>85.847912887000007</c:v>
                </c:pt>
                <c:pt idx="28">
                  <c:v>97.709467133999993</c:v>
                </c:pt>
                <c:pt idx="29">
                  <c:v>97.566134626999997</c:v>
                </c:pt>
                <c:pt idx="30">
                  <c:v>112.65063707500001</c:v>
                </c:pt>
                <c:pt idx="31">
                  <c:v>92.526991655000003</c:v>
                </c:pt>
                <c:pt idx="32">
                  <c:v>105.069668377</c:v>
                </c:pt>
                <c:pt idx="33">
                  <c:v>136.706464861</c:v>
                </c:pt>
                <c:pt idx="34">
                  <c:v>104.480590397</c:v>
                </c:pt>
                <c:pt idx="35">
                  <c:v>107.797353454</c:v>
                </c:pt>
                <c:pt idx="36">
                  <c:v>100.58328040000001</c:v>
                </c:pt>
                <c:pt idx="37">
                  <c:v>118.16331319</c:v>
                </c:pt>
              </c:numCache>
            </c:numRef>
          </c:val>
          <c:smooth val="0"/>
          <c:extLst>
            <c:ext xmlns:c16="http://schemas.microsoft.com/office/drawing/2014/chart" uri="{C3380CC4-5D6E-409C-BE32-E72D297353CC}">
              <c16:uniqueId val="{00000001-A088-4C65-9064-D1DA0A84FDF3}"/>
            </c:ext>
          </c:extLst>
        </c:ser>
        <c:ser>
          <c:idx val="2"/>
          <c:order val="2"/>
          <c:tx>
            <c:strRef>
              <c:f>'BoP_izvoz usluga'!$N$5</c:f>
              <c:strCache>
                <c:ptCount val="1"/>
                <c:pt idx="0">
                  <c:v>t</c:v>
                </c:pt>
              </c:strCache>
            </c:strRef>
          </c:tx>
          <c:spPr>
            <a:ln w="25400" cap="rnd">
              <a:solidFill>
                <a:srgbClr val="FF0000"/>
              </a:solidFill>
              <a:round/>
            </a:ln>
            <a:effectLst/>
          </c:spPr>
          <c:marker>
            <c:symbol val="none"/>
          </c:marker>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usluga'!$N$102:$N$139</c:f>
              <c:numCache>
                <c:formatCode>#.#00</c:formatCode>
                <c:ptCount val="38"/>
                <c:pt idx="0">
                  <c:v>58.261457718999999</c:v>
                </c:pt>
                <c:pt idx="1">
                  <c:v>55.175795700999998</c:v>
                </c:pt>
                <c:pt idx="2">
                  <c:v>51.234317705999999</c:v>
                </c:pt>
                <c:pt idx="3">
                  <c:v>47.055492409999999</c:v>
                </c:pt>
                <c:pt idx="4">
                  <c:v>43.520788113999998</c:v>
                </c:pt>
                <c:pt idx="5">
                  <c:v>41.455805365000003</c:v>
                </c:pt>
                <c:pt idx="6">
                  <c:v>40.959230806999997</c:v>
                </c:pt>
                <c:pt idx="7">
                  <c:v>41.814054480000003</c:v>
                </c:pt>
                <c:pt idx="8">
                  <c:v>43.716307313999998</c:v>
                </c:pt>
                <c:pt idx="9">
                  <c:v>46.364196925999998</c:v>
                </c:pt>
                <c:pt idx="10">
                  <c:v>49.451003917000001</c:v>
                </c:pt>
                <c:pt idx="11">
                  <c:v>52.594610813999999</c:v>
                </c:pt>
                <c:pt idx="12">
                  <c:v>55.444769557999997</c:v>
                </c:pt>
                <c:pt idx="13">
                  <c:v>57.936228858</c:v>
                </c:pt>
                <c:pt idx="14">
                  <c:v>60.064531559000002</c:v>
                </c:pt>
                <c:pt idx="15">
                  <c:v>61.833084026000002</c:v>
                </c:pt>
                <c:pt idx="16">
                  <c:v>63.341003913000002</c:v>
                </c:pt>
                <c:pt idx="17">
                  <c:v>64.416049508</c:v>
                </c:pt>
                <c:pt idx="18">
                  <c:v>65.266366798000007</c:v>
                </c:pt>
                <c:pt idx="19">
                  <c:v>66.003654514000004</c:v>
                </c:pt>
                <c:pt idx="20">
                  <c:v>66.524678922000007</c:v>
                </c:pt>
                <c:pt idx="21">
                  <c:v>67.059921532000004</c:v>
                </c:pt>
                <c:pt idx="22">
                  <c:v>67.920614947000004</c:v>
                </c:pt>
                <c:pt idx="23">
                  <c:v>69.617854440000002</c:v>
                </c:pt>
                <c:pt idx="24">
                  <c:v>72.564092247999994</c:v>
                </c:pt>
                <c:pt idx="25">
                  <c:v>76.865150456999999</c:v>
                </c:pt>
                <c:pt idx="26">
                  <c:v>82.087820893</c:v>
                </c:pt>
                <c:pt idx="27">
                  <c:v>87.734307857000005</c:v>
                </c:pt>
                <c:pt idx="28">
                  <c:v>92.991365955000006</c:v>
                </c:pt>
                <c:pt idx="29">
                  <c:v>97.203180394</c:v>
                </c:pt>
                <c:pt idx="30">
                  <c:v>100.02294691199999</c:v>
                </c:pt>
                <c:pt idx="31">
                  <c:v>101.548657228</c:v>
                </c:pt>
                <c:pt idx="32">
                  <c:v>102.605215702</c:v>
                </c:pt>
                <c:pt idx="33">
                  <c:v>103.86941245</c:v>
                </c:pt>
                <c:pt idx="34">
                  <c:v>105.945930897</c:v>
                </c:pt>
                <c:pt idx="35">
                  <c:v>108.865798762</c:v>
                </c:pt>
                <c:pt idx="36">
                  <c:v>112.149389441</c:v>
                </c:pt>
                <c:pt idx="37">
                  <c:v>115.51829416</c:v>
                </c:pt>
              </c:numCache>
            </c:numRef>
          </c:val>
          <c:smooth val="0"/>
          <c:extLst>
            <c:ext xmlns:c16="http://schemas.microsoft.com/office/drawing/2014/chart" uri="{C3380CC4-5D6E-409C-BE32-E72D297353CC}">
              <c16:uniqueId val="{00000002-A088-4C65-9064-D1DA0A84FDF3}"/>
            </c:ext>
          </c:extLst>
        </c:ser>
        <c:ser>
          <c:idx val="3"/>
          <c:order val="3"/>
          <c:tx>
            <c:strRef>
              <c:f>'BoP_izvoz usluga'!$O$5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8.0903074424964166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088-4C65-9064-D1DA0A84FDF3}"/>
                </c:ext>
              </c:extLst>
            </c:dLbl>
            <c:dLbl>
              <c:idx val="12"/>
              <c:layout>
                <c:manualLayout>
                  <c:x val="7.7890862332791994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088-4C65-9064-D1DA0A84FDF3}"/>
                </c:ext>
              </c:extLst>
            </c:dLbl>
            <c:dLbl>
              <c:idx val="24"/>
              <c:layout>
                <c:manualLayout>
                  <c:x val="8.0373831775700941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088-4C65-9064-D1DA0A84FDF3}"/>
                </c:ext>
              </c:extLst>
            </c:dLbl>
            <c:dLbl>
              <c:idx val="36"/>
              <c:layout>
                <c:manualLayout>
                  <c:x val="-2.7693912669764023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088-4C65-9064-D1DA0A84FDF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usluga'!$O$102:$O$139</c:f>
              <c:numCache>
                <c:formatCode>General</c:formatCode>
                <c:ptCount val="38"/>
                <c:pt idx="0">
                  <c:v>0</c:v>
                </c:pt>
                <c:pt idx="12">
                  <c:v>0</c:v>
                </c:pt>
                <c:pt idx="24">
                  <c:v>0</c:v>
                </c:pt>
                <c:pt idx="36">
                  <c:v>0</c:v>
                </c:pt>
              </c:numCache>
            </c:numRef>
          </c:val>
          <c:smooth val="0"/>
          <c:extLst>
            <c:ext xmlns:c16="http://schemas.microsoft.com/office/drawing/2014/chart" uri="{C3380CC4-5D6E-409C-BE32-E72D297353CC}">
              <c16:uniqueId val="{00000007-A088-4C65-9064-D1DA0A84FDF3}"/>
            </c:ext>
          </c:extLst>
        </c:ser>
        <c:ser>
          <c:idx val="4"/>
          <c:order val="4"/>
          <c:tx>
            <c:strRef>
              <c:f>'BoP_izvoz usluga'!$P$5</c:f>
              <c:strCache>
                <c:ptCount val="1"/>
                <c:pt idx="0">
                  <c:v>Series5</c:v>
                </c:pt>
              </c:strCache>
            </c:strRef>
          </c:tx>
          <c:spPr>
            <a:ln w="28575" cap="rnd">
              <a:noFill/>
              <a:round/>
            </a:ln>
            <a:effectLst/>
          </c:spPr>
          <c:marker>
            <c:symbol val="none"/>
          </c:marker>
          <c:dLbls>
            <c:dLbl>
              <c:idx val="0"/>
              <c:tx>
                <c:rich>
                  <a:bodyPr/>
                  <a:lstStyle/>
                  <a:p>
                    <a:fld id="{20F103DB-D0DE-47B9-9BCA-440731D05D2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088-4C65-9064-D1DA0A84FDF3}"/>
                </c:ext>
              </c:extLst>
            </c:dLbl>
            <c:dLbl>
              <c:idx val="1"/>
              <c:tx>
                <c:rich>
                  <a:bodyPr/>
                  <a:lstStyle/>
                  <a:p>
                    <a:fld id="{60234594-D94C-4802-9F7E-AA003944849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A088-4C65-9064-D1DA0A84FDF3}"/>
                </c:ext>
              </c:extLst>
            </c:dLbl>
            <c:dLbl>
              <c:idx val="2"/>
              <c:tx>
                <c:rich>
                  <a:bodyPr/>
                  <a:lstStyle/>
                  <a:p>
                    <a:fld id="{08EDA0CA-62F4-45D4-B57A-573CE29F01D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A088-4C65-9064-D1DA0A84FDF3}"/>
                </c:ext>
              </c:extLst>
            </c:dLbl>
            <c:dLbl>
              <c:idx val="3"/>
              <c:tx>
                <c:rich>
                  <a:bodyPr/>
                  <a:lstStyle/>
                  <a:p>
                    <a:fld id="{2D9C2C9D-66C7-4E1E-BB25-AAC9E2657E8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088-4C65-9064-D1DA0A84FDF3}"/>
                </c:ext>
              </c:extLst>
            </c:dLbl>
            <c:dLbl>
              <c:idx val="4"/>
              <c:tx>
                <c:rich>
                  <a:bodyPr/>
                  <a:lstStyle/>
                  <a:p>
                    <a:fld id="{72CA07E1-EBC1-4C03-A4EE-143B7B3A0D1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A088-4C65-9064-D1DA0A84FDF3}"/>
                </c:ext>
              </c:extLst>
            </c:dLbl>
            <c:dLbl>
              <c:idx val="5"/>
              <c:tx>
                <c:rich>
                  <a:bodyPr/>
                  <a:lstStyle/>
                  <a:p>
                    <a:fld id="{AD56F9BB-D743-414E-8EB7-CAE97859188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A088-4C65-9064-D1DA0A84FDF3}"/>
                </c:ext>
              </c:extLst>
            </c:dLbl>
            <c:dLbl>
              <c:idx val="6"/>
              <c:tx>
                <c:rich>
                  <a:bodyPr/>
                  <a:lstStyle/>
                  <a:p>
                    <a:fld id="{82753D73-8CEB-4C7E-9C1C-7443D81125B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A088-4C65-9064-D1DA0A84FDF3}"/>
                </c:ext>
              </c:extLst>
            </c:dLbl>
            <c:dLbl>
              <c:idx val="7"/>
              <c:tx>
                <c:rich>
                  <a:bodyPr/>
                  <a:lstStyle/>
                  <a:p>
                    <a:fld id="{CBF374D7-CD9A-4810-BDE5-6D63AD15517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A088-4C65-9064-D1DA0A84FDF3}"/>
                </c:ext>
              </c:extLst>
            </c:dLbl>
            <c:dLbl>
              <c:idx val="8"/>
              <c:tx>
                <c:rich>
                  <a:bodyPr/>
                  <a:lstStyle/>
                  <a:p>
                    <a:fld id="{4A40E7A6-A85B-4151-AAC0-1D3B43B3843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A088-4C65-9064-D1DA0A84FDF3}"/>
                </c:ext>
              </c:extLst>
            </c:dLbl>
            <c:dLbl>
              <c:idx val="9"/>
              <c:tx>
                <c:rich>
                  <a:bodyPr/>
                  <a:lstStyle/>
                  <a:p>
                    <a:fld id="{0906787E-95A0-46D2-A85A-2628B0BFCC7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A088-4C65-9064-D1DA0A84FDF3}"/>
                </c:ext>
              </c:extLst>
            </c:dLbl>
            <c:dLbl>
              <c:idx val="10"/>
              <c:tx>
                <c:rich>
                  <a:bodyPr/>
                  <a:lstStyle/>
                  <a:p>
                    <a:fld id="{763C848C-41EE-4B76-9410-8B0DD7D69DF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A088-4C65-9064-D1DA0A84FDF3}"/>
                </c:ext>
              </c:extLst>
            </c:dLbl>
            <c:dLbl>
              <c:idx val="11"/>
              <c:tx>
                <c:rich>
                  <a:bodyPr/>
                  <a:lstStyle/>
                  <a:p>
                    <a:fld id="{EB2BA4FD-0F03-4727-8323-5A6BB51F367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A088-4C65-9064-D1DA0A84FDF3}"/>
                </c:ext>
              </c:extLst>
            </c:dLbl>
            <c:dLbl>
              <c:idx val="12"/>
              <c:tx>
                <c:rich>
                  <a:bodyPr/>
                  <a:lstStyle/>
                  <a:p>
                    <a:fld id="{C58BA9F8-A5CA-481D-A351-AD58C4D82A2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A088-4C65-9064-D1DA0A84FDF3}"/>
                </c:ext>
              </c:extLst>
            </c:dLbl>
            <c:dLbl>
              <c:idx val="13"/>
              <c:tx>
                <c:rich>
                  <a:bodyPr/>
                  <a:lstStyle/>
                  <a:p>
                    <a:fld id="{154231CF-2D2B-4AB1-A2B6-4AF46210E74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A088-4C65-9064-D1DA0A84FDF3}"/>
                </c:ext>
              </c:extLst>
            </c:dLbl>
            <c:dLbl>
              <c:idx val="14"/>
              <c:tx>
                <c:rich>
                  <a:bodyPr/>
                  <a:lstStyle/>
                  <a:p>
                    <a:fld id="{F88C1B03-6D2C-4238-802A-B7C817CDC7C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A088-4C65-9064-D1DA0A84FDF3}"/>
                </c:ext>
              </c:extLst>
            </c:dLbl>
            <c:dLbl>
              <c:idx val="15"/>
              <c:tx>
                <c:rich>
                  <a:bodyPr/>
                  <a:lstStyle/>
                  <a:p>
                    <a:fld id="{1FA99F29-B017-43E3-9EF8-F17F491077A3}"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A088-4C65-9064-D1DA0A84FDF3}"/>
                </c:ext>
              </c:extLst>
            </c:dLbl>
            <c:dLbl>
              <c:idx val="16"/>
              <c:tx>
                <c:rich>
                  <a:bodyPr/>
                  <a:lstStyle/>
                  <a:p>
                    <a:fld id="{5012D5C9-7D5E-4680-8B01-7C81D842A24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A088-4C65-9064-D1DA0A84FDF3}"/>
                </c:ext>
              </c:extLst>
            </c:dLbl>
            <c:dLbl>
              <c:idx val="17"/>
              <c:tx>
                <c:rich>
                  <a:bodyPr/>
                  <a:lstStyle/>
                  <a:p>
                    <a:fld id="{0FC82889-E2D3-481B-A79A-CAB14A11CDE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A088-4C65-9064-D1DA0A84FDF3}"/>
                </c:ext>
              </c:extLst>
            </c:dLbl>
            <c:dLbl>
              <c:idx val="18"/>
              <c:tx>
                <c:rich>
                  <a:bodyPr/>
                  <a:lstStyle/>
                  <a:p>
                    <a:fld id="{00685324-2F25-4E0A-B470-78DD9284A38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A088-4C65-9064-D1DA0A84FDF3}"/>
                </c:ext>
              </c:extLst>
            </c:dLbl>
            <c:dLbl>
              <c:idx val="19"/>
              <c:tx>
                <c:rich>
                  <a:bodyPr/>
                  <a:lstStyle/>
                  <a:p>
                    <a:fld id="{C3EE7109-6562-47FF-B257-1C3E512A795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A088-4C65-9064-D1DA0A84FDF3}"/>
                </c:ext>
              </c:extLst>
            </c:dLbl>
            <c:dLbl>
              <c:idx val="20"/>
              <c:tx>
                <c:rich>
                  <a:bodyPr/>
                  <a:lstStyle/>
                  <a:p>
                    <a:fld id="{556D78C9-5B66-4270-A281-59FBB493F46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A088-4C65-9064-D1DA0A84FDF3}"/>
                </c:ext>
              </c:extLst>
            </c:dLbl>
            <c:dLbl>
              <c:idx val="21"/>
              <c:tx>
                <c:rich>
                  <a:bodyPr/>
                  <a:lstStyle/>
                  <a:p>
                    <a:fld id="{6EB2B099-9C53-48D2-9C3E-85C61AAECAA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A088-4C65-9064-D1DA0A84FDF3}"/>
                </c:ext>
              </c:extLst>
            </c:dLbl>
            <c:dLbl>
              <c:idx val="22"/>
              <c:tx>
                <c:rich>
                  <a:bodyPr/>
                  <a:lstStyle/>
                  <a:p>
                    <a:fld id="{F59EB704-F948-4F8D-9ADD-A07F97F1B96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A088-4C65-9064-D1DA0A84FDF3}"/>
                </c:ext>
              </c:extLst>
            </c:dLbl>
            <c:dLbl>
              <c:idx val="23"/>
              <c:tx>
                <c:rich>
                  <a:bodyPr/>
                  <a:lstStyle/>
                  <a:p>
                    <a:fld id="{E20CF114-27C4-4BE8-87A9-CB589F0F53A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A088-4C65-9064-D1DA0A84FDF3}"/>
                </c:ext>
              </c:extLst>
            </c:dLbl>
            <c:dLbl>
              <c:idx val="24"/>
              <c:tx>
                <c:rich>
                  <a:bodyPr/>
                  <a:lstStyle/>
                  <a:p>
                    <a:fld id="{08A7C3E0-8DA1-4E99-A389-09C01B84A19D}"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A088-4C65-9064-D1DA0A84FDF3}"/>
                </c:ext>
              </c:extLst>
            </c:dLbl>
            <c:dLbl>
              <c:idx val="25"/>
              <c:tx>
                <c:rich>
                  <a:bodyPr/>
                  <a:lstStyle/>
                  <a:p>
                    <a:fld id="{E90E63A9-7C9A-4983-804B-27436E68E57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A088-4C65-9064-D1DA0A84FDF3}"/>
                </c:ext>
              </c:extLst>
            </c:dLbl>
            <c:dLbl>
              <c:idx val="26"/>
              <c:tx>
                <c:rich>
                  <a:bodyPr/>
                  <a:lstStyle/>
                  <a:p>
                    <a:fld id="{84D13418-449F-468F-BC4C-6CB0FB228FB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A088-4C65-9064-D1DA0A84FDF3}"/>
                </c:ext>
              </c:extLst>
            </c:dLbl>
            <c:dLbl>
              <c:idx val="27"/>
              <c:tx>
                <c:rich>
                  <a:bodyPr/>
                  <a:lstStyle/>
                  <a:p>
                    <a:fld id="{F1359F92-CC74-4B4A-91E1-9A7FD2AF95D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A088-4C65-9064-D1DA0A84FDF3}"/>
                </c:ext>
              </c:extLst>
            </c:dLbl>
            <c:dLbl>
              <c:idx val="28"/>
              <c:tx>
                <c:rich>
                  <a:bodyPr/>
                  <a:lstStyle/>
                  <a:p>
                    <a:fld id="{D4907BEC-87F8-42B3-A6F7-53B01100B2F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A088-4C65-9064-D1DA0A84FDF3}"/>
                </c:ext>
              </c:extLst>
            </c:dLbl>
            <c:dLbl>
              <c:idx val="29"/>
              <c:tx>
                <c:rich>
                  <a:bodyPr/>
                  <a:lstStyle/>
                  <a:p>
                    <a:fld id="{87A34C59-0010-4BB8-8469-D06676DB3DF8}"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A088-4C65-9064-D1DA0A84FDF3}"/>
                </c:ext>
              </c:extLst>
            </c:dLbl>
            <c:dLbl>
              <c:idx val="30"/>
              <c:tx>
                <c:rich>
                  <a:bodyPr/>
                  <a:lstStyle/>
                  <a:p>
                    <a:fld id="{C792A6D2-DFC1-4A75-83A7-545CB7DEC1C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A088-4C65-9064-D1DA0A84FDF3}"/>
                </c:ext>
              </c:extLst>
            </c:dLbl>
            <c:dLbl>
              <c:idx val="31"/>
              <c:tx>
                <c:rich>
                  <a:bodyPr/>
                  <a:lstStyle/>
                  <a:p>
                    <a:fld id="{0F224BF0-CE8A-4E33-BBC9-021FB8B5ABE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A088-4C65-9064-D1DA0A84FDF3}"/>
                </c:ext>
              </c:extLst>
            </c:dLbl>
            <c:dLbl>
              <c:idx val="32"/>
              <c:tx>
                <c:rich>
                  <a:bodyPr/>
                  <a:lstStyle/>
                  <a:p>
                    <a:fld id="{D26902A3-331B-4CD7-9FFD-384AEAFBF71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A088-4C65-9064-D1DA0A84FDF3}"/>
                </c:ext>
              </c:extLst>
            </c:dLbl>
            <c:dLbl>
              <c:idx val="33"/>
              <c:tx>
                <c:rich>
                  <a:bodyPr/>
                  <a:lstStyle/>
                  <a:p>
                    <a:fld id="{E4AF9EBA-41BD-4C53-BCC9-1D5EB820B76A}"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A088-4C65-9064-D1DA0A84FDF3}"/>
                </c:ext>
              </c:extLst>
            </c:dLbl>
            <c:dLbl>
              <c:idx val="34"/>
              <c:tx>
                <c:rich>
                  <a:bodyPr/>
                  <a:lstStyle/>
                  <a:p>
                    <a:fld id="{DA50B175-9CC2-433B-B3A6-9C6B526EED4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A088-4C65-9064-D1DA0A84FDF3}"/>
                </c:ext>
              </c:extLst>
            </c:dLbl>
            <c:dLbl>
              <c:idx val="35"/>
              <c:tx>
                <c:rich>
                  <a:bodyPr/>
                  <a:lstStyle/>
                  <a:p>
                    <a:fld id="{700973F0-9AEE-4BBB-BF21-472753098DA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A088-4C65-9064-D1DA0A84FDF3}"/>
                </c:ext>
              </c:extLst>
            </c:dLbl>
            <c:dLbl>
              <c:idx val="36"/>
              <c:tx>
                <c:rich>
                  <a:bodyPr/>
                  <a:lstStyle/>
                  <a:p>
                    <a:fld id="{416A513C-5575-49B5-8ABD-5C8D794A999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A088-4C65-9064-D1DA0A84FDF3}"/>
                </c:ext>
              </c:extLst>
            </c:dLbl>
            <c:dLbl>
              <c:idx val="37"/>
              <c:tx>
                <c:rich>
                  <a:bodyPr/>
                  <a:lstStyle/>
                  <a:p>
                    <a:fld id="{5EECE41A-0816-4783-B13F-E45F034996F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A088-4C65-9064-D1DA0A84FDF3}"/>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usluga'!$A$102:$A$139</c:f>
              <c:numCache>
                <c:formatCode>yyyy</c:formatCode>
                <c:ptCount val="38"/>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numCache>
            </c:numRef>
          </c:cat>
          <c:val>
            <c:numRef>
              <c:f>'BoP_izvoz usluga'!$P$102:$P$139</c:f>
              <c:numCache>
                <c:formatCode>General</c:formatCode>
                <c:ptCount val="38"/>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numCache>
            </c:numRef>
          </c:val>
          <c:smooth val="0"/>
          <c:extLst>
            <c:ext xmlns:c15="http://schemas.microsoft.com/office/drawing/2012/chart" uri="{02D57815-91ED-43cb-92C2-25804820EDAC}">
              <c15:datalabelsRange>
                <c15:f>'BoP_izvoz usluga'!$J$90:$J$139</c15:f>
                <c15:dlblRangeCache>
                  <c:ptCount val="5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15:dlblRangeCache>
              </c15:datalabelsRange>
            </c:ext>
            <c:ext xmlns:c16="http://schemas.microsoft.com/office/drawing/2014/chart" uri="{C3380CC4-5D6E-409C-BE32-E72D297353CC}">
              <c16:uniqueId val="{0000002E-A088-4C65-9064-D1DA0A84FDF3}"/>
            </c:ext>
          </c:extLst>
        </c:ser>
        <c:dLbls>
          <c:showLegendKey val="0"/>
          <c:showVal val="0"/>
          <c:showCatName val="0"/>
          <c:showSerName val="0"/>
          <c:showPercent val="0"/>
          <c:showBubbleSize val="0"/>
        </c:dLbls>
        <c:smooth val="0"/>
        <c:axId val="1828937008"/>
        <c:axId val="1828920688"/>
      </c:lineChart>
      <c:dateAx>
        <c:axId val="182893700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0688"/>
        <c:crosses val="autoZero"/>
        <c:auto val="1"/>
        <c:lblOffset val="0"/>
        <c:baseTimeUnit val="months"/>
      </c:dateAx>
      <c:valAx>
        <c:axId val="1828920688"/>
        <c:scaling>
          <c:orientation val="minMax"/>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7008"/>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1151726726726725"/>
        </c:manualLayout>
      </c:layout>
      <c:lineChart>
        <c:grouping val="standard"/>
        <c:varyColors val="0"/>
        <c:ser>
          <c:idx val="0"/>
          <c:order val="0"/>
          <c:tx>
            <c:strRef>
              <c:f>Usluge!$S$5</c:f>
              <c:strCache>
                <c:ptCount val="1"/>
                <c:pt idx="0">
                  <c:v>y</c:v>
                </c:pt>
              </c:strCache>
            </c:strRef>
          </c:tx>
          <c:spPr>
            <a:ln w="12700" cap="rnd">
              <a:solidFill>
                <a:srgbClr val="7F3F98"/>
              </a:solidFill>
              <a:prstDash val="sysDash"/>
              <a:round/>
            </a:ln>
            <a:effectLst/>
          </c:spPr>
          <c:marker>
            <c:symbol val="none"/>
          </c:marker>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Usluge!$S$138:$S$176</c:f>
              <c:numCache>
                <c:formatCode>#.#00</c:formatCode>
                <c:ptCount val="39"/>
                <c:pt idx="0">
                  <c:v>76.810648172</c:v>
                </c:pt>
                <c:pt idx="1">
                  <c:v>81.282735195000001</c:v>
                </c:pt>
                <c:pt idx="2">
                  <c:v>38.383603571000002</c:v>
                </c:pt>
                <c:pt idx="3">
                  <c:v>4.6399476210000001</c:v>
                </c:pt>
                <c:pt idx="4">
                  <c:v>19.012468299999998</c:v>
                </c:pt>
                <c:pt idx="5">
                  <c:v>62.396802819999998</c:v>
                </c:pt>
                <c:pt idx="6">
                  <c:v>82.136741302999994</c:v>
                </c:pt>
                <c:pt idx="7">
                  <c:v>120.37353646699999</c:v>
                </c:pt>
                <c:pt idx="8">
                  <c:v>77.760335933999997</c:v>
                </c:pt>
                <c:pt idx="9">
                  <c:v>58.899020143000001</c:v>
                </c:pt>
                <c:pt idx="10">
                  <c:v>38.452997832999998</c:v>
                </c:pt>
                <c:pt idx="11">
                  <c:v>30.595852038</c:v>
                </c:pt>
                <c:pt idx="12">
                  <c:v>50.049748041000001</c:v>
                </c:pt>
                <c:pt idx="13">
                  <c:v>52.884442370999999</c:v>
                </c:pt>
                <c:pt idx="14">
                  <c:v>46.566222934000002</c:v>
                </c:pt>
                <c:pt idx="15">
                  <c:v>44.402079897</c:v>
                </c:pt>
                <c:pt idx="16">
                  <c:v>65.250432984</c:v>
                </c:pt>
                <c:pt idx="17">
                  <c:v>86.924388428</c:v>
                </c:pt>
                <c:pt idx="18">
                  <c:v>131.45278147499999</c:v>
                </c:pt>
                <c:pt idx="19">
                  <c:v>148.41438758000001</c:v>
                </c:pt>
                <c:pt idx="20">
                  <c:v>93.604950615999996</c:v>
                </c:pt>
                <c:pt idx="21">
                  <c:v>69.651009387000002</c:v>
                </c:pt>
                <c:pt idx="22">
                  <c:v>58.423285163999999</c:v>
                </c:pt>
                <c:pt idx="23">
                  <c:v>61.566967748000003</c:v>
                </c:pt>
                <c:pt idx="24">
                  <c:v>69.256671757000007</c:v>
                </c:pt>
                <c:pt idx="25">
                  <c:v>64.788034702999994</c:v>
                </c:pt>
                <c:pt idx="26">
                  <c:v>71.463012917</c:v>
                </c:pt>
                <c:pt idx="27">
                  <c:v>78.201393429999996</c:v>
                </c:pt>
                <c:pt idx="28">
                  <c:v>100.043435964</c:v>
                </c:pt>
                <c:pt idx="29">
                  <c:v>105.482216366</c:v>
                </c:pt>
                <c:pt idx="30">
                  <c:v>132.37782379699999</c:v>
                </c:pt>
                <c:pt idx="31">
                  <c:v>162.83483726</c:v>
                </c:pt>
                <c:pt idx="32">
                  <c:v>129.16067166299999</c:v>
                </c:pt>
                <c:pt idx="33">
                  <c:v>123.379793237</c:v>
                </c:pt>
                <c:pt idx="34">
                  <c:v>86.238100126000006</c:v>
                </c:pt>
                <c:pt idx="35">
                  <c:v>76.774008781999996</c:v>
                </c:pt>
                <c:pt idx="36">
                  <c:v>77.741114307999993</c:v>
                </c:pt>
                <c:pt idx="37">
                  <c:v>78.727524705999997</c:v>
                </c:pt>
                <c:pt idx="38">
                  <c:v>81.996515813000002</c:v>
                </c:pt>
              </c:numCache>
            </c:numRef>
          </c:val>
          <c:smooth val="0"/>
          <c:extLst>
            <c:ext xmlns:c16="http://schemas.microsoft.com/office/drawing/2014/chart" uri="{C3380CC4-5D6E-409C-BE32-E72D297353CC}">
              <c16:uniqueId val="{00000000-B2C6-4E4E-9228-4D56FDC4938D}"/>
            </c:ext>
          </c:extLst>
        </c:ser>
        <c:ser>
          <c:idx val="1"/>
          <c:order val="1"/>
          <c:tx>
            <c:strRef>
              <c:f>Usluge!$T$5</c:f>
              <c:strCache>
                <c:ptCount val="1"/>
                <c:pt idx="0">
                  <c:v>sa</c:v>
                </c:pt>
              </c:strCache>
            </c:strRef>
          </c:tx>
          <c:spPr>
            <a:ln w="22225" cap="rnd">
              <a:solidFill>
                <a:srgbClr val="25AAE1"/>
              </a:solidFill>
              <a:round/>
            </a:ln>
            <a:effectLst/>
          </c:spPr>
          <c:marker>
            <c:symbol val="none"/>
          </c:marker>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Usluge!$T$138:$T$176</c:f>
              <c:numCache>
                <c:formatCode>#.#00</c:formatCode>
                <c:ptCount val="39"/>
                <c:pt idx="0">
                  <c:v>98.059941232</c:v>
                </c:pt>
                <c:pt idx="1">
                  <c:v>90.078235156999995</c:v>
                </c:pt>
                <c:pt idx="2">
                  <c:v>49.94387596</c:v>
                </c:pt>
                <c:pt idx="3">
                  <c:v>5.3869451890000004</c:v>
                </c:pt>
                <c:pt idx="4">
                  <c:v>17.328376574</c:v>
                </c:pt>
                <c:pt idx="5">
                  <c:v>56.712166216999996</c:v>
                </c:pt>
                <c:pt idx="6">
                  <c:v>60.924988755999998</c:v>
                </c:pt>
                <c:pt idx="7">
                  <c:v>72.977294100999998</c:v>
                </c:pt>
                <c:pt idx="8">
                  <c:v>69.430431865000003</c:v>
                </c:pt>
                <c:pt idx="9">
                  <c:v>57.859805510000001</c:v>
                </c:pt>
                <c:pt idx="10">
                  <c:v>52.631629383000003</c:v>
                </c:pt>
                <c:pt idx="11">
                  <c:v>41.258689242999999</c:v>
                </c:pt>
                <c:pt idx="12">
                  <c:v>62.443695173999998</c:v>
                </c:pt>
                <c:pt idx="13">
                  <c:v>69.573677735999993</c:v>
                </c:pt>
                <c:pt idx="14">
                  <c:v>61.342958295999999</c:v>
                </c:pt>
                <c:pt idx="15">
                  <c:v>52.988708989999999</c:v>
                </c:pt>
                <c:pt idx="16">
                  <c:v>61.506240093999999</c:v>
                </c:pt>
                <c:pt idx="17">
                  <c:v>78.861435442000001</c:v>
                </c:pt>
                <c:pt idx="18">
                  <c:v>97.719170954999996</c:v>
                </c:pt>
                <c:pt idx="19">
                  <c:v>89.305922640000006</c:v>
                </c:pt>
                <c:pt idx="20">
                  <c:v>81.927633913999998</c:v>
                </c:pt>
                <c:pt idx="21">
                  <c:v>65.756714024999994</c:v>
                </c:pt>
                <c:pt idx="22">
                  <c:v>80.063092009000002</c:v>
                </c:pt>
                <c:pt idx="23">
                  <c:v>83.853447490999997</c:v>
                </c:pt>
                <c:pt idx="24">
                  <c:v>87.83546278</c:v>
                </c:pt>
                <c:pt idx="25">
                  <c:v>86.416163443000002</c:v>
                </c:pt>
                <c:pt idx="26">
                  <c:v>94.688050743000005</c:v>
                </c:pt>
                <c:pt idx="27">
                  <c:v>93.682650621999997</c:v>
                </c:pt>
                <c:pt idx="28">
                  <c:v>96.285206430000002</c:v>
                </c:pt>
                <c:pt idx="29">
                  <c:v>96.947491837000001</c:v>
                </c:pt>
                <c:pt idx="30">
                  <c:v>96.405609890999997</c:v>
                </c:pt>
                <c:pt idx="31">
                  <c:v>97.448584748000002</c:v>
                </c:pt>
                <c:pt idx="32">
                  <c:v>111.39197495000001</c:v>
                </c:pt>
                <c:pt idx="33">
                  <c:v>116.225264623</c:v>
                </c:pt>
                <c:pt idx="34">
                  <c:v>116.414797357</c:v>
                </c:pt>
                <c:pt idx="35">
                  <c:v>105.574458933</c:v>
                </c:pt>
                <c:pt idx="36">
                  <c:v>99.959955172999997</c:v>
                </c:pt>
                <c:pt idx="37">
                  <c:v>106.12089578200001</c:v>
                </c:pt>
                <c:pt idx="38">
                  <c:v>108.58344269200001</c:v>
                </c:pt>
              </c:numCache>
            </c:numRef>
          </c:val>
          <c:smooth val="0"/>
          <c:extLst>
            <c:ext xmlns:c16="http://schemas.microsoft.com/office/drawing/2014/chart" uri="{C3380CC4-5D6E-409C-BE32-E72D297353CC}">
              <c16:uniqueId val="{00000001-B2C6-4E4E-9228-4D56FDC4938D}"/>
            </c:ext>
          </c:extLst>
        </c:ser>
        <c:ser>
          <c:idx val="2"/>
          <c:order val="2"/>
          <c:tx>
            <c:strRef>
              <c:f>Usluge!$U$5</c:f>
              <c:strCache>
                <c:ptCount val="1"/>
                <c:pt idx="0">
                  <c:v>t</c:v>
                </c:pt>
              </c:strCache>
            </c:strRef>
          </c:tx>
          <c:spPr>
            <a:ln w="25400" cap="rnd">
              <a:solidFill>
                <a:srgbClr val="FF0000"/>
              </a:solidFill>
              <a:round/>
            </a:ln>
            <a:effectLst/>
          </c:spPr>
          <c:marker>
            <c:symbol val="none"/>
          </c:marker>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Usluge!$U$138:$U$176</c:f>
              <c:numCache>
                <c:formatCode>#.#00</c:formatCode>
                <c:ptCount val="39"/>
                <c:pt idx="0">
                  <c:v>94.643280856000004</c:v>
                </c:pt>
                <c:pt idx="1">
                  <c:v>88.482306733000001</c:v>
                </c:pt>
                <c:pt idx="2">
                  <c:v>80.482862785999998</c:v>
                </c:pt>
                <c:pt idx="3">
                  <c:v>72.478039471000002</c:v>
                </c:pt>
                <c:pt idx="4">
                  <c:v>66.020674305</c:v>
                </c:pt>
                <c:pt idx="5">
                  <c:v>61.853045182000002</c:v>
                </c:pt>
                <c:pt idx="6">
                  <c:v>59.618608651999999</c:v>
                </c:pt>
                <c:pt idx="7">
                  <c:v>58.594606268</c:v>
                </c:pt>
                <c:pt idx="8">
                  <c:v>58.158573162000003</c:v>
                </c:pt>
                <c:pt idx="9">
                  <c:v>57.863693753</c:v>
                </c:pt>
                <c:pt idx="10">
                  <c:v>57.690238041000001</c:v>
                </c:pt>
                <c:pt idx="11">
                  <c:v>57.969764224000002</c:v>
                </c:pt>
                <c:pt idx="12">
                  <c:v>59.111540607000002</c:v>
                </c:pt>
                <c:pt idx="13">
                  <c:v>61.199202958999997</c:v>
                </c:pt>
                <c:pt idx="14">
                  <c:v>64.399433876000003</c:v>
                </c:pt>
                <c:pt idx="15">
                  <c:v>68.616914957000006</c:v>
                </c:pt>
                <c:pt idx="16">
                  <c:v>73.332025505000004</c:v>
                </c:pt>
                <c:pt idx="17">
                  <c:v>77.701081935999994</c:v>
                </c:pt>
                <c:pt idx="18">
                  <c:v>80.910499508000001</c:v>
                </c:pt>
                <c:pt idx="19">
                  <c:v>82.628279660999993</c:v>
                </c:pt>
                <c:pt idx="20">
                  <c:v>82.911219579999994</c:v>
                </c:pt>
                <c:pt idx="21">
                  <c:v>82.652246231000007</c:v>
                </c:pt>
                <c:pt idx="22">
                  <c:v>82.795068334999996</c:v>
                </c:pt>
                <c:pt idx="23">
                  <c:v>83.905749518999997</c:v>
                </c:pt>
                <c:pt idx="24">
                  <c:v>86.117094973999997</c:v>
                </c:pt>
                <c:pt idx="25">
                  <c:v>89.002580390000006</c:v>
                </c:pt>
                <c:pt idx="26">
                  <c:v>91.613820043000004</c:v>
                </c:pt>
                <c:pt idx="27">
                  <c:v>93.372277976000007</c:v>
                </c:pt>
                <c:pt idx="28">
                  <c:v>94.796757975000006</c:v>
                </c:pt>
                <c:pt idx="29">
                  <c:v>96.878058484999997</c:v>
                </c:pt>
                <c:pt idx="30">
                  <c:v>100.173447145</c:v>
                </c:pt>
                <c:pt idx="31">
                  <c:v>104.122220644</c:v>
                </c:pt>
                <c:pt idx="32">
                  <c:v>107.66204211900001</c:v>
                </c:pt>
                <c:pt idx="33">
                  <c:v>109.95126348700001</c:v>
                </c:pt>
                <c:pt idx="34">
                  <c:v>110.43764688900001</c:v>
                </c:pt>
                <c:pt idx="35">
                  <c:v>109.398552331</c:v>
                </c:pt>
                <c:pt idx="36">
                  <c:v>107.522768599</c:v>
                </c:pt>
                <c:pt idx="37">
                  <c:v>105.8976942</c:v>
                </c:pt>
                <c:pt idx="38">
                  <c:v>105.26018373700001</c:v>
                </c:pt>
              </c:numCache>
            </c:numRef>
          </c:val>
          <c:smooth val="0"/>
          <c:extLst>
            <c:ext xmlns:c16="http://schemas.microsoft.com/office/drawing/2014/chart" uri="{C3380CC4-5D6E-409C-BE32-E72D297353CC}">
              <c16:uniqueId val="{00000002-B2C6-4E4E-9228-4D56FDC4938D}"/>
            </c:ext>
          </c:extLst>
        </c:ser>
        <c:ser>
          <c:idx val="3"/>
          <c:order val="3"/>
          <c:tx>
            <c:strRef>
              <c:f>Usluge!$V$5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630868055555555E-2"/>
                  <c:y val="6.089789789789790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2C6-4E4E-9228-4D56FDC4938D}"/>
                </c:ext>
              </c:extLst>
            </c:dLbl>
            <c:dLbl>
              <c:idx val="12"/>
              <c:layout>
                <c:manualLayout>
                  <c:x val="7.5334722222222136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2C6-4E4E-9228-4D56FDC4938D}"/>
                </c:ext>
              </c:extLst>
            </c:dLbl>
            <c:dLbl>
              <c:idx val="24"/>
              <c:layout>
                <c:manualLayout>
                  <c:x val="7.0297916666666668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2C6-4E4E-9228-4D56FDC4938D}"/>
                </c:ext>
              </c:extLst>
            </c:dLbl>
            <c:dLbl>
              <c:idx val="36"/>
              <c:layout>
                <c:manualLayout>
                  <c:x val="-1.6911805555555555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2C6-4E4E-9228-4D56FDC4938D}"/>
                </c:ext>
              </c:extLst>
            </c:dLbl>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Usluge!$V$138:$V$176</c:f>
              <c:numCache>
                <c:formatCode>General</c:formatCode>
                <c:ptCount val="39"/>
                <c:pt idx="0">
                  <c:v>0</c:v>
                </c:pt>
                <c:pt idx="12">
                  <c:v>0</c:v>
                </c:pt>
                <c:pt idx="24">
                  <c:v>0</c:v>
                </c:pt>
                <c:pt idx="36">
                  <c:v>0</c:v>
                </c:pt>
              </c:numCache>
            </c:numRef>
          </c:val>
          <c:smooth val="0"/>
          <c:extLst>
            <c:ext xmlns:c16="http://schemas.microsoft.com/office/drawing/2014/chart" uri="{C3380CC4-5D6E-409C-BE32-E72D297353CC}">
              <c16:uniqueId val="{00000007-B2C6-4E4E-9228-4D56FDC4938D}"/>
            </c:ext>
          </c:extLst>
        </c:ser>
        <c:ser>
          <c:idx val="4"/>
          <c:order val="4"/>
          <c:tx>
            <c:strRef>
              <c:f>Usluge!$W$5</c:f>
              <c:strCache>
                <c:ptCount val="1"/>
                <c:pt idx="0">
                  <c:v>Series5</c:v>
                </c:pt>
              </c:strCache>
            </c:strRef>
          </c:tx>
          <c:spPr>
            <a:ln w="28575" cap="rnd">
              <a:noFill/>
              <a:round/>
            </a:ln>
            <a:effectLst/>
          </c:spPr>
          <c:marker>
            <c:symbol val="none"/>
          </c:marker>
          <c:dLbls>
            <c:dLbl>
              <c:idx val="0"/>
              <c:tx>
                <c:rich>
                  <a:bodyPr/>
                  <a:lstStyle/>
                  <a:p>
                    <a:fld id="{F419B65F-A489-41FF-81B6-21C9F57D2AD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2C6-4E4E-9228-4D56FDC4938D}"/>
                </c:ext>
              </c:extLst>
            </c:dLbl>
            <c:dLbl>
              <c:idx val="1"/>
              <c:tx>
                <c:rich>
                  <a:bodyPr/>
                  <a:lstStyle/>
                  <a:p>
                    <a:fld id="{914F43B5-29E4-4EAF-AD36-C7F89835A59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2C6-4E4E-9228-4D56FDC4938D}"/>
                </c:ext>
              </c:extLst>
            </c:dLbl>
            <c:dLbl>
              <c:idx val="2"/>
              <c:tx>
                <c:rich>
                  <a:bodyPr/>
                  <a:lstStyle/>
                  <a:p>
                    <a:fld id="{AE810DA7-2512-4E3B-9077-4F1265CBC5C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2C6-4E4E-9228-4D56FDC4938D}"/>
                </c:ext>
              </c:extLst>
            </c:dLbl>
            <c:dLbl>
              <c:idx val="3"/>
              <c:tx>
                <c:rich>
                  <a:bodyPr/>
                  <a:lstStyle/>
                  <a:p>
                    <a:fld id="{6A418FE6-2B0E-4BDC-8AC0-50FD4A38711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2C6-4E4E-9228-4D56FDC4938D}"/>
                </c:ext>
              </c:extLst>
            </c:dLbl>
            <c:dLbl>
              <c:idx val="4"/>
              <c:tx>
                <c:rich>
                  <a:bodyPr/>
                  <a:lstStyle/>
                  <a:p>
                    <a:fld id="{7A0BD4FE-950B-474E-BDDF-3F45E3559C5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2C6-4E4E-9228-4D56FDC4938D}"/>
                </c:ext>
              </c:extLst>
            </c:dLbl>
            <c:dLbl>
              <c:idx val="5"/>
              <c:tx>
                <c:rich>
                  <a:bodyPr/>
                  <a:lstStyle/>
                  <a:p>
                    <a:fld id="{DB34039D-B6F1-4ADC-8810-0AC064D0372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2C6-4E4E-9228-4D56FDC4938D}"/>
                </c:ext>
              </c:extLst>
            </c:dLbl>
            <c:dLbl>
              <c:idx val="6"/>
              <c:tx>
                <c:rich>
                  <a:bodyPr/>
                  <a:lstStyle/>
                  <a:p>
                    <a:fld id="{36760655-2413-4BBE-BCE9-4369B5B74AF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2C6-4E4E-9228-4D56FDC4938D}"/>
                </c:ext>
              </c:extLst>
            </c:dLbl>
            <c:dLbl>
              <c:idx val="7"/>
              <c:tx>
                <c:rich>
                  <a:bodyPr/>
                  <a:lstStyle/>
                  <a:p>
                    <a:fld id="{1A37F441-C118-4608-B019-98279A4D5A2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2C6-4E4E-9228-4D56FDC4938D}"/>
                </c:ext>
              </c:extLst>
            </c:dLbl>
            <c:dLbl>
              <c:idx val="8"/>
              <c:tx>
                <c:rich>
                  <a:bodyPr/>
                  <a:lstStyle/>
                  <a:p>
                    <a:fld id="{47CC753B-8629-4C2E-9271-BD1DE9D036C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2C6-4E4E-9228-4D56FDC4938D}"/>
                </c:ext>
              </c:extLst>
            </c:dLbl>
            <c:dLbl>
              <c:idx val="9"/>
              <c:tx>
                <c:rich>
                  <a:bodyPr/>
                  <a:lstStyle/>
                  <a:p>
                    <a:fld id="{9DE3590A-9942-41C2-90F1-C2AB2D3A6E49}"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2C6-4E4E-9228-4D56FDC4938D}"/>
                </c:ext>
              </c:extLst>
            </c:dLbl>
            <c:dLbl>
              <c:idx val="10"/>
              <c:tx>
                <c:rich>
                  <a:bodyPr/>
                  <a:lstStyle/>
                  <a:p>
                    <a:fld id="{B4CA7D82-2076-4BD8-BB7A-91A5737453A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2C6-4E4E-9228-4D56FDC4938D}"/>
                </c:ext>
              </c:extLst>
            </c:dLbl>
            <c:dLbl>
              <c:idx val="11"/>
              <c:tx>
                <c:rich>
                  <a:bodyPr/>
                  <a:lstStyle/>
                  <a:p>
                    <a:fld id="{31BB22D0-87D8-4A49-88CA-F4A36EFF114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2C6-4E4E-9228-4D56FDC4938D}"/>
                </c:ext>
              </c:extLst>
            </c:dLbl>
            <c:dLbl>
              <c:idx val="12"/>
              <c:tx>
                <c:rich>
                  <a:bodyPr/>
                  <a:lstStyle/>
                  <a:p>
                    <a:fld id="{14D18E57-A670-4743-A2EC-018FA7A35B3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2C6-4E4E-9228-4D56FDC4938D}"/>
                </c:ext>
              </c:extLst>
            </c:dLbl>
            <c:dLbl>
              <c:idx val="13"/>
              <c:tx>
                <c:rich>
                  <a:bodyPr/>
                  <a:lstStyle/>
                  <a:p>
                    <a:fld id="{AB6D4133-BA0F-4E1E-83A4-55DF1C48E5D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2C6-4E4E-9228-4D56FDC4938D}"/>
                </c:ext>
              </c:extLst>
            </c:dLbl>
            <c:dLbl>
              <c:idx val="14"/>
              <c:tx>
                <c:rich>
                  <a:bodyPr/>
                  <a:lstStyle/>
                  <a:p>
                    <a:fld id="{C98C6353-41C3-4F86-AB02-F44D629BEE70}"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2C6-4E4E-9228-4D56FDC4938D}"/>
                </c:ext>
              </c:extLst>
            </c:dLbl>
            <c:dLbl>
              <c:idx val="15"/>
              <c:tx>
                <c:rich>
                  <a:bodyPr/>
                  <a:lstStyle/>
                  <a:p>
                    <a:fld id="{1930157D-0C59-421B-87CC-D764E56A38A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2C6-4E4E-9228-4D56FDC4938D}"/>
                </c:ext>
              </c:extLst>
            </c:dLbl>
            <c:dLbl>
              <c:idx val="16"/>
              <c:tx>
                <c:rich>
                  <a:bodyPr/>
                  <a:lstStyle/>
                  <a:p>
                    <a:fld id="{3A8438F1-16FC-4E20-86C6-71BA6043FC9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2C6-4E4E-9228-4D56FDC4938D}"/>
                </c:ext>
              </c:extLst>
            </c:dLbl>
            <c:dLbl>
              <c:idx val="17"/>
              <c:tx>
                <c:rich>
                  <a:bodyPr/>
                  <a:lstStyle/>
                  <a:p>
                    <a:fld id="{CF6D4DCA-34C7-4DE7-9047-621E4019B47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2C6-4E4E-9228-4D56FDC4938D}"/>
                </c:ext>
              </c:extLst>
            </c:dLbl>
            <c:dLbl>
              <c:idx val="18"/>
              <c:tx>
                <c:rich>
                  <a:bodyPr/>
                  <a:lstStyle/>
                  <a:p>
                    <a:fld id="{1A5CA7E3-B502-4A01-BC2C-445F779D40F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2C6-4E4E-9228-4D56FDC4938D}"/>
                </c:ext>
              </c:extLst>
            </c:dLbl>
            <c:dLbl>
              <c:idx val="19"/>
              <c:tx>
                <c:rich>
                  <a:bodyPr/>
                  <a:lstStyle/>
                  <a:p>
                    <a:fld id="{0820A298-51EF-460F-A362-2F2195F770D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2C6-4E4E-9228-4D56FDC4938D}"/>
                </c:ext>
              </c:extLst>
            </c:dLbl>
            <c:dLbl>
              <c:idx val="20"/>
              <c:tx>
                <c:rich>
                  <a:bodyPr/>
                  <a:lstStyle/>
                  <a:p>
                    <a:fld id="{86C4587F-D980-4DC8-AAF9-250331148B8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2C6-4E4E-9228-4D56FDC4938D}"/>
                </c:ext>
              </c:extLst>
            </c:dLbl>
            <c:dLbl>
              <c:idx val="21"/>
              <c:tx>
                <c:rich>
                  <a:bodyPr/>
                  <a:lstStyle/>
                  <a:p>
                    <a:fld id="{DB6898DF-D2C8-4AB2-98AA-EA5E9D093FBE}"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2C6-4E4E-9228-4D56FDC4938D}"/>
                </c:ext>
              </c:extLst>
            </c:dLbl>
            <c:dLbl>
              <c:idx val="22"/>
              <c:tx>
                <c:rich>
                  <a:bodyPr/>
                  <a:lstStyle/>
                  <a:p>
                    <a:fld id="{8D9A4BD9-D6AC-4404-90E3-BD791AF9AEB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2C6-4E4E-9228-4D56FDC4938D}"/>
                </c:ext>
              </c:extLst>
            </c:dLbl>
            <c:dLbl>
              <c:idx val="23"/>
              <c:tx>
                <c:rich>
                  <a:bodyPr/>
                  <a:lstStyle/>
                  <a:p>
                    <a:fld id="{2AF93402-F879-4172-BCE0-7F13B7DA1AA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2C6-4E4E-9228-4D56FDC4938D}"/>
                </c:ext>
              </c:extLst>
            </c:dLbl>
            <c:dLbl>
              <c:idx val="24"/>
              <c:tx>
                <c:rich>
                  <a:bodyPr/>
                  <a:lstStyle/>
                  <a:p>
                    <a:fld id="{B8E92015-34DE-4CC4-926C-B82C1AA23A2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2C6-4E4E-9228-4D56FDC4938D}"/>
                </c:ext>
              </c:extLst>
            </c:dLbl>
            <c:dLbl>
              <c:idx val="25"/>
              <c:tx>
                <c:rich>
                  <a:bodyPr/>
                  <a:lstStyle/>
                  <a:p>
                    <a:fld id="{E7BE55AA-3EF1-4B9A-9E7C-BD7C55FF3D7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2C6-4E4E-9228-4D56FDC4938D}"/>
                </c:ext>
              </c:extLst>
            </c:dLbl>
            <c:dLbl>
              <c:idx val="26"/>
              <c:tx>
                <c:rich>
                  <a:bodyPr/>
                  <a:lstStyle/>
                  <a:p>
                    <a:fld id="{F3C39045-4169-4444-91B1-89C46C40AB7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2C6-4E4E-9228-4D56FDC4938D}"/>
                </c:ext>
              </c:extLst>
            </c:dLbl>
            <c:dLbl>
              <c:idx val="27"/>
              <c:tx>
                <c:rich>
                  <a:bodyPr/>
                  <a:lstStyle/>
                  <a:p>
                    <a:fld id="{FE51A62F-2239-48ED-950F-5599D948A2F8}"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2C6-4E4E-9228-4D56FDC4938D}"/>
                </c:ext>
              </c:extLst>
            </c:dLbl>
            <c:dLbl>
              <c:idx val="28"/>
              <c:tx>
                <c:rich>
                  <a:bodyPr/>
                  <a:lstStyle/>
                  <a:p>
                    <a:fld id="{6585FA1D-F60E-4A2A-9C84-14F91B54A88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2C6-4E4E-9228-4D56FDC4938D}"/>
                </c:ext>
              </c:extLst>
            </c:dLbl>
            <c:dLbl>
              <c:idx val="29"/>
              <c:tx>
                <c:rich>
                  <a:bodyPr/>
                  <a:lstStyle/>
                  <a:p>
                    <a:fld id="{2B92D325-A6B4-4B5A-81A9-1B91EE4196B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2C6-4E4E-9228-4D56FDC4938D}"/>
                </c:ext>
              </c:extLst>
            </c:dLbl>
            <c:dLbl>
              <c:idx val="30"/>
              <c:tx>
                <c:rich>
                  <a:bodyPr/>
                  <a:lstStyle/>
                  <a:p>
                    <a:fld id="{56698C07-2238-4C73-8AD1-7C7DF63B0E0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2C6-4E4E-9228-4D56FDC4938D}"/>
                </c:ext>
              </c:extLst>
            </c:dLbl>
            <c:dLbl>
              <c:idx val="31"/>
              <c:tx>
                <c:rich>
                  <a:bodyPr/>
                  <a:lstStyle/>
                  <a:p>
                    <a:fld id="{E761D5D7-8AC1-4F94-B5DB-D3A4756D4F7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2C6-4E4E-9228-4D56FDC4938D}"/>
                </c:ext>
              </c:extLst>
            </c:dLbl>
            <c:dLbl>
              <c:idx val="32"/>
              <c:tx>
                <c:rich>
                  <a:bodyPr/>
                  <a:lstStyle/>
                  <a:p>
                    <a:fld id="{1E5DB505-4FC9-44E5-9A9D-EF86A0A4E42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2C6-4E4E-9228-4D56FDC4938D}"/>
                </c:ext>
              </c:extLst>
            </c:dLbl>
            <c:dLbl>
              <c:idx val="33"/>
              <c:tx>
                <c:rich>
                  <a:bodyPr/>
                  <a:lstStyle/>
                  <a:p>
                    <a:fld id="{081E6BBC-40A5-4767-8EE2-955542C0619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2C6-4E4E-9228-4D56FDC4938D}"/>
                </c:ext>
              </c:extLst>
            </c:dLbl>
            <c:dLbl>
              <c:idx val="34"/>
              <c:tx>
                <c:rich>
                  <a:bodyPr/>
                  <a:lstStyle/>
                  <a:p>
                    <a:fld id="{95E17D6A-5A2C-4E29-BAAD-F28DF664AB8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2C6-4E4E-9228-4D56FDC4938D}"/>
                </c:ext>
              </c:extLst>
            </c:dLbl>
            <c:dLbl>
              <c:idx val="35"/>
              <c:tx>
                <c:rich>
                  <a:bodyPr/>
                  <a:lstStyle/>
                  <a:p>
                    <a:fld id="{650919AD-8E8E-4017-A54D-450FEED96D0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2C6-4E4E-9228-4D56FDC4938D}"/>
                </c:ext>
              </c:extLst>
            </c:dLbl>
            <c:dLbl>
              <c:idx val="36"/>
              <c:tx>
                <c:rich>
                  <a:bodyPr/>
                  <a:lstStyle/>
                  <a:p>
                    <a:fld id="{723C9B88-D8CB-4634-94CB-4D81154FC43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2C6-4E4E-9228-4D56FDC4938D}"/>
                </c:ext>
              </c:extLst>
            </c:dLbl>
            <c:dLbl>
              <c:idx val="37"/>
              <c:tx>
                <c:rich>
                  <a:bodyPr/>
                  <a:lstStyle/>
                  <a:p>
                    <a:fld id="{613A8771-0BB3-4D42-9961-A6C2D7F9F476}"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B2C6-4E4E-9228-4D56FDC4938D}"/>
                </c:ext>
              </c:extLst>
            </c:dLbl>
            <c:dLbl>
              <c:idx val="38"/>
              <c:tx>
                <c:rich>
                  <a:bodyPr/>
                  <a:lstStyle/>
                  <a:p>
                    <a:fld id="{2FFEC426-A905-467E-975D-420C006C178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B2C6-4E4E-9228-4D56FDC4938D}"/>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Usluge!$W$138:$W$176</c:f>
              <c:numCache>
                <c:formatCode>General</c:formatCode>
                <c:ptCount val="3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numCache>
            </c:numRef>
          </c:val>
          <c:smooth val="0"/>
          <c:extLst>
            <c:ext xmlns:c15="http://schemas.microsoft.com/office/drawing/2012/chart" uri="{02D57815-91ED-43cb-92C2-25804820EDAC}">
              <c15:datalabelsRange>
                <c15:f>Usluge!$J$138:$J$176</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F-B2C6-4E4E-9228-4D56FDC4938D}"/>
            </c:ext>
          </c:extLst>
        </c:ser>
        <c:dLbls>
          <c:showLegendKey val="0"/>
          <c:showVal val="0"/>
          <c:showCatName val="0"/>
          <c:showSerName val="0"/>
          <c:showPercent val="0"/>
          <c:showBubbleSize val="0"/>
        </c:dLbls>
        <c:smooth val="0"/>
        <c:axId val="1828917968"/>
        <c:axId val="1828917424"/>
      </c:lineChart>
      <c:dateAx>
        <c:axId val="182891796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17424"/>
        <c:crosses val="autoZero"/>
        <c:auto val="1"/>
        <c:lblOffset val="0"/>
        <c:baseTimeUnit val="months"/>
        <c:majorUnit val="12"/>
        <c:majorTimeUnit val="months"/>
      </c:dateAx>
      <c:valAx>
        <c:axId val="1828917424"/>
        <c:scaling>
          <c:orientation val="minMax"/>
          <c:max val="170"/>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17968"/>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4.2497000239980799E-2"/>
          <c:w val="0.88461960155100949"/>
          <c:h val="0.84012087087087106"/>
        </c:manualLayout>
      </c:layout>
      <c:lineChart>
        <c:grouping val="standard"/>
        <c:varyColors val="0"/>
        <c:ser>
          <c:idx val="0"/>
          <c:order val="0"/>
          <c:tx>
            <c:strRef>
              <c:f>Usluge!$E$5</c:f>
              <c:strCache>
                <c:ptCount val="1"/>
                <c:pt idx="0">
                  <c:v>y</c:v>
                </c:pt>
              </c:strCache>
            </c:strRef>
          </c:tx>
          <c:spPr>
            <a:ln w="12700" cap="rnd">
              <a:solidFill>
                <a:srgbClr val="7F3F98"/>
              </a:solidFill>
              <a:prstDash val="sysDash"/>
              <a:round/>
            </a:ln>
            <a:effectLst/>
          </c:spPr>
          <c:marker>
            <c:symbol val="none"/>
          </c:marker>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Usluge!$E$138:$E$176</c:f>
              <c:numCache>
                <c:formatCode>#.#00</c:formatCode>
                <c:ptCount val="39"/>
                <c:pt idx="0">
                  <c:v>76.753870796000001</c:v>
                </c:pt>
                <c:pt idx="1">
                  <c:v>76.049119059999995</c:v>
                </c:pt>
                <c:pt idx="2">
                  <c:v>81.943406300000007</c:v>
                </c:pt>
                <c:pt idx="3">
                  <c:v>66.182594768000001</c:v>
                </c:pt>
                <c:pt idx="4">
                  <c:v>84.442071542999997</c:v>
                </c:pt>
                <c:pt idx="5">
                  <c:v>92.066203951000006</c:v>
                </c:pt>
                <c:pt idx="6">
                  <c:v>89.759743727</c:v>
                </c:pt>
                <c:pt idx="7">
                  <c:v>91.681793913999996</c:v>
                </c:pt>
                <c:pt idx="8">
                  <c:v>90.080085424000004</c:v>
                </c:pt>
                <c:pt idx="9">
                  <c:v>94.949279231000006</c:v>
                </c:pt>
                <c:pt idx="10">
                  <c:v>88.414308595999998</c:v>
                </c:pt>
                <c:pt idx="11">
                  <c:v>96.294714361999993</c:v>
                </c:pt>
                <c:pt idx="12">
                  <c:v>80.085424453000002</c:v>
                </c:pt>
                <c:pt idx="13">
                  <c:v>78.868126000999993</c:v>
                </c:pt>
                <c:pt idx="14">
                  <c:v>87.261078483999995</c:v>
                </c:pt>
                <c:pt idx="15">
                  <c:v>94.757074212000006</c:v>
                </c:pt>
                <c:pt idx="16">
                  <c:v>95.141484250000005</c:v>
                </c:pt>
                <c:pt idx="17">
                  <c:v>97.896422850999997</c:v>
                </c:pt>
                <c:pt idx="18">
                  <c:v>100.331019754</c:v>
                </c:pt>
                <c:pt idx="19">
                  <c:v>99.369994661000007</c:v>
                </c:pt>
                <c:pt idx="20">
                  <c:v>94.757074212000006</c:v>
                </c:pt>
                <c:pt idx="21">
                  <c:v>99.562199680000006</c:v>
                </c:pt>
                <c:pt idx="22">
                  <c:v>97.896422850999997</c:v>
                </c:pt>
                <c:pt idx="23">
                  <c:v>107.442605446</c:v>
                </c:pt>
                <c:pt idx="24">
                  <c:v>84.121729845000004</c:v>
                </c:pt>
                <c:pt idx="25">
                  <c:v>85.595301655</c:v>
                </c:pt>
                <c:pt idx="26">
                  <c:v>103.59850507199999</c:v>
                </c:pt>
                <c:pt idx="27">
                  <c:v>101.548318206</c:v>
                </c:pt>
                <c:pt idx="28">
                  <c:v>101.676454885</c:v>
                </c:pt>
                <c:pt idx="29">
                  <c:v>102.63747997900001</c:v>
                </c:pt>
                <c:pt idx="30">
                  <c:v>105.200213561</c:v>
                </c:pt>
                <c:pt idx="31">
                  <c:v>103.662573412</c:v>
                </c:pt>
                <c:pt idx="32">
                  <c:v>100.395088094</c:v>
                </c:pt>
                <c:pt idx="33">
                  <c:v>104.431393486</c:v>
                </c:pt>
                <c:pt idx="34">
                  <c:v>99.49813134</c:v>
                </c:pt>
                <c:pt idx="35">
                  <c:v>107.634810464</c:v>
                </c:pt>
                <c:pt idx="36">
                  <c:v>85.851575013000001</c:v>
                </c:pt>
                <c:pt idx="37">
                  <c:v>82.584089696000007</c:v>
                </c:pt>
                <c:pt idx="38">
                  <c:v>94.564869193999996</c:v>
                </c:pt>
              </c:numCache>
            </c:numRef>
          </c:val>
          <c:smooth val="0"/>
          <c:extLst>
            <c:ext xmlns:c16="http://schemas.microsoft.com/office/drawing/2014/chart" uri="{C3380CC4-5D6E-409C-BE32-E72D297353CC}">
              <c16:uniqueId val="{00000000-4AD3-4C09-9095-D73F31E64D39}"/>
            </c:ext>
          </c:extLst>
        </c:ser>
        <c:ser>
          <c:idx val="1"/>
          <c:order val="1"/>
          <c:tx>
            <c:strRef>
              <c:f>Usluge!$F$5</c:f>
              <c:strCache>
                <c:ptCount val="1"/>
                <c:pt idx="0">
                  <c:v>sa</c:v>
                </c:pt>
              </c:strCache>
            </c:strRef>
          </c:tx>
          <c:spPr>
            <a:ln w="22225" cap="rnd">
              <a:solidFill>
                <a:srgbClr val="25AAE1"/>
              </a:solidFill>
              <a:round/>
            </a:ln>
            <a:effectLst/>
          </c:spPr>
          <c:marker>
            <c:symbol val="none"/>
          </c:marker>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Usluge!$F$138:$F$176</c:f>
              <c:numCache>
                <c:formatCode>#.#00</c:formatCode>
                <c:ptCount val="39"/>
                <c:pt idx="0">
                  <c:v>87.002089467999994</c:v>
                </c:pt>
                <c:pt idx="1">
                  <c:v>86.977896301000001</c:v>
                </c:pt>
                <c:pt idx="2">
                  <c:v>85.312264451000004</c:v>
                </c:pt>
                <c:pt idx="3">
                  <c:v>65.570321027999995</c:v>
                </c:pt>
                <c:pt idx="4">
                  <c:v>84.416795945999993</c:v>
                </c:pt>
                <c:pt idx="5">
                  <c:v>89.845444479999998</c:v>
                </c:pt>
                <c:pt idx="6">
                  <c:v>86.064193967999998</c:v>
                </c:pt>
                <c:pt idx="7">
                  <c:v>87.571212191000001</c:v>
                </c:pt>
                <c:pt idx="8">
                  <c:v>89.491094453000002</c:v>
                </c:pt>
                <c:pt idx="9">
                  <c:v>89.470362541</c:v>
                </c:pt>
                <c:pt idx="10">
                  <c:v>88.890960825999997</c:v>
                </c:pt>
                <c:pt idx="11">
                  <c:v>87.398851336999996</c:v>
                </c:pt>
                <c:pt idx="12">
                  <c:v>91.181886538000001</c:v>
                </c:pt>
                <c:pt idx="13">
                  <c:v>92.224414840999998</c:v>
                </c:pt>
                <c:pt idx="14">
                  <c:v>89.841032690999995</c:v>
                </c:pt>
                <c:pt idx="15">
                  <c:v>94.018395554999998</c:v>
                </c:pt>
                <c:pt idx="16">
                  <c:v>95.285674791999995</c:v>
                </c:pt>
                <c:pt idx="17">
                  <c:v>95.516309571999997</c:v>
                </c:pt>
                <c:pt idx="18">
                  <c:v>95.327386855</c:v>
                </c:pt>
                <c:pt idx="19">
                  <c:v>95.669843455999995</c:v>
                </c:pt>
                <c:pt idx="20">
                  <c:v>94.140701620000002</c:v>
                </c:pt>
                <c:pt idx="21">
                  <c:v>95.056800920000001</c:v>
                </c:pt>
                <c:pt idx="22">
                  <c:v>97.220959944000001</c:v>
                </c:pt>
                <c:pt idx="23">
                  <c:v>97.967230929999999</c:v>
                </c:pt>
                <c:pt idx="24">
                  <c:v>96.295467837999993</c:v>
                </c:pt>
                <c:pt idx="25">
                  <c:v>100.045982478</c:v>
                </c:pt>
                <c:pt idx="26">
                  <c:v>106.230084117</c:v>
                </c:pt>
                <c:pt idx="27">
                  <c:v>99.918663577999993</c:v>
                </c:pt>
                <c:pt idx="28">
                  <c:v>100.767251739</c:v>
                </c:pt>
                <c:pt idx="29">
                  <c:v>99.981778512000005</c:v>
                </c:pt>
                <c:pt idx="30">
                  <c:v>101.06137450200001</c:v>
                </c:pt>
                <c:pt idx="31">
                  <c:v>98.951818736000007</c:v>
                </c:pt>
                <c:pt idx="32">
                  <c:v>99.763310325999996</c:v>
                </c:pt>
                <c:pt idx="33">
                  <c:v>99.769614313000005</c:v>
                </c:pt>
                <c:pt idx="34">
                  <c:v>98.952830222000003</c:v>
                </c:pt>
                <c:pt idx="35">
                  <c:v>97.531689034999999</c:v>
                </c:pt>
                <c:pt idx="36">
                  <c:v>97.653358346000005</c:v>
                </c:pt>
                <c:pt idx="37">
                  <c:v>96.574425781000002</c:v>
                </c:pt>
                <c:pt idx="38">
                  <c:v>96.919241755000002</c:v>
                </c:pt>
              </c:numCache>
            </c:numRef>
          </c:val>
          <c:smooth val="0"/>
          <c:extLst>
            <c:ext xmlns:c16="http://schemas.microsoft.com/office/drawing/2014/chart" uri="{C3380CC4-5D6E-409C-BE32-E72D297353CC}">
              <c16:uniqueId val="{00000001-4AD3-4C09-9095-D73F31E64D39}"/>
            </c:ext>
          </c:extLst>
        </c:ser>
        <c:ser>
          <c:idx val="2"/>
          <c:order val="2"/>
          <c:tx>
            <c:strRef>
              <c:f>Usluge!$G$5</c:f>
              <c:strCache>
                <c:ptCount val="1"/>
                <c:pt idx="0">
                  <c:v>t</c:v>
                </c:pt>
              </c:strCache>
            </c:strRef>
          </c:tx>
          <c:spPr>
            <a:ln w="25400" cap="rnd">
              <a:solidFill>
                <a:srgbClr val="FF0000"/>
              </a:solidFill>
              <a:round/>
            </a:ln>
            <a:effectLst/>
          </c:spPr>
          <c:marker>
            <c:symbol val="none"/>
          </c:marker>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Usluge!$G$138:$G$176</c:f>
              <c:numCache>
                <c:formatCode>#.#00</c:formatCode>
                <c:ptCount val="39"/>
                <c:pt idx="0">
                  <c:v>86.62431497</c:v>
                </c:pt>
                <c:pt idx="1">
                  <c:v>86.501910912</c:v>
                </c:pt>
                <c:pt idx="2">
                  <c:v>86.134157365999997</c:v>
                </c:pt>
                <c:pt idx="3">
                  <c:v>85.796818177999995</c:v>
                </c:pt>
                <c:pt idx="4">
                  <c:v>85.760719241999993</c:v>
                </c:pt>
                <c:pt idx="5">
                  <c:v>86.140032633000004</c:v>
                </c:pt>
                <c:pt idx="6">
                  <c:v>86.816415555999995</c:v>
                </c:pt>
                <c:pt idx="7">
                  <c:v>87.586065767999997</c:v>
                </c:pt>
                <c:pt idx="8">
                  <c:v>88.316430706000006</c:v>
                </c:pt>
                <c:pt idx="9">
                  <c:v>88.953534028999997</c:v>
                </c:pt>
                <c:pt idx="10">
                  <c:v>89.545364293000006</c:v>
                </c:pt>
                <c:pt idx="11">
                  <c:v>90.179113009000005</c:v>
                </c:pt>
                <c:pt idx="12">
                  <c:v>90.978176445000003</c:v>
                </c:pt>
                <c:pt idx="13">
                  <c:v>91.949553491000003</c:v>
                </c:pt>
                <c:pt idx="14">
                  <c:v>93.054951987999999</c:v>
                </c:pt>
                <c:pt idx="15">
                  <c:v>94.079756848000002</c:v>
                </c:pt>
                <c:pt idx="16">
                  <c:v>94.778950425999994</c:v>
                </c:pt>
                <c:pt idx="17">
                  <c:v>95.107847311</c:v>
                </c:pt>
                <c:pt idx="18">
                  <c:v>95.192233220999995</c:v>
                </c:pt>
                <c:pt idx="19">
                  <c:v>95.222100327999996</c:v>
                </c:pt>
                <c:pt idx="20">
                  <c:v>95.401337957999999</c:v>
                </c:pt>
                <c:pt idx="21">
                  <c:v>95.908404427999997</c:v>
                </c:pt>
                <c:pt idx="22">
                  <c:v>96.755532270000003</c:v>
                </c:pt>
                <c:pt idx="23">
                  <c:v>97.807166507000005</c:v>
                </c:pt>
                <c:pt idx="24">
                  <c:v>98.818126937000002</c:v>
                </c:pt>
                <c:pt idx="25">
                  <c:v>99.640977472000003</c:v>
                </c:pt>
                <c:pt idx="26">
                  <c:v>100.169776532</c:v>
                </c:pt>
                <c:pt idx="27">
                  <c:v>100.396227674</c:v>
                </c:pt>
                <c:pt idx="28">
                  <c:v>100.433393471</c:v>
                </c:pt>
                <c:pt idx="29">
                  <c:v>100.370024906</c:v>
                </c:pt>
                <c:pt idx="30">
                  <c:v>100.217136745</c:v>
                </c:pt>
                <c:pt idx="31">
                  <c:v>99.992879813000002</c:v>
                </c:pt>
                <c:pt idx="32">
                  <c:v>99.660105408999996</c:v>
                </c:pt>
                <c:pt idx="33">
                  <c:v>99.184840536999999</c:v>
                </c:pt>
                <c:pt idx="34">
                  <c:v>98.607683398999995</c:v>
                </c:pt>
                <c:pt idx="35">
                  <c:v>98.013338156000003</c:v>
                </c:pt>
                <c:pt idx="36">
                  <c:v>97.484469935000007</c:v>
                </c:pt>
                <c:pt idx="37">
                  <c:v>97.117091857000005</c:v>
                </c:pt>
                <c:pt idx="38">
                  <c:v>96.965513849000004</c:v>
                </c:pt>
              </c:numCache>
            </c:numRef>
          </c:val>
          <c:smooth val="0"/>
          <c:extLst>
            <c:ext xmlns:c16="http://schemas.microsoft.com/office/drawing/2014/chart" uri="{C3380CC4-5D6E-409C-BE32-E72D297353CC}">
              <c16:uniqueId val="{00000002-4AD3-4C09-9095-D73F31E64D39}"/>
            </c:ext>
          </c:extLst>
        </c:ser>
        <c:ser>
          <c:idx val="3"/>
          <c:order val="3"/>
          <c:tx>
            <c:strRef>
              <c:f>Usluge!$H$5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6391356735926799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AD3-4C09-9095-D73F31E64D39}"/>
                </c:ext>
              </c:extLst>
            </c:dLbl>
            <c:dLbl>
              <c:idx val="12"/>
              <c:layout>
                <c:manualLayout>
                  <c:x val="7.5527918753539813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AD3-4C09-9095-D73F31E64D39}"/>
                </c:ext>
              </c:extLst>
            </c:dLbl>
            <c:dLbl>
              <c:idx val="24"/>
              <c:layout>
                <c:manualLayout>
                  <c:x val="7.4693285173298388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AD3-4C09-9095-D73F31E64D39}"/>
                </c:ext>
              </c:extLst>
            </c:dLbl>
            <c:dLbl>
              <c:idx val="36"/>
              <c:layout>
                <c:manualLayout>
                  <c:x val="-1.9083784023898629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AD3-4C09-9095-D73F31E64D39}"/>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Usluge!$H$138:$H$176</c:f>
              <c:numCache>
                <c:formatCode>General</c:formatCode>
                <c:ptCount val="39"/>
                <c:pt idx="0">
                  <c:v>60</c:v>
                </c:pt>
                <c:pt idx="12">
                  <c:v>60</c:v>
                </c:pt>
                <c:pt idx="24">
                  <c:v>60</c:v>
                </c:pt>
                <c:pt idx="36">
                  <c:v>60</c:v>
                </c:pt>
              </c:numCache>
            </c:numRef>
          </c:val>
          <c:smooth val="0"/>
          <c:extLst>
            <c:ext xmlns:c16="http://schemas.microsoft.com/office/drawing/2014/chart" uri="{C3380CC4-5D6E-409C-BE32-E72D297353CC}">
              <c16:uniqueId val="{00000007-4AD3-4C09-9095-D73F31E64D39}"/>
            </c:ext>
          </c:extLst>
        </c:ser>
        <c:ser>
          <c:idx val="4"/>
          <c:order val="4"/>
          <c:tx>
            <c:strRef>
              <c:f>Usluge!$I$5</c:f>
              <c:strCache>
                <c:ptCount val="1"/>
                <c:pt idx="0">
                  <c:v>Series5</c:v>
                </c:pt>
              </c:strCache>
            </c:strRef>
          </c:tx>
          <c:spPr>
            <a:ln w="28575" cap="rnd">
              <a:noFill/>
              <a:round/>
            </a:ln>
            <a:effectLst/>
          </c:spPr>
          <c:marker>
            <c:symbol val="none"/>
          </c:marker>
          <c:dLbls>
            <c:dLbl>
              <c:idx val="0"/>
              <c:tx>
                <c:rich>
                  <a:bodyPr/>
                  <a:lstStyle/>
                  <a:p>
                    <a:fld id="{9D9651CA-BFF1-4B06-89BC-972A4461121F}"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AD3-4C09-9095-D73F31E64D39}"/>
                </c:ext>
              </c:extLst>
            </c:dLbl>
            <c:dLbl>
              <c:idx val="1"/>
              <c:tx>
                <c:rich>
                  <a:bodyPr/>
                  <a:lstStyle/>
                  <a:p>
                    <a:fld id="{456093D8-841B-4811-B55C-CFFE966EE15B}"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4AD3-4C09-9095-D73F31E64D39}"/>
                </c:ext>
              </c:extLst>
            </c:dLbl>
            <c:dLbl>
              <c:idx val="2"/>
              <c:tx>
                <c:rich>
                  <a:bodyPr/>
                  <a:lstStyle/>
                  <a:p>
                    <a:fld id="{50EB9740-7666-41BC-87D5-46E01C947D6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4AD3-4C09-9095-D73F31E64D39}"/>
                </c:ext>
              </c:extLst>
            </c:dLbl>
            <c:dLbl>
              <c:idx val="3"/>
              <c:tx>
                <c:rich>
                  <a:bodyPr/>
                  <a:lstStyle/>
                  <a:p>
                    <a:fld id="{F5607E7F-B10D-4C67-BBEE-A1A9BCB573C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AD3-4C09-9095-D73F31E64D39}"/>
                </c:ext>
              </c:extLst>
            </c:dLbl>
            <c:dLbl>
              <c:idx val="4"/>
              <c:tx>
                <c:rich>
                  <a:bodyPr/>
                  <a:lstStyle/>
                  <a:p>
                    <a:fld id="{ADAF5F83-9A61-4C92-8159-EC126FF016EE}"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4AD3-4C09-9095-D73F31E64D39}"/>
                </c:ext>
              </c:extLst>
            </c:dLbl>
            <c:dLbl>
              <c:idx val="5"/>
              <c:tx>
                <c:rich>
                  <a:bodyPr/>
                  <a:lstStyle/>
                  <a:p>
                    <a:fld id="{C4D6E420-B148-4DD4-87C7-B84E736BCAA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4AD3-4C09-9095-D73F31E64D39}"/>
                </c:ext>
              </c:extLst>
            </c:dLbl>
            <c:dLbl>
              <c:idx val="6"/>
              <c:tx>
                <c:rich>
                  <a:bodyPr/>
                  <a:lstStyle/>
                  <a:p>
                    <a:fld id="{51490A0A-CA62-4E63-B062-D33FB47BA57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AD3-4C09-9095-D73F31E64D39}"/>
                </c:ext>
              </c:extLst>
            </c:dLbl>
            <c:dLbl>
              <c:idx val="7"/>
              <c:tx>
                <c:rich>
                  <a:bodyPr/>
                  <a:lstStyle/>
                  <a:p>
                    <a:fld id="{DD591084-D1AB-4801-B592-3DB9E4BE03E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4AD3-4C09-9095-D73F31E64D39}"/>
                </c:ext>
              </c:extLst>
            </c:dLbl>
            <c:dLbl>
              <c:idx val="8"/>
              <c:tx>
                <c:rich>
                  <a:bodyPr/>
                  <a:lstStyle/>
                  <a:p>
                    <a:fld id="{DFEE19F8-0153-4674-B483-60B6591F1865}"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4AD3-4C09-9095-D73F31E64D39}"/>
                </c:ext>
              </c:extLst>
            </c:dLbl>
            <c:dLbl>
              <c:idx val="9"/>
              <c:tx>
                <c:rich>
                  <a:bodyPr/>
                  <a:lstStyle/>
                  <a:p>
                    <a:fld id="{6B4CED72-8D43-4B42-A96F-BBBA598080A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AD3-4C09-9095-D73F31E64D39}"/>
                </c:ext>
              </c:extLst>
            </c:dLbl>
            <c:dLbl>
              <c:idx val="10"/>
              <c:tx>
                <c:rich>
                  <a:bodyPr/>
                  <a:lstStyle/>
                  <a:p>
                    <a:fld id="{A331CE38-E124-44B4-B152-A4B524AEE13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4AD3-4C09-9095-D73F31E64D39}"/>
                </c:ext>
              </c:extLst>
            </c:dLbl>
            <c:dLbl>
              <c:idx val="11"/>
              <c:tx>
                <c:rich>
                  <a:bodyPr/>
                  <a:lstStyle/>
                  <a:p>
                    <a:fld id="{C1C8E0AC-376A-4246-BC78-09BA8B3ABE0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4AD3-4C09-9095-D73F31E64D39}"/>
                </c:ext>
              </c:extLst>
            </c:dLbl>
            <c:dLbl>
              <c:idx val="12"/>
              <c:tx>
                <c:rich>
                  <a:bodyPr/>
                  <a:lstStyle/>
                  <a:p>
                    <a:fld id="{9868F595-CF7D-4557-825A-4796E5B7DEA4}"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4AD3-4C09-9095-D73F31E64D39}"/>
                </c:ext>
              </c:extLst>
            </c:dLbl>
            <c:dLbl>
              <c:idx val="13"/>
              <c:tx>
                <c:rich>
                  <a:bodyPr/>
                  <a:lstStyle/>
                  <a:p>
                    <a:fld id="{D6115001-BE6D-48D2-BD36-A91C6C1A154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4AD3-4C09-9095-D73F31E64D39}"/>
                </c:ext>
              </c:extLst>
            </c:dLbl>
            <c:dLbl>
              <c:idx val="14"/>
              <c:tx>
                <c:rich>
                  <a:bodyPr/>
                  <a:lstStyle/>
                  <a:p>
                    <a:fld id="{A70EE021-EFCD-4454-A5FB-9A9338DF4B9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4AD3-4C09-9095-D73F31E64D39}"/>
                </c:ext>
              </c:extLst>
            </c:dLbl>
            <c:dLbl>
              <c:idx val="15"/>
              <c:tx>
                <c:rich>
                  <a:bodyPr/>
                  <a:lstStyle/>
                  <a:p>
                    <a:fld id="{875B2462-F265-48AB-B6F0-046A03C911E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4AD3-4C09-9095-D73F31E64D39}"/>
                </c:ext>
              </c:extLst>
            </c:dLbl>
            <c:dLbl>
              <c:idx val="16"/>
              <c:tx>
                <c:rich>
                  <a:bodyPr/>
                  <a:lstStyle/>
                  <a:p>
                    <a:fld id="{97D3C08D-DED6-4843-909A-1107EE89578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4AD3-4C09-9095-D73F31E64D39}"/>
                </c:ext>
              </c:extLst>
            </c:dLbl>
            <c:dLbl>
              <c:idx val="17"/>
              <c:tx>
                <c:rich>
                  <a:bodyPr/>
                  <a:lstStyle/>
                  <a:p>
                    <a:fld id="{A5D2B61C-EE69-45D0-86D1-5509F05564FD}"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4AD3-4C09-9095-D73F31E64D39}"/>
                </c:ext>
              </c:extLst>
            </c:dLbl>
            <c:dLbl>
              <c:idx val="18"/>
              <c:tx>
                <c:rich>
                  <a:bodyPr/>
                  <a:lstStyle/>
                  <a:p>
                    <a:fld id="{E524D13A-A677-4F31-8DDE-3F9EF604B046}"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4AD3-4C09-9095-D73F31E64D39}"/>
                </c:ext>
              </c:extLst>
            </c:dLbl>
            <c:dLbl>
              <c:idx val="19"/>
              <c:tx>
                <c:rich>
                  <a:bodyPr/>
                  <a:lstStyle/>
                  <a:p>
                    <a:fld id="{F91B1532-2ACC-485F-B81A-52413E7D3A04}"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4AD3-4C09-9095-D73F31E64D39}"/>
                </c:ext>
              </c:extLst>
            </c:dLbl>
            <c:dLbl>
              <c:idx val="20"/>
              <c:tx>
                <c:rich>
                  <a:bodyPr/>
                  <a:lstStyle/>
                  <a:p>
                    <a:fld id="{741FFF6D-9028-40D4-90A3-3ED7C1CB5243}"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4AD3-4C09-9095-D73F31E64D39}"/>
                </c:ext>
              </c:extLst>
            </c:dLbl>
            <c:dLbl>
              <c:idx val="21"/>
              <c:tx>
                <c:rich>
                  <a:bodyPr/>
                  <a:lstStyle/>
                  <a:p>
                    <a:fld id="{97FED3AC-E682-4D11-886E-FB9FD460803C}"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4AD3-4C09-9095-D73F31E64D39}"/>
                </c:ext>
              </c:extLst>
            </c:dLbl>
            <c:dLbl>
              <c:idx val="22"/>
              <c:tx>
                <c:rich>
                  <a:bodyPr/>
                  <a:lstStyle/>
                  <a:p>
                    <a:fld id="{0D617B8D-3E74-4B3E-A532-1239043960E9}"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4AD3-4C09-9095-D73F31E64D39}"/>
                </c:ext>
              </c:extLst>
            </c:dLbl>
            <c:dLbl>
              <c:idx val="23"/>
              <c:tx>
                <c:rich>
                  <a:bodyPr/>
                  <a:lstStyle/>
                  <a:p>
                    <a:fld id="{ED6F784E-7366-4472-8C52-5D8B1D3159C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4AD3-4C09-9095-D73F31E64D39}"/>
                </c:ext>
              </c:extLst>
            </c:dLbl>
            <c:dLbl>
              <c:idx val="24"/>
              <c:tx>
                <c:rich>
                  <a:bodyPr/>
                  <a:lstStyle/>
                  <a:p>
                    <a:fld id="{3086492D-337D-4C11-A8F7-F49255AF82C5}"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4AD3-4C09-9095-D73F31E64D39}"/>
                </c:ext>
              </c:extLst>
            </c:dLbl>
            <c:dLbl>
              <c:idx val="25"/>
              <c:tx>
                <c:rich>
                  <a:bodyPr/>
                  <a:lstStyle/>
                  <a:p>
                    <a:fld id="{CF6F7F12-D0E0-4BA6-87FC-0E6B2F4B4141}"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4AD3-4C09-9095-D73F31E64D39}"/>
                </c:ext>
              </c:extLst>
            </c:dLbl>
            <c:dLbl>
              <c:idx val="26"/>
              <c:tx>
                <c:rich>
                  <a:bodyPr/>
                  <a:lstStyle/>
                  <a:p>
                    <a:fld id="{33B9BE12-9FFD-42A6-8C9C-EE194F0DAC92}"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4AD3-4C09-9095-D73F31E64D39}"/>
                </c:ext>
              </c:extLst>
            </c:dLbl>
            <c:dLbl>
              <c:idx val="27"/>
              <c:tx>
                <c:rich>
                  <a:bodyPr/>
                  <a:lstStyle/>
                  <a:p>
                    <a:fld id="{9FD8D397-69B0-4F51-9588-DE1FD06B277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4AD3-4C09-9095-D73F31E64D39}"/>
                </c:ext>
              </c:extLst>
            </c:dLbl>
            <c:dLbl>
              <c:idx val="28"/>
              <c:tx>
                <c:rich>
                  <a:bodyPr/>
                  <a:lstStyle/>
                  <a:p>
                    <a:fld id="{7CF54AD1-3E63-4080-BBC0-07D3CF14C9D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4AD3-4C09-9095-D73F31E64D39}"/>
                </c:ext>
              </c:extLst>
            </c:dLbl>
            <c:dLbl>
              <c:idx val="29"/>
              <c:tx>
                <c:rich>
                  <a:bodyPr/>
                  <a:lstStyle/>
                  <a:p>
                    <a:fld id="{F6A15AD7-5123-4336-9EB1-05AEC02E86CF}"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4AD3-4C09-9095-D73F31E64D39}"/>
                </c:ext>
              </c:extLst>
            </c:dLbl>
            <c:dLbl>
              <c:idx val="30"/>
              <c:tx>
                <c:rich>
                  <a:bodyPr/>
                  <a:lstStyle/>
                  <a:p>
                    <a:fld id="{3A291D44-EE99-4B3C-8AB0-99E8297D5352}"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4AD3-4C09-9095-D73F31E64D39}"/>
                </c:ext>
              </c:extLst>
            </c:dLbl>
            <c:dLbl>
              <c:idx val="31"/>
              <c:tx>
                <c:rich>
                  <a:bodyPr/>
                  <a:lstStyle/>
                  <a:p>
                    <a:fld id="{58439967-D994-4F4F-A5D2-11A4DA9A9C07}"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4AD3-4C09-9095-D73F31E64D39}"/>
                </c:ext>
              </c:extLst>
            </c:dLbl>
            <c:dLbl>
              <c:idx val="32"/>
              <c:tx>
                <c:rich>
                  <a:bodyPr/>
                  <a:lstStyle/>
                  <a:p>
                    <a:fld id="{248B64E4-A7D5-4E4D-BB2A-8C46DE2B5DF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4AD3-4C09-9095-D73F31E64D39}"/>
                </c:ext>
              </c:extLst>
            </c:dLbl>
            <c:dLbl>
              <c:idx val="33"/>
              <c:tx>
                <c:rich>
                  <a:bodyPr/>
                  <a:lstStyle/>
                  <a:p>
                    <a:fld id="{A86E6FEB-09BD-4621-8D52-9B8ACAC1D7C0}"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4AD3-4C09-9095-D73F31E64D39}"/>
                </c:ext>
              </c:extLst>
            </c:dLbl>
            <c:dLbl>
              <c:idx val="34"/>
              <c:tx>
                <c:rich>
                  <a:bodyPr/>
                  <a:lstStyle/>
                  <a:p>
                    <a:fld id="{3FA6FC8E-1926-4A9B-A593-1010876CFE1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4AD3-4C09-9095-D73F31E64D39}"/>
                </c:ext>
              </c:extLst>
            </c:dLbl>
            <c:dLbl>
              <c:idx val="35"/>
              <c:tx>
                <c:rich>
                  <a:bodyPr/>
                  <a:lstStyle/>
                  <a:p>
                    <a:fld id="{21ABF6EC-BA91-46CC-ACF8-085F5F60A80A}"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4AD3-4C09-9095-D73F31E64D39}"/>
                </c:ext>
              </c:extLst>
            </c:dLbl>
            <c:dLbl>
              <c:idx val="36"/>
              <c:tx>
                <c:rich>
                  <a:bodyPr/>
                  <a:lstStyle/>
                  <a:p>
                    <a:fld id="{60A3FDB7-2E6A-4CC4-B3A1-8F2CF14B257B}" type="CELLRANGE">
                      <a:rPr lang="sr-Cyrl-R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4AD3-4C09-9095-D73F31E64D39}"/>
                </c:ext>
              </c:extLst>
            </c:dLbl>
            <c:dLbl>
              <c:idx val="37"/>
              <c:tx>
                <c:rich>
                  <a:bodyPr/>
                  <a:lstStyle/>
                  <a:p>
                    <a:fld id="{2A14754C-7A69-48B0-9D41-AA4982A4BC2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4AD3-4C09-9095-D73F31E64D39}"/>
                </c:ext>
              </c:extLst>
            </c:dLbl>
            <c:dLbl>
              <c:idx val="38"/>
              <c:tx>
                <c:rich>
                  <a:bodyPr/>
                  <a:lstStyle/>
                  <a:p>
                    <a:fld id="{AC043FE6-BCB2-4038-B305-A17E2E5B3E4C}" type="CELLRANGE">
                      <a:rPr lang="en-US"/>
                      <a:pPr/>
                      <a:t>[CELLRANGE]</a:t>
                    </a:fld>
                    <a:endParaRPr lang="sr-Cyrl-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4AD3-4C09-9095-D73F31E64D39}"/>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Usluge!$A$138:$A$176</c:f>
              <c:numCache>
                <c:formatCode>yyyy</c:formatCode>
                <c:ptCount val="39"/>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pt idx="32">
                  <c:v>44805</c:v>
                </c:pt>
                <c:pt idx="33">
                  <c:v>44835</c:v>
                </c:pt>
                <c:pt idx="34">
                  <c:v>44866</c:v>
                </c:pt>
                <c:pt idx="35">
                  <c:v>44896</c:v>
                </c:pt>
                <c:pt idx="36" formatCode="yy">
                  <c:v>44927</c:v>
                </c:pt>
                <c:pt idx="37" formatCode="yy">
                  <c:v>44958</c:v>
                </c:pt>
                <c:pt idx="38" formatCode="yy">
                  <c:v>44986</c:v>
                </c:pt>
              </c:numCache>
            </c:numRef>
          </c:cat>
          <c:val>
            <c:numRef>
              <c:f>Usluge!$I$138:$I$176</c:f>
              <c:numCache>
                <c:formatCode>General</c:formatCode>
                <c:ptCount val="39"/>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numCache>
            </c:numRef>
          </c:val>
          <c:smooth val="0"/>
          <c:extLst>
            <c:ext xmlns:c15="http://schemas.microsoft.com/office/drawing/2012/chart" uri="{02D57815-91ED-43cb-92C2-25804820EDAC}">
              <c15:datalabelsRange>
                <c15:f>Usluge!$J$138:$J$176</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F-4AD3-4C09-9095-D73F31E64D39}"/>
            </c:ext>
          </c:extLst>
        </c:ser>
        <c:dLbls>
          <c:showLegendKey val="0"/>
          <c:showVal val="0"/>
          <c:showCatName val="0"/>
          <c:showSerName val="0"/>
          <c:showPercent val="0"/>
          <c:showBubbleSize val="0"/>
        </c:dLbls>
        <c:smooth val="0"/>
        <c:axId val="2092186640"/>
        <c:axId val="2092182288"/>
      </c:lineChart>
      <c:dateAx>
        <c:axId val="209218664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82288"/>
        <c:crosses val="autoZero"/>
        <c:auto val="1"/>
        <c:lblOffset val="0"/>
        <c:baseTimeUnit val="months"/>
      </c:dateAx>
      <c:valAx>
        <c:axId val="2092182288"/>
        <c:scaling>
          <c:orientation val="minMax"/>
          <c:max val="115"/>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664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229075532225129E-2"/>
          <c:y val="5.8179243711477598E-2"/>
          <c:w val="0.88862277631962672"/>
          <c:h val="0.64057387972680324"/>
        </c:manualLayout>
      </c:layout>
      <c:barChart>
        <c:barDir val="col"/>
        <c:grouping val="clustered"/>
        <c:varyColors val="0"/>
        <c:ser>
          <c:idx val="0"/>
          <c:order val="0"/>
          <c:tx>
            <c:strRef>
              <c:f>BDPQ_doprinosi!$R$54</c:f>
              <c:strCache>
                <c:ptCount val="1"/>
                <c:pt idx="0">
                  <c:v>Остварење </c:v>
                </c:pt>
              </c:strCache>
            </c:strRef>
          </c:tx>
          <c:spPr>
            <a:solidFill>
              <a:srgbClr val="29489A"/>
            </a:solidFill>
            <a:ln>
              <a:noFill/>
            </a:ln>
            <a:effectLst/>
          </c:spPr>
          <c:invertIfNegative val="0"/>
          <c:dLbls>
            <c:dLbl>
              <c:idx val="3"/>
              <c:layout>
                <c:manualLayout>
                  <c:x val="0"/>
                  <c:y val="7.474349002893319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186-443A-9301-8AD9AF62EC4B}"/>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bg1"/>
                    </a:solidFill>
                    <a:latin typeface="+mn-lt"/>
                    <a:ea typeface="+mn-ea"/>
                    <a:cs typeface="+mn-cs"/>
                  </a:defRPr>
                </a:pPr>
                <a:endParaRPr lang="sr-Latn-R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BDPQ_doprinosi!$S$52:$Z$53</c:f>
              <c:multiLvlStrCache>
                <c:ptCount val="8"/>
                <c:lvl>
                  <c:pt idx="0">
                    <c:v>Q1</c:v>
                  </c:pt>
                  <c:pt idx="1">
                    <c:v>Q2</c:v>
                  </c:pt>
                  <c:pt idx="2">
                    <c:v>Q3</c:v>
                  </c:pt>
                  <c:pt idx="3">
                    <c:v>Q4</c:v>
                  </c:pt>
                  <c:pt idx="4">
                    <c:v>Q1</c:v>
                  </c:pt>
                  <c:pt idx="5">
                    <c:v>Q2*</c:v>
                  </c:pt>
                  <c:pt idx="6">
                    <c:v>Q3*</c:v>
                  </c:pt>
                  <c:pt idx="7">
                    <c:v>Q4*</c:v>
                  </c:pt>
                </c:lvl>
                <c:lvl>
                  <c:pt idx="0">
                    <c:v>2022</c:v>
                  </c:pt>
                  <c:pt idx="4">
                    <c:v>2023</c:v>
                  </c:pt>
                </c:lvl>
              </c:multiLvlStrCache>
            </c:multiLvlStrRef>
          </c:cat>
          <c:val>
            <c:numRef>
              <c:f>BDPQ_doprinosi!$S$54:$Z$54</c:f>
              <c:numCache>
                <c:formatCode>#.#00</c:formatCode>
                <c:ptCount val="8"/>
                <c:pt idx="0">
                  <c:v>4.0902542057952473</c:v>
                </c:pt>
                <c:pt idx="1">
                  <c:v>3.8371675062882815</c:v>
                </c:pt>
                <c:pt idx="2">
                  <c:v>0.98689858723879809</c:v>
                </c:pt>
                <c:pt idx="3">
                  <c:v>0.4189288094729875</c:v>
                </c:pt>
                <c:pt idx="4">
                  <c:v>0.7</c:v>
                </c:pt>
              </c:numCache>
            </c:numRef>
          </c:val>
          <c:extLst>
            <c:ext xmlns:c16="http://schemas.microsoft.com/office/drawing/2014/chart" uri="{C3380CC4-5D6E-409C-BE32-E72D297353CC}">
              <c16:uniqueId val="{00000001-B186-443A-9301-8AD9AF62EC4B}"/>
            </c:ext>
          </c:extLst>
        </c:ser>
        <c:dLbls>
          <c:showLegendKey val="0"/>
          <c:showVal val="0"/>
          <c:showCatName val="0"/>
          <c:showSerName val="0"/>
          <c:showPercent val="0"/>
          <c:showBubbleSize val="0"/>
        </c:dLbls>
        <c:gapWidth val="57"/>
        <c:axId val="1011580544"/>
        <c:axId val="1011583040"/>
      </c:barChart>
      <c:barChart>
        <c:barDir val="col"/>
        <c:grouping val="clustered"/>
        <c:varyColors val="0"/>
        <c:ser>
          <c:idx val="1"/>
          <c:order val="1"/>
          <c:tx>
            <c:strRef>
              <c:f>BDPQ_doprinosi!$R$55</c:f>
              <c:strCache>
                <c:ptCount val="1"/>
                <c:pt idx="0">
                  <c:v>Пројектоване стопе раста</c:v>
                </c:pt>
              </c:strCache>
            </c:strRef>
          </c:tx>
          <c:spPr>
            <a:solidFill>
              <a:srgbClr val="ED1C2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bg1"/>
                    </a:solidFill>
                    <a:latin typeface="+mn-lt"/>
                    <a:ea typeface="+mn-ea"/>
                    <a:cs typeface="+mn-cs"/>
                  </a:defRPr>
                </a:pPr>
                <a:endParaRPr lang="sr-Latn-R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BDPQ_doprinosi!$S$52:$Z$53</c:f>
              <c:multiLvlStrCache>
                <c:ptCount val="8"/>
                <c:lvl>
                  <c:pt idx="0">
                    <c:v>Q1</c:v>
                  </c:pt>
                  <c:pt idx="1">
                    <c:v>Q2</c:v>
                  </c:pt>
                  <c:pt idx="2">
                    <c:v>Q3</c:v>
                  </c:pt>
                  <c:pt idx="3">
                    <c:v>Q4</c:v>
                  </c:pt>
                  <c:pt idx="4">
                    <c:v>Q1</c:v>
                  </c:pt>
                  <c:pt idx="5">
                    <c:v>Q2*</c:v>
                  </c:pt>
                  <c:pt idx="6">
                    <c:v>Q3*</c:v>
                  </c:pt>
                  <c:pt idx="7">
                    <c:v>Q4*</c:v>
                  </c:pt>
                </c:lvl>
                <c:lvl>
                  <c:pt idx="0">
                    <c:v>2022</c:v>
                  </c:pt>
                  <c:pt idx="4">
                    <c:v>2023</c:v>
                  </c:pt>
                </c:lvl>
              </c:multiLvlStrCache>
            </c:multiLvlStrRef>
          </c:cat>
          <c:val>
            <c:numRef>
              <c:f>BDPQ_doprinosi!$S$55:$Z$55</c:f>
              <c:numCache>
                <c:formatCode>General</c:formatCode>
                <c:ptCount val="8"/>
                <c:pt idx="5" formatCode="#.#00">
                  <c:v>1.8</c:v>
                </c:pt>
                <c:pt idx="6" formatCode="#.#00">
                  <c:v>3.4</c:v>
                </c:pt>
                <c:pt idx="7" formatCode="#.#00">
                  <c:v>3.9</c:v>
                </c:pt>
              </c:numCache>
            </c:numRef>
          </c:val>
          <c:extLst>
            <c:ext xmlns:c16="http://schemas.microsoft.com/office/drawing/2014/chart" uri="{C3380CC4-5D6E-409C-BE32-E72D297353CC}">
              <c16:uniqueId val="{00000002-B186-443A-9301-8AD9AF62EC4B}"/>
            </c:ext>
          </c:extLst>
        </c:ser>
        <c:dLbls>
          <c:showLegendKey val="0"/>
          <c:showVal val="0"/>
          <c:showCatName val="0"/>
          <c:showSerName val="0"/>
          <c:showPercent val="0"/>
          <c:showBubbleSize val="0"/>
        </c:dLbls>
        <c:gapWidth val="57"/>
        <c:axId val="1264456384"/>
        <c:axId val="1264448480"/>
      </c:barChart>
      <c:catAx>
        <c:axId val="1011580544"/>
        <c:scaling>
          <c:orientation val="minMax"/>
        </c:scaling>
        <c:delete val="0"/>
        <c:axPos val="b"/>
        <c:numFmt formatCode="General" sourceLinked="1"/>
        <c:majorTickMark val="none"/>
        <c:minorTickMark val="none"/>
        <c:tickLblPos val="nextTo"/>
        <c:spPr>
          <a:noFill/>
          <a:ln w="6350"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011583040"/>
        <c:crosses val="autoZero"/>
        <c:auto val="1"/>
        <c:lblAlgn val="ctr"/>
        <c:lblOffset val="100"/>
        <c:noMultiLvlLbl val="1"/>
      </c:catAx>
      <c:valAx>
        <c:axId val="1011583040"/>
        <c:scaling>
          <c:orientation val="minMax"/>
          <c:max val="5"/>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011580544"/>
        <c:crosses val="autoZero"/>
        <c:crossBetween val="between"/>
        <c:majorUnit val="1"/>
      </c:valAx>
      <c:valAx>
        <c:axId val="1264448480"/>
        <c:scaling>
          <c:orientation val="minMax"/>
          <c:max val="5"/>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64456384"/>
        <c:crosses val="max"/>
        <c:crossBetween val="between"/>
        <c:majorUnit val="1"/>
      </c:valAx>
      <c:catAx>
        <c:axId val="1264456384"/>
        <c:scaling>
          <c:orientation val="minMax"/>
        </c:scaling>
        <c:delete val="1"/>
        <c:axPos val="b"/>
        <c:numFmt formatCode="General" sourceLinked="1"/>
        <c:majorTickMark val="out"/>
        <c:minorTickMark val="none"/>
        <c:tickLblPos val="nextTo"/>
        <c:crossAx val="1264448480"/>
        <c:crosses val="autoZero"/>
        <c:auto val="1"/>
        <c:lblAlgn val="ctr"/>
        <c:lblOffset val="100"/>
        <c:noMultiLvlLbl val="0"/>
      </c:catAx>
      <c:spPr>
        <a:noFill/>
        <a:ln>
          <a:noFill/>
        </a:ln>
        <a:effectLst/>
      </c:spPr>
    </c:plotArea>
    <c:legend>
      <c:legendPos val="b"/>
      <c:layout>
        <c:manualLayout>
          <c:xMode val="edge"/>
          <c:yMode val="edge"/>
          <c:x val="0.11687591134441529"/>
          <c:y val="0.84871687977683063"/>
          <c:w val="0.75105023330417031"/>
          <c:h val="7.9356210268695104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BDP_doprinosi!$R$8</c:f>
              <c:strCache>
                <c:ptCount val="1"/>
                <c:pt idx="0">
                  <c:v>Приватна потрошња</c:v>
                </c:pt>
              </c:strCache>
            </c:strRef>
          </c:tx>
          <c:spPr>
            <a:solidFill>
              <a:srgbClr val="10103C"/>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BDP_doprinosi!$AE$8:$AK$8</c:f>
              <c:numCache>
                <c:formatCode>#.#00</c:formatCode>
                <c:ptCount val="7"/>
                <c:pt idx="0">
                  <c:v>-1.276456005932219</c:v>
                </c:pt>
                <c:pt idx="1">
                  <c:v>5.1644078383781409</c:v>
                </c:pt>
                <c:pt idx="2">
                  <c:v>2.4143109319682265</c:v>
                </c:pt>
                <c:pt idx="3">
                  <c:v>1.7788267935668161</c:v>
                </c:pt>
                <c:pt idx="4">
                  <c:v>2.4112125734409156</c:v>
                </c:pt>
                <c:pt idx="5">
                  <c:v>2.5228742007590328</c:v>
                </c:pt>
                <c:pt idx="6">
                  <c:v>2.5539273973557783</c:v>
                </c:pt>
              </c:numCache>
            </c:numRef>
          </c:val>
          <c:extLst>
            <c:ext xmlns:c16="http://schemas.microsoft.com/office/drawing/2014/chart" uri="{C3380CC4-5D6E-409C-BE32-E72D297353CC}">
              <c16:uniqueId val="{00000000-C82B-4C08-B02F-9A6D8659028B}"/>
            </c:ext>
          </c:extLst>
        </c:ser>
        <c:ser>
          <c:idx val="3"/>
          <c:order val="1"/>
          <c:tx>
            <c:strRef>
              <c:f>BDP_doprinosi!$R$9</c:f>
              <c:strCache>
                <c:ptCount val="1"/>
                <c:pt idx="0">
                  <c:v>Државна потрошња</c:v>
                </c:pt>
              </c:strCache>
            </c:strRef>
          </c:tx>
          <c:spPr>
            <a:solidFill>
              <a:srgbClr val="29489A"/>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BDP_doprinosi!$AE$9:$AK$9</c:f>
              <c:numCache>
                <c:formatCode>#.#00</c:formatCode>
                <c:ptCount val="7"/>
                <c:pt idx="0">
                  <c:v>0.4668109924715052</c:v>
                </c:pt>
                <c:pt idx="1">
                  <c:v>0.72386985247045288</c:v>
                </c:pt>
                <c:pt idx="2">
                  <c:v>3.7973062175956161E-2</c:v>
                </c:pt>
                <c:pt idx="3">
                  <c:v>-0.22332911107114894</c:v>
                </c:pt>
                <c:pt idx="4">
                  <c:v>0.15301083210208796</c:v>
                </c:pt>
                <c:pt idx="5">
                  <c:v>0.11494754178943245</c:v>
                </c:pt>
                <c:pt idx="6">
                  <c:v>0.13363372599474971</c:v>
                </c:pt>
              </c:numCache>
            </c:numRef>
          </c:val>
          <c:extLst>
            <c:ext xmlns:c16="http://schemas.microsoft.com/office/drawing/2014/chart" uri="{C3380CC4-5D6E-409C-BE32-E72D297353CC}">
              <c16:uniqueId val="{00000001-C82B-4C08-B02F-9A6D8659028B}"/>
            </c:ext>
          </c:extLst>
        </c:ser>
        <c:ser>
          <c:idx val="1"/>
          <c:order val="2"/>
          <c:tx>
            <c:strRef>
              <c:f>BDP_doprinosi!$R$10</c:f>
              <c:strCache>
                <c:ptCount val="1"/>
                <c:pt idx="0">
                  <c:v>Инвестиције</c:v>
                </c:pt>
              </c:strCache>
            </c:strRef>
          </c:tx>
          <c:spPr>
            <a:solidFill>
              <a:srgbClr val="2183C4"/>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BDP_doprinosi!$AE$10:$AK$10</c:f>
              <c:numCache>
                <c:formatCode>#.#00</c:formatCode>
                <c:ptCount val="7"/>
                <c:pt idx="0">
                  <c:v>-0.42709983187539963</c:v>
                </c:pt>
                <c:pt idx="1">
                  <c:v>3.4031230334282987</c:v>
                </c:pt>
                <c:pt idx="2">
                  <c:v>-0.13198889505350136</c:v>
                </c:pt>
                <c:pt idx="3">
                  <c:v>0.56689911790192948</c:v>
                </c:pt>
                <c:pt idx="4">
                  <c:v>0.75548922149004305</c:v>
                </c:pt>
                <c:pt idx="5">
                  <c:v>1.3658830357598364</c:v>
                </c:pt>
                <c:pt idx="6">
                  <c:v>1.618797379142852</c:v>
                </c:pt>
              </c:numCache>
            </c:numRef>
          </c:val>
          <c:extLst>
            <c:ext xmlns:c16="http://schemas.microsoft.com/office/drawing/2014/chart" uri="{C3380CC4-5D6E-409C-BE32-E72D297353CC}">
              <c16:uniqueId val="{00000002-C82B-4C08-B02F-9A6D8659028B}"/>
            </c:ext>
          </c:extLst>
        </c:ser>
        <c:ser>
          <c:idx val="0"/>
          <c:order val="3"/>
          <c:tx>
            <c:strRef>
              <c:f>BDP_doprinosi!$R$11</c:f>
              <c:strCache>
                <c:ptCount val="1"/>
                <c:pt idx="0">
                  <c:v>Нето извоз</c:v>
                </c:pt>
              </c:strCache>
            </c:strRef>
          </c:tx>
          <c:spPr>
            <a:solidFill>
              <a:srgbClr val="51BBE7"/>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BDP_doprinosi!$AE$11:$AK$11</c:f>
              <c:numCache>
                <c:formatCode>#.#00</c:formatCode>
                <c:ptCount val="7"/>
                <c:pt idx="0">
                  <c:v>4.8655617295410014E-2</c:v>
                </c:pt>
                <c:pt idx="1">
                  <c:v>-0.5777612705316848</c:v>
                </c:pt>
                <c:pt idx="2">
                  <c:v>-1.4687107861311404</c:v>
                </c:pt>
                <c:pt idx="3">
                  <c:v>9.1515941874291074E-2</c:v>
                </c:pt>
                <c:pt idx="4">
                  <c:v>0.14894555613591745</c:v>
                </c:pt>
                <c:pt idx="5">
                  <c:v>0.17030805318037867</c:v>
                </c:pt>
                <c:pt idx="6">
                  <c:v>0.22592124971270536</c:v>
                </c:pt>
              </c:numCache>
            </c:numRef>
          </c:val>
          <c:extLst>
            <c:ext xmlns:c16="http://schemas.microsoft.com/office/drawing/2014/chart" uri="{C3380CC4-5D6E-409C-BE32-E72D297353CC}">
              <c16:uniqueId val="{00000003-C82B-4C08-B02F-9A6D8659028B}"/>
            </c:ext>
          </c:extLst>
        </c:ser>
        <c:ser>
          <c:idx val="4"/>
          <c:order val="4"/>
          <c:tx>
            <c:strRef>
              <c:f>BDP_doprinosi!$R$12</c:f>
              <c:strCache>
                <c:ptCount val="1"/>
                <c:pt idx="0">
                  <c:v>Промена у залихама</c:v>
                </c:pt>
              </c:strCache>
            </c:strRef>
          </c:tx>
          <c:spPr>
            <a:solidFill>
              <a:srgbClr val="9ED1E6"/>
            </a:solidFill>
            <a:ln>
              <a:noFill/>
            </a:ln>
            <a:effectLst/>
          </c:spPr>
          <c:invertIfNegative val="0"/>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BDP_doprinosi!$AE$12:$AK$12</c:f>
              <c:numCache>
                <c:formatCode>#.#00</c:formatCode>
                <c:ptCount val="7"/>
                <c:pt idx="0">
                  <c:v>0.28486952590482217</c:v>
                </c:pt>
                <c:pt idx="1">
                  <c:v>-1.1637273459474233</c:v>
                </c:pt>
                <c:pt idx="2">
                  <c:v>1.3998635432636903</c:v>
                </c:pt>
                <c:pt idx="3">
                  <c:v>0.23708725772812128</c:v>
                </c:pt>
                <c:pt idx="4">
                  <c:v>-8.6581831689820695E-3</c:v>
                </c:pt>
                <c:pt idx="5">
                  <c:v>-0.12801283148867595</c:v>
                </c:pt>
                <c:pt idx="6">
                  <c:v>-0.28127975220607887</c:v>
                </c:pt>
              </c:numCache>
            </c:numRef>
          </c:val>
          <c:extLst>
            <c:ext xmlns:c16="http://schemas.microsoft.com/office/drawing/2014/chart" uri="{C3380CC4-5D6E-409C-BE32-E72D297353CC}">
              <c16:uniqueId val="{00000004-C82B-4C08-B02F-9A6D8659028B}"/>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dLbl>
              <c:idx val="0"/>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82B-4C08-B02F-9A6D8659028B}"/>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BDP_doprinosi!$AE$6:$AK$6</c:f>
              <c:numCache>
                <c:formatCode>General</c:formatCode>
                <c:ptCount val="7"/>
                <c:pt idx="0">
                  <c:v>2020</c:v>
                </c:pt>
                <c:pt idx="1">
                  <c:v>2021</c:v>
                </c:pt>
                <c:pt idx="2">
                  <c:v>2022</c:v>
                </c:pt>
                <c:pt idx="3">
                  <c:v>2023</c:v>
                </c:pt>
                <c:pt idx="4">
                  <c:v>2024</c:v>
                </c:pt>
                <c:pt idx="5">
                  <c:v>2025</c:v>
                </c:pt>
                <c:pt idx="6">
                  <c:v>2026</c:v>
                </c:pt>
              </c:numCache>
            </c:numRef>
          </c:cat>
          <c:val>
            <c:numRef>
              <c:f>BDP_doprinosi!$AE$13:$AK$13</c:f>
              <c:numCache>
                <c:formatCode>#.#00</c:formatCode>
                <c:ptCount val="7"/>
                <c:pt idx="0">
                  <c:v>-0.90321970213580016</c:v>
                </c:pt>
                <c:pt idx="1">
                  <c:v>7.5499121077977236</c:v>
                </c:pt>
                <c:pt idx="2">
                  <c:v>2.251447856223237</c:v>
                </c:pt>
                <c:pt idx="3">
                  <c:v>2.4500000000000006</c:v>
                </c:pt>
                <c:pt idx="4">
                  <c:v>3.5299999999999958</c:v>
                </c:pt>
                <c:pt idx="5">
                  <c:v>4.0300000000000082</c:v>
                </c:pt>
                <c:pt idx="6">
                  <c:v>4.3</c:v>
                </c:pt>
              </c:numCache>
            </c:numRef>
          </c:val>
          <c:smooth val="0"/>
          <c:extLst>
            <c:ext xmlns:c16="http://schemas.microsoft.com/office/drawing/2014/chart" uri="{C3380CC4-5D6E-409C-BE32-E72D297353CC}">
              <c16:uniqueId val="{00000006-C82B-4C08-B02F-9A6D8659028B}"/>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100"/>
        <c:noMultiLvlLbl val="0"/>
      </c:catAx>
      <c:valAx>
        <c:axId val="1768855072"/>
        <c:scaling>
          <c:orientation val="minMax"/>
          <c:min val="-4"/>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majorUnit val="2"/>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4977957142543807"/>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BDP_doprinosi!$AE$34:$AK$34</c:f>
              <c:numCache>
                <c:formatCode>#.#00</c:formatCode>
                <c:ptCount val="7"/>
                <c:pt idx="0">
                  <c:v>0.138469335745035</c:v>
                </c:pt>
                <c:pt idx="1">
                  <c:v>-0.35981848856476101</c:v>
                </c:pt>
                <c:pt idx="2">
                  <c:v>-0.52167009993496993</c:v>
                </c:pt>
                <c:pt idx="3">
                  <c:v>0.42987482300153451</c:v>
                </c:pt>
                <c:pt idx="4">
                  <c:v>5.6397571530813567E-2</c:v>
                </c:pt>
                <c:pt idx="5">
                  <c:v>0</c:v>
                </c:pt>
                <c:pt idx="6">
                  <c:v>0</c:v>
                </c:pt>
              </c:numCache>
            </c:numRef>
          </c:val>
          <c:extLst>
            <c:ext xmlns:c16="http://schemas.microsoft.com/office/drawing/2014/chart" uri="{C3380CC4-5D6E-409C-BE32-E72D297353CC}">
              <c16:uniqueId val="{00000000-9E4A-4AE8-A317-33A2889F3A0E}"/>
            </c:ext>
          </c:extLst>
        </c:ser>
        <c:ser>
          <c:idx val="1"/>
          <c:order val="1"/>
          <c:tx>
            <c:strRef>
              <c:f>BDP_doprinosi!$R$35</c:f>
              <c:strCache>
                <c:ptCount val="1"/>
                <c:pt idx="0">
                  <c:v>Индустрија</c:v>
                </c:pt>
              </c:strCache>
            </c:strRef>
          </c:tx>
          <c:spPr>
            <a:solidFill>
              <a:srgbClr val="29489A"/>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BDP_doprinosi!$AE$35:$AK$35</c:f>
              <c:numCache>
                <c:formatCode>#.#00</c:formatCode>
                <c:ptCount val="7"/>
                <c:pt idx="0">
                  <c:v>0.10531165255688558</c:v>
                </c:pt>
                <c:pt idx="1">
                  <c:v>1.2275105576497753</c:v>
                </c:pt>
                <c:pt idx="2">
                  <c:v>0.35113010082165297</c:v>
                </c:pt>
                <c:pt idx="3">
                  <c:v>0.42280658153280765</c:v>
                </c:pt>
                <c:pt idx="4">
                  <c:v>0.72481128262767025</c:v>
                </c:pt>
                <c:pt idx="5">
                  <c:v>1.0872169239415055</c:v>
                </c:pt>
                <c:pt idx="6">
                  <c:v>1.115404029377026</c:v>
                </c:pt>
              </c:numCache>
            </c:numRef>
          </c:val>
          <c:extLst>
            <c:ext xmlns:c16="http://schemas.microsoft.com/office/drawing/2014/chart" uri="{C3380CC4-5D6E-409C-BE32-E72D297353CC}">
              <c16:uniqueId val="{00000001-9E4A-4AE8-A317-33A2889F3A0E}"/>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BDP_doprinosi!$AE$36:$AK$36</c:f>
              <c:numCache>
                <c:formatCode>#.#00</c:formatCode>
                <c:ptCount val="7"/>
                <c:pt idx="0">
                  <c:v>-0.18747252948257079</c:v>
                </c:pt>
                <c:pt idx="1">
                  <c:v>0.95949670248185714</c:v>
                </c:pt>
                <c:pt idx="2">
                  <c:v>-0.58732029689570664</c:v>
                </c:pt>
                <c:pt idx="3">
                  <c:v>4.7015975740353377E-2</c:v>
                </c:pt>
                <c:pt idx="4">
                  <c:v>0.28428264401143905</c:v>
                </c:pt>
                <c:pt idx="5">
                  <c:v>0.32255146147451735</c:v>
                </c:pt>
                <c:pt idx="6">
                  <c:v>0.38815514855408018</c:v>
                </c:pt>
              </c:numCache>
            </c:numRef>
          </c:val>
          <c:extLst>
            <c:ext xmlns:c16="http://schemas.microsoft.com/office/drawing/2014/chart" uri="{C3380CC4-5D6E-409C-BE32-E72D297353CC}">
              <c16:uniqueId val="{00000002-9E4A-4AE8-A317-33A2889F3A0E}"/>
            </c:ext>
          </c:extLst>
        </c:ser>
        <c:ser>
          <c:idx val="3"/>
          <c:order val="3"/>
          <c:tx>
            <c:strRef>
              <c:f>BDP_doprinosi!$R$37</c:f>
              <c:strCache>
                <c:ptCount val="1"/>
                <c:pt idx="0">
                  <c:v>Услуге</c:v>
                </c:pt>
              </c:strCache>
            </c:strRef>
          </c:tx>
          <c:spPr>
            <a:solidFill>
              <a:srgbClr val="51BBE7"/>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BDP_doprinosi!$AE$37:$AK$37</c:f>
              <c:numCache>
                <c:formatCode>#.#00</c:formatCode>
                <c:ptCount val="7"/>
                <c:pt idx="0">
                  <c:v>-0.55831807615929374</c:v>
                </c:pt>
                <c:pt idx="1">
                  <c:v>4.3280934358140177</c:v>
                </c:pt>
                <c:pt idx="2">
                  <c:v>2.3060949184206749</c:v>
                </c:pt>
                <c:pt idx="3">
                  <c:v>1.2735944855718304</c:v>
                </c:pt>
                <c:pt idx="4">
                  <c:v>1.9358636180691819</c:v>
                </c:pt>
                <c:pt idx="5">
                  <c:v>2.0377511769149286</c:v>
                </c:pt>
                <c:pt idx="6">
                  <c:v>2.1600162475298244</c:v>
                </c:pt>
              </c:numCache>
            </c:numRef>
          </c:val>
          <c:extLst>
            <c:ext xmlns:c16="http://schemas.microsoft.com/office/drawing/2014/chart" uri="{C3380CC4-5D6E-409C-BE32-E72D297353CC}">
              <c16:uniqueId val="{00000003-9E4A-4AE8-A317-33A2889F3A0E}"/>
            </c:ext>
          </c:extLst>
        </c:ser>
        <c:ser>
          <c:idx val="4"/>
          <c:order val="4"/>
          <c:tx>
            <c:strRef>
              <c:f>BDP_doprinosi!$R$38</c:f>
              <c:strCache>
                <c:ptCount val="1"/>
                <c:pt idx="0">
                  <c:v>Нето порези</c:v>
                </c:pt>
              </c:strCache>
            </c:strRef>
          </c:tx>
          <c:spPr>
            <a:solidFill>
              <a:srgbClr val="9ED1E6"/>
            </a:solidFill>
            <a:ln>
              <a:noFill/>
            </a:ln>
            <a:effectLst/>
          </c:spPr>
          <c:invertIfNegative val="0"/>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BDP_doprinosi!$AE$38:$AK$38</c:f>
              <c:numCache>
                <c:formatCode>#.#00</c:formatCode>
                <c:ptCount val="7"/>
                <c:pt idx="0">
                  <c:v>-0.40121008479588849</c:v>
                </c:pt>
                <c:pt idx="1">
                  <c:v>1.3946299004168881</c:v>
                </c:pt>
                <c:pt idx="2">
                  <c:v>0.70321323381155765</c:v>
                </c:pt>
                <c:pt idx="3">
                  <c:v>0.33690838031734011</c:v>
                </c:pt>
                <c:pt idx="4">
                  <c:v>0.50880041109149321</c:v>
                </c:pt>
                <c:pt idx="5">
                  <c:v>0.51567609232245937</c:v>
                </c:pt>
                <c:pt idx="6">
                  <c:v>0.59130858586308677</c:v>
                </c:pt>
              </c:numCache>
            </c:numRef>
          </c:val>
          <c:extLst>
            <c:ext xmlns:c16="http://schemas.microsoft.com/office/drawing/2014/chart" uri="{C3380CC4-5D6E-409C-BE32-E72D297353CC}">
              <c16:uniqueId val="{00000004-9E4A-4AE8-A317-33A2889F3A0E}"/>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dLbl>
              <c:idx val="0"/>
              <c:layout>
                <c:manualLayout>
                  <c:x val="-6.6898148148148151E-2"/>
                  <c:y val="5.15497823206511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E4A-4AE8-A317-33A2889F3A0E}"/>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BDP_doprinosi!$AE$33:$AK$33</c:f>
              <c:numCache>
                <c:formatCode>General</c:formatCode>
                <c:ptCount val="7"/>
                <c:pt idx="0">
                  <c:v>2020</c:v>
                </c:pt>
                <c:pt idx="1">
                  <c:v>2021</c:v>
                </c:pt>
                <c:pt idx="2">
                  <c:v>2022</c:v>
                </c:pt>
                <c:pt idx="3">
                  <c:v>2023</c:v>
                </c:pt>
                <c:pt idx="4">
                  <c:v>2024</c:v>
                </c:pt>
                <c:pt idx="5">
                  <c:v>2025</c:v>
                </c:pt>
                <c:pt idx="6">
                  <c:v>2026</c:v>
                </c:pt>
              </c:numCache>
            </c:numRef>
          </c:cat>
          <c:val>
            <c:numRef>
              <c:f>BDP_doprinosi!$AE$39:$AK$39</c:f>
              <c:numCache>
                <c:formatCode>#.#00</c:formatCode>
                <c:ptCount val="7"/>
                <c:pt idx="0">
                  <c:v>-0.90321970213587122</c:v>
                </c:pt>
                <c:pt idx="1">
                  <c:v>7.5499121077977662</c:v>
                </c:pt>
                <c:pt idx="2">
                  <c:v>2.2514478562232227</c:v>
                </c:pt>
                <c:pt idx="3">
                  <c:v>2.5102002461638659</c:v>
                </c:pt>
                <c:pt idx="4">
                  <c:v>3.510155527330598</c:v>
                </c:pt>
                <c:pt idx="5">
                  <c:v>3.9631956546534108</c:v>
                </c:pt>
                <c:pt idx="6">
                  <c:v>4.2548840113240169</c:v>
                </c:pt>
              </c:numCache>
            </c:numRef>
          </c:val>
          <c:smooth val="0"/>
          <c:extLst>
            <c:ext xmlns:c16="http://schemas.microsoft.com/office/drawing/2014/chart" uri="{C3380CC4-5D6E-409C-BE32-E72D297353CC}">
              <c16:uniqueId val="{00000006-9E4A-4AE8-A317-33A2889F3A0E}"/>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100"/>
        <c:noMultiLvlLbl val="0"/>
      </c:catAx>
      <c:valAx>
        <c:axId val="1768858336"/>
        <c:scaling>
          <c:orientation val="minMax"/>
          <c:max val="8"/>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0"/>
          <c:y val="0.81850771439085435"/>
          <c:w val="0.96826844561096526"/>
          <c:h val="0.1785230188844778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4217259528330458E-2"/>
          <c:y val="6.7551982074010614E-2"/>
          <c:w val="0.91156548094333911"/>
          <c:h val="0.82429264255212753"/>
        </c:manualLayout>
      </c:layout>
      <c:areaChart>
        <c:grouping val="stacked"/>
        <c:varyColors val="0"/>
        <c:ser>
          <c:idx val="0"/>
          <c:order val="1"/>
          <c:tx>
            <c:strRef>
              <c:f>'fan chart srbija'!$G$4</c:f>
              <c:strCache>
                <c:ptCount val="1"/>
                <c:pt idx="0">
                  <c:v>dno</c:v>
                </c:pt>
              </c:strCache>
            </c:strRef>
          </c:tx>
          <c:spPr>
            <a:noFill/>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srbija'!$G$8:$G$15</c:f>
              <c:numCache>
                <c:formatCode>#.#00</c:formatCode>
                <c:ptCount val="8"/>
                <c:pt idx="0">
                  <c:v>4.3</c:v>
                </c:pt>
                <c:pt idx="1">
                  <c:v>-0.9</c:v>
                </c:pt>
                <c:pt idx="2">
                  <c:v>7.5</c:v>
                </c:pt>
                <c:pt idx="3">
                  <c:v>2.2000000000000002</c:v>
                </c:pt>
                <c:pt idx="4">
                  <c:v>0.5</c:v>
                </c:pt>
                <c:pt idx="5">
                  <c:v>0.75</c:v>
                </c:pt>
                <c:pt idx="6">
                  <c:v>1.25</c:v>
                </c:pt>
                <c:pt idx="7">
                  <c:v>1.3</c:v>
                </c:pt>
              </c:numCache>
            </c:numRef>
          </c:val>
          <c:extLst>
            <c:ext xmlns:c16="http://schemas.microsoft.com/office/drawing/2014/chart" uri="{C3380CC4-5D6E-409C-BE32-E72D297353CC}">
              <c16:uniqueId val="{00000000-DC01-4E21-AFD0-F3EC0E45AD7B}"/>
            </c:ext>
          </c:extLst>
        </c:ser>
        <c:ser>
          <c:idx val="2"/>
          <c:order val="2"/>
          <c:tx>
            <c:strRef>
              <c:f>'fan chart srbija'!$H$4</c:f>
              <c:strCache>
                <c:ptCount val="1"/>
                <c:pt idx="0">
                  <c:v>90</c:v>
                </c:pt>
              </c:strCache>
            </c:strRef>
          </c:tx>
          <c:spPr>
            <a:solidFill>
              <a:srgbClr val="FFF1F1"/>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srbija'!$H$8:$H$15</c:f>
              <c:numCache>
                <c:formatCode>#.#00</c:formatCode>
                <c:ptCount val="8"/>
                <c:pt idx="0">
                  <c:v>0</c:v>
                </c:pt>
                <c:pt idx="1">
                  <c:v>0</c:v>
                </c:pt>
                <c:pt idx="2">
                  <c:v>0</c:v>
                </c:pt>
                <c:pt idx="3">
                  <c:v>0.1</c:v>
                </c:pt>
                <c:pt idx="4">
                  <c:v>0.7</c:v>
                </c:pt>
                <c:pt idx="5">
                  <c:v>0.9</c:v>
                </c:pt>
                <c:pt idx="6">
                  <c:v>0.8</c:v>
                </c:pt>
                <c:pt idx="7">
                  <c:v>1</c:v>
                </c:pt>
              </c:numCache>
            </c:numRef>
          </c:val>
          <c:extLst>
            <c:ext xmlns:c16="http://schemas.microsoft.com/office/drawing/2014/chart" uri="{C3380CC4-5D6E-409C-BE32-E72D297353CC}">
              <c16:uniqueId val="{00000001-DC01-4E21-AFD0-F3EC0E45AD7B}"/>
            </c:ext>
          </c:extLst>
        </c:ser>
        <c:ser>
          <c:idx val="3"/>
          <c:order val="3"/>
          <c:tx>
            <c:strRef>
              <c:f>'fan chart srbija'!$I$4</c:f>
              <c:strCache>
                <c:ptCount val="1"/>
                <c:pt idx="0">
                  <c:v>80</c:v>
                </c:pt>
              </c:strCache>
            </c:strRef>
          </c:tx>
          <c:spPr>
            <a:solidFill>
              <a:srgbClr val="FFD5D5"/>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srbija'!$I$8:$I$15</c:f>
              <c:numCache>
                <c:formatCode>#.#00</c:formatCode>
                <c:ptCount val="8"/>
                <c:pt idx="0">
                  <c:v>0</c:v>
                </c:pt>
                <c:pt idx="1">
                  <c:v>0</c:v>
                </c:pt>
                <c:pt idx="2">
                  <c:v>0</c:v>
                </c:pt>
                <c:pt idx="3">
                  <c:v>0</c:v>
                </c:pt>
                <c:pt idx="4">
                  <c:v>0.5</c:v>
                </c:pt>
                <c:pt idx="5">
                  <c:v>0.8</c:v>
                </c:pt>
                <c:pt idx="6">
                  <c:v>0.7</c:v>
                </c:pt>
                <c:pt idx="7">
                  <c:v>0.8</c:v>
                </c:pt>
              </c:numCache>
            </c:numRef>
          </c:val>
          <c:extLst>
            <c:ext xmlns:c16="http://schemas.microsoft.com/office/drawing/2014/chart" uri="{C3380CC4-5D6E-409C-BE32-E72D297353CC}">
              <c16:uniqueId val="{00000002-DC01-4E21-AFD0-F3EC0E45AD7B}"/>
            </c:ext>
          </c:extLst>
        </c:ser>
        <c:ser>
          <c:idx val="4"/>
          <c:order val="4"/>
          <c:tx>
            <c:strRef>
              <c:f>'fan chart srbija'!$J$4</c:f>
              <c:strCache>
                <c:ptCount val="1"/>
                <c:pt idx="0">
                  <c:v>70</c:v>
                </c:pt>
              </c:strCache>
            </c:strRef>
          </c:tx>
          <c:spPr>
            <a:solidFill>
              <a:srgbClr val="FFAFAF"/>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srbija'!$J$8:$J$15</c:f>
              <c:numCache>
                <c:formatCode>#.#00</c:formatCode>
                <c:ptCount val="8"/>
                <c:pt idx="0">
                  <c:v>0</c:v>
                </c:pt>
                <c:pt idx="1">
                  <c:v>0</c:v>
                </c:pt>
                <c:pt idx="2">
                  <c:v>0</c:v>
                </c:pt>
                <c:pt idx="3">
                  <c:v>0</c:v>
                </c:pt>
                <c:pt idx="4">
                  <c:v>0</c:v>
                </c:pt>
                <c:pt idx="5">
                  <c:v>0.3</c:v>
                </c:pt>
                <c:pt idx="6">
                  <c:v>0.4</c:v>
                </c:pt>
                <c:pt idx="7">
                  <c:v>0.5</c:v>
                </c:pt>
              </c:numCache>
            </c:numRef>
          </c:val>
          <c:extLst>
            <c:ext xmlns:c16="http://schemas.microsoft.com/office/drawing/2014/chart" uri="{C3380CC4-5D6E-409C-BE32-E72D297353CC}">
              <c16:uniqueId val="{00000003-DC01-4E21-AFD0-F3EC0E45AD7B}"/>
            </c:ext>
          </c:extLst>
        </c:ser>
        <c:ser>
          <c:idx val="5"/>
          <c:order val="5"/>
          <c:tx>
            <c:strRef>
              <c:f>'fan chart srbija'!$K$4</c:f>
              <c:strCache>
                <c:ptCount val="1"/>
                <c:pt idx="0">
                  <c:v>60</c:v>
                </c:pt>
              </c:strCache>
            </c:strRef>
          </c:tx>
          <c:spPr>
            <a:solidFill>
              <a:srgbClr val="FF7D7D"/>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srbija'!$K$8:$K$15</c:f>
              <c:numCache>
                <c:formatCode>#.#00</c:formatCode>
                <c:ptCount val="8"/>
                <c:pt idx="0">
                  <c:v>0</c:v>
                </c:pt>
                <c:pt idx="1">
                  <c:v>0</c:v>
                </c:pt>
                <c:pt idx="2">
                  <c:v>0</c:v>
                </c:pt>
                <c:pt idx="3">
                  <c:v>0</c:v>
                </c:pt>
                <c:pt idx="4">
                  <c:v>0.2</c:v>
                </c:pt>
                <c:pt idx="5">
                  <c:v>0.1</c:v>
                </c:pt>
                <c:pt idx="6">
                  <c:v>0.2</c:v>
                </c:pt>
                <c:pt idx="7">
                  <c:v>0.2</c:v>
                </c:pt>
              </c:numCache>
            </c:numRef>
          </c:val>
          <c:extLst>
            <c:ext xmlns:c16="http://schemas.microsoft.com/office/drawing/2014/chart" uri="{C3380CC4-5D6E-409C-BE32-E72D297353CC}">
              <c16:uniqueId val="{00000004-DC01-4E21-AFD0-F3EC0E45AD7B}"/>
            </c:ext>
          </c:extLst>
        </c:ser>
        <c:ser>
          <c:idx val="6"/>
          <c:order val="6"/>
          <c:tx>
            <c:strRef>
              <c:f>'fan chart srbija'!$L$4</c:f>
              <c:strCache>
                <c:ptCount val="1"/>
                <c:pt idx="0">
                  <c:v>50</c:v>
                </c:pt>
              </c:strCache>
            </c:strRef>
          </c:tx>
          <c:spPr>
            <a:solidFill>
              <a:srgbClr val="FF4747"/>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srbija'!$L$8:$L$15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5-DC01-4E21-AFD0-F3EC0E45AD7B}"/>
            </c:ext>
          </c:extLst>
        </c:ser>
        <c:ser>
          <c:idx val="7"/>
          <c:order val="7"/>
          <c:tx>
            <c:strRef>
              <c:f>'fan chart srbija'!$M$4</c:f>
              <c:strCache>
                <c:ptCount val="1"/>
                <c:pt idx="0">
                  <c:v>40</c:v>
                </c:pt>
              </c:strCache>
            </c:strRef>
          </c:tx>
          <c:spPr>
            <a:solidFill>
              <a:srgbClr val="C0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srbija'!$M$8:$M$15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6-DC01-4E21-AFD0-F3EC0E45AD7B}"/>
            </c:ext>
          </c:extLst>
        </c:ser>
        <c:ser>
          <c:idx val="8"/>
          <c:order val="8"/>
          <c:tx>
            <c:strRef>
              <c:f>'fan chart srbija'!$N$4</c:f>
              <c:strCache>
                <c:ptCount val="1"/>
                <c:pt idx="0">
                  <c:v>30</c:v>
                </c:pt>
              </c:strCache>
            </c:strRef>
          </c:tx>
          <c:spPr>
            <a:solidFill>
              <a:srgbClr val="74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srbija'!$N$8:$N$15</c:f>
              <c:numCache>
                <c:formatCode>#.#00</c:formatCode>
                <c:ptCount val="8"/>
                <c:pt idx="0">
                  <c:v>0</c:v>
                </c:pt>
                <c:pt idx="1">
                  <c:v>0</c:v>
                </c:pt>
                <c:pt idx="2">
                  <c:v>0</c:v>
                </c:pt>
                <c:pt idx="3">
                  <c:v>0</c:v>
                </c:pt>
                <c:pt idx="4">
                  <c:v>0.14755070574747364</c:v>
                </c:pt>
                <c:pt idx="5">
                  <c:v>0.1</c:v>
                </c:pt>
                <c:pt idx="6">
                  <c:v>0.1</c:v>
                </c:pt>
                <c:pt idx="7">
                  <c:v>0.1</c:v>
                </c:pt>
              </c:numCache>
            </c:numRef>
          </c:val>
          <c:extLst>
            <c:ext xmlns:c16="http://schemas.microsoft.com/office/drawing/2014/chart" uri="{C3380CC4-5D6E-409C-BE32-E72D297353CC}">
              <c16:uniqueId val="{00000007-DC01-4E21-AFD0-F3EC0E45AD7B}"/>
            </c:ext>
          </c:extLst>
        </c:ser>
        <c:ser>
          <c:idx val="9"/>
          <c:order val="9"/>
          <c:tx>
            <c:strRef>
              <c:f>'fan chart srbija'!$O$4</c:f>
              <c:strCache>
                <c:ptCount val="1"/>
                <c:pt idx="0">
                  <c:v>20</c:v>
                </c:pt>
              </c:strCache>
            </c:strRef>
          </c:tx>
          <c:spPr>
            <a:solidFill>
              <a:srgbClr val="46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srbija'!$O$8:$O$15</c:f>
              <c:numCache>
                <c:formatCode>#.#00</c:formatCode>
                <c:ptCount val="8"/>
                <c:pt idx="0">
                  <c:v>0</c:v>
                </c:pt>
                <c:pt idx="1">
                  <c:v>0</c:v>
                </c:pt>
                <c:pt idx="2">
                  <c:v>0</c:v>
                </c:pt>
                <c:pt idx="3">
                  <c:v>0</c:v>
                </c:pt>
                <c:pt idx="4">
                  <c:v>0.14275701540108665</c:v>
                </c:pt>
                <c:pt idx="5">
                  <c:v>0.1</c:v>
                </c:pt>
                <c:pt idx="6">
                  <c:v>0.1</c:v>
                </c:pt>
                <c:pt idx="7">
                  <c:v>0.1</c:v>
                </c:pt>
              </c:numCache>
            </c:numRef>
          </c:val>
          <c:extLst>
            <c:ext xmlns:c16="http://schemas.microsoft.com/office/drawing/2014/chart" uri="{C3380CC4-5D6E-409C-BE32-E72D297353CC}">
              <c16:uniqueId val="{00000008-DC01-4E21-AFD0-F3EC0E45AD7B}"/>
            </c:ext>
          </c:extLst>
        </c:ser>
        <c:ser>
          <c:idx val="10"/>
          <c:order val="10"/>
          <c:tx>
            <c:strRef>
              <c:f>'fan chart srbija'!$P$4</c:f>
              <c:strCache>
                <c:ptCount val="1"/>
                <c:pt idx="0">
                  <c:v>10</c:v>
                </c:pt>
              </c:strCache>
            </c:strRef>
          </c:tx>
          <c:spPr>
            <a:solidFill>
              <a:srgbClr val="14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srbija'!$P$8:$P$15</c:f>
              <c:numCache>
                <c:formatCode>#.#00</c:formatCode>
                <c:ptCount val="8"/>
                <c:pt idx="0">
                  <c:v>0</c:v>
                </c:pt>
                <c:pt idx="1">
                  <c:v>0</c:v>
                </c:pt>
                <c:pt idx="2">
                  <c:v>0</c:v>
                </c:pt>
                <c:pt idx="3">
                  <c:v>0</c:v>
                </c:pt>
                <c:pt idx="4">
                  <c:v>0.14049365685606263</c:v>
                </c:pt>
                <c:pt idx="5">
                  <c:v>0.1</c:v>
                </c:pt>
                <c:pt idx="6">
                  <c:v>0.1</c:v>
                </c:pt>
                <c:pt idx="7">
                  <c:v>0.1</c:v>
                </c:pt>
              </c:numCache>
            </c:numRef>
          </c:val>
          <c:extLst>
            <c:ext xmlns:c16="http://schemas.microsoft.com/office/drawing/2014/chart" uri="{C3380CC4-5D6E-409C-BE32-E72D297353CC}">
              <c16:uniqueId val="{00000009-DC01-4E21-AFD0-F3EC0E45AD7B}"/>
            </c:ext>
          </c:extLst>
        </c:ser>
        <c:ser>
          <c:idx val="11"/>
          <c:order val="11"/>
          <c:tx>
            <c:strRef>
              <c:f>'fan chart srbija'!$Q$4</c:f>
              <c:strCache>
                <c:ptCount val="1"/>
                <c:pt idx="0">
                  <c:v>10</c:v>
                </c:pt>
              </c:strCache>
            </c:strRef>
          </c:tx>
          <c:spPr>
            <a:solidFill>
              <a:srgbClr val="14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srbija'!$Q$8:$Q$15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A-DC01-4E21-AFD0-F3EC0E45AD7B}"/>
            </c:ext>
          </c:extLst>
        </c:ser>
        <c:ser>
          <c:idx val="12"/>
          <c:order val="12"/>
          <c:tx>
            <c:strRef>
              <c:f>'fan chart srbija'!$R$4</c:f>
              <c:strCache>
                <c:ptCount val="1"/>
                <c:pt idx="0">
                  <c:v>20</c:v>
                </c:pt>
              </c:strCache>
            </c:strRef>
          </c:tx>
          <c:spPr>
            <a:solidFill>
              <a:srgbClr val="46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srbija'!$R$8:$R$15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B-DC01-4E21-AFD0-F3EC0E45AD7B}"/>
            </c:ext>
          </c:extLst>
        </c:ser>
        <c:ser>
          <c:idx val="13"/>
          <c:order val="13"/>
          <c:tx>
            <c:strRef>
              <c:f>'fan chart srbija'!$S$4</c:f>
              <c:strCache>
                <c:ptCount val="1"/>
                <c:pt idx="0">
                  <c:v>30</c:v>
                </c:pt>
              </c:strCache>
            </c:strRef>
          </c:tx>
          <c:spPr>
            <a:solidFill>
              <a:srgbClr val="74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srbija'!$S$8:$S$15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C-DC01-4E21-AFD0-F3EC0E45AD7B}"/>
            </c:ext>
          </c:extLst>
        </c:ser>
        <c:ser>
          <c:idx val="14"/>
          <c:order val="14"/>
          <c:tx>
            <c:strRef>
              <c:f>'fan chart srbija'!$T$4</c:f>
              <c:strCache>
                <c:ptCount val="1"/>
                <c:pt idx="0">
                  <c:v>40</c:v>
                </c:pt>
              </c:strCache>
            </c:strRef>
          </c:tx>
          <c:spPr>
            <a:solidFill>
              <a:srgbClr val="C00000"/>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srbija'!$T$8:$T$15</c:f>
              <c:numCache>
                <c:formatCode>#.#00</c:formatCode>
                <c:ptCount val="8"/>
                <c:pt idx="0">
                  <c:v>0</c:v>
                </c:pt>
                <c:pt idx="1">
                  <c:v>0</c:v>
                </c:pt>
                <c:pt idx="2">
                  <c:v>0</c:v>
                </c:pt>
                <c:pt idx="3">
                  <c:v>0</c:v>
                </c:pt>
                <c:pt idx="4">
                  <c:v>0.1</c:v>
                </c:pt>
                <c:pt idx="5">
                  <c:v>0.1</c:v>
                </c:pt>
                <c:pt idx="6">
                  <c:v>0.1</c:v>
                </c:pt>
                <c:pt idx="7">
                  <c:v>0.1</c:v>
                </c:pt>
              </c:numCache>
            </c:numRef>
          </c:val>
          <c:extLst>
            <c:ext xmlns:c16="http://schemas.microsoft.com/office/drawing/2014/chart" uri="{C3380CC4-5D6E-409C-BE32-E72D297353CC}">
              <c16:uniqueId val="{0000000D-DC01-4E21-AFD0-F3EC0E45AD7B}"/>
            </c:ext>
          </c:extLst>
        </c:ser>
        <c:ser>
          <c:idx val="15"/>
          <c:order val="15"/>
          <c:tx>
            <c:strRef>
              <c:f>'fan chart srbija'!$U$4</c:f>
              <c:strCache>
                <c:ptCount val="1"/>
                <c:pt idx="0">
                  <c:v>50</c:v>
                </c:pt>
              </c:strCache>
            </c:strRef>
          </c:tx>
          <c:spPr>
            <a:solidFill>
              <a:srgbClr val="FF4747"/>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srbija'!$U$8:$U$15</c:f>
              <c:numCache>
                <c:formatCode>#.#00</c:formatCode>
                <c:ptCount val="8"/>
                <c:pt idx="0">
                  <c:v>0</c:v>
                </c:pt>
                <c:pt idx="1">
                  <c:v>0</c:v>
                </c:pt>
                <c:pt idx="2">
                  <c:v>0</c:v>
                </c:pt>
                <c:pt idx="3">
                  <c:v>0</c:v>
                </c:pt>
                <c:pt idx="4">
                  <c:v>0.1</c:v>
                </c:pt>
                <c:pt idx="5">
                  <c:v>0.2</c:v>
                </c:pt>
                <c:pt idx="6">
                  <c:v>0.1</c:v>
                </c:pt>
                <c:pt idx="7">
                  <c:v>0.1</c:v>
                </c:pt>
              </c:numCache>
            </c:numRef>
          </c:val>
          <c:extLst>
            <c:ext xmlns:c16="http://schemas.microsoft.com/office/drawing/2014/chart" uri="{C3380CC4-5D6E-409C-BE32-E72D297353CC}">
              <c16:uniqueId val="{0000000E-DC01-4E21-AFD0-F3EC0E45AD7B}"/>
            </c:ext>
          </c:extLst>
        </c:ser>
        <c:ser>
          <c:idx val="16"/>
          <c:order val="16"/>
          <c:tx>
            <c:strRef>
              <c:f>'fan chart srbija'!$V$4</c:f>
              <c:strCache>
                <c:ptCount val="1"/>
                <c:pt idx="0">
                  <c:v>60</c:v>
                </c:pt>
              </c:strCache>
            </c:strRef>
          </c:tx>
          <c:spPr>
            <a:solidFill>
              <a:srgbClr val="FF7D7D"/>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srbija'!$V$8:$V$15</c:f>
              <c:numCache>
                <c:formatCode>#.#00</c:formatCode>
                <c:ptCount val="8"/>
                <c:pt idx="0">
                  <c:v>0</c:v>
                </c:pt>
                <c:pt idx="1">
                  <c:v>0</c:v>
                </c:pt>
                <c:pt idx="2">
                  <c:v>0</c:v>
                </c:pt>
                <c:pt idx="3">
                  <c:v>0</c:v>
                </c:pt>
                <c:pt idx="4">
                  <c:v>0.1</c:v>
                </c:pt>
                <c:pt idx="5">
                  <c:v>0.3</c:v>
                </c:pt>
                <c:pt idx="6">
                  <c:v>0.2</c:v>
                </c:pt>
                <c:pt idx="7">
                  <c:v>0.2</c:v>
                </c:pt>
              </c:numCache>
            </c:numRef>
          </c:val>
          <c:extLst>
            <c:ext xmlns:c16="http://schemas.microsoft.com/office/drawing/2014/chart" uri="{C3380CC4-5D6E-409C-BE32-E72D297353CC}">
              <c16:uniqueId val="{0000000F-DC01-4E21-AFD0-F3EC0E45AD7B}"/>
            </c:ext>
          </c:extLst>
        </c:ser>
        <c:ser>
          <c:idx val="17"/>
          <c:order val="17"/>
          <c:tx>
            <c:strRef>
              <c:f>'fan chart srbija'!$W$4</c:f>
              <c:strCache>
                <c:ptCount val="1"/>
                <c:pt idx="0">
                  <c:v>70</c:v>
                </c:pt>
              </c:strCache>
            </c:strRef>
          </c:tx>
          <c:spPr>
            <a:solidFill>
              <a:srgbClr val="FFAFAF"/>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srbija'!$W$8:$W$15</c:f>
              <c:numCache>
                <c:formatCode>#.#00</c:formatCode>
                <c:ptCount val="8"/>
                <c:pt idx="0">
                  <c:v>0</c:v>
                </c:pt>
                <c:pt idx="1">
                  <c:v>0</c:v>
                </c:pt>
                <c:pt idx="2">
                  <c:v>0</c:v>
                </c:pt>
                <c:pt idx="3">
                  <c:v>0</c:v>
                </c:pt>
                <c:pt idx="4">
                  <c:v>0.2</c:v>
                </c:pt>
                <c:pt idx="5">
                  <c:v>0.3</c:v>
                </c:pt>
                <c:pt idx="6">
                  <c:v>0.4</c:v>
                </c:pt>
                <c:pt idx="7">
                  <c:v>0.5</c:v>
                </c:pt>
              </c:numCache>
            </c:numRef>
          </c:val>
          <c:extLst>
            <c:ext xmlns:c16="http://schemas.microsoft.com/office/drawing/2014/chart" uri="{C3380CC4-5D6E-409C-BE32-E72D297353CC}">
              <c16:uniqueId val="{00000010-DC01-4E21-AFD0-F3EC0E45AD7B}"/>
            </c:ext>
          </c:extLst>
        </c:ser>
        <c:ser>
          <c:idx val="18"/>
          <c:order val="18"/>
          <c:tx>
            <c:strRef>
              <c:f>'fan chart srbija'!$X$4</c:f>
              <c:strCache>
                <c:ptCount val="1"/>
                <c:pt idx="0">
                  <c:v>80</c:v>
                </c:pt>
              </c:strCache>
            </c:strRef>
          </c:tx>
          <c:spPr>
            <a:solidFill>
              <a:srgbClr val="FFD5D5"/>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srbija'!$X$8:$X$15</c:f>
              <c:numCache>
                <c:formatCode>#.#00</c:formatCode>
                <c:ptCount val="8"/>
                <c:pt idx="0">
                  <c:v>0</c:v>
                </c:pt>
                <c:pt idx="1">
                  <c:v>0</c:v>
                </c:pt>
                <c:pt idx="2">
                  <c:v>0</c:v>
                </c:pt>
                <c:pt idx="3">
                  <c:v>0</c:v>
                </c:pt>
                <c:pt idx="4">
                  <c:v>0.3</c:v>
                </c:pt>
                <c:pt idx="5">
                  <c:v>0.5</c:v>
                </c:pt>
                <c:pt idx="6">
                  <c:v>0.6</c:v>
                </c:pt>
                <c:pt idx="7">
                  <c:v>0.8</c:v>
                </c:pt>
              </c:numCache>
            </c:numRef>
          </c:val>
          <c:extLst>
            <c:ext xmlns:c16="http://schemas.microsoft.com/office/drawing/2014/chart" uri="{C3380CC4-5D6E-409C-BE32-E72D297353CC}">
              <c16:uniqueId val="{00000011-DC01-4E21-AFD0-F3EC0E45AD7B}"/>
            </c:ext>
          </c:extLst>
        </c:ser>
        <c:ser>
          <c:idx val="19"/>
          <c:order val="19"/>
          <c:tx>
            <c:strRef>
              <c:f>'fan chart srbija'!$Y$4</c:f>
              <c:strCache>
                <c:ptCount val="1"/>
                <c:pt idx="0">
                  <c:v>90</c:v>
                </c:pt>
              </c:strCache>
            </c:strRef>
          </c:tx>
          <c:spPr>
            <a:solidFill>
              <a:srgbClr val="FFF1F1"/>
            </a:solidFill>
            <a:ln w="25400">
              <a:noFill/>
            </a:ln>
          </c:spP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srbija'!$Y$8:$Y$15</c:f>
              <c:numCache>
                <c:formatCode>#.#00</c:formatCode>
                <c:ptCount val="8"/>
                <c:pt idx="0">
                  <c:v>0</c:v>
                </c:pt>
                <c:pt idx="1">
                  <c:v>0</c:v>
                </c:pt>
                <c:pt idx="2">
                  <c:v>0</c:v>
                </c:pt>
                <c:pt idx="3">
                  <c:v>0.1</c:v>
                </c:pt>
                <c:pt idx="4">
                  <c:v>0.5</c:v>
                </c:pt>
                <c:pt idx="5">
                  <c:v>0.8</c:v>
                </c:pt>
                <c:pt idx="6">
                  <c:v>0.8</c:v>
                </c:pt>
                <c:pt idx="7">
                  <c:v>1</c:v>
                </c:pt>
              </c:numCache>
            </c:numRef>
          </c:val>
          <c:extLst>
            <c:ext xmlns:c16="http://schemas.microsoft.com/office/drawing/2014/chart" uri="{C3380CC4-5D6E-409C-BE32-E72D297353CC}">
              <c16:uniqueId val="{00000012-DC01-4E21-AFD0-F3EC0E45AD7B}"/>
            </c:ext>
          </c:extLst>
        </c:ser>
        <c:dLbls>
          <c:showLegendKey val="0"/>
          <c:showVal val="0"/>
          <c:showCatName val="0"/>
          <c:showSerName val="0"/>
          <c:showPercent val="0"/>
          <c:showBubbleSize val="0"/>
        </c:dLbls>
        <c:axId val="1761020848"/>
        <c:axId val="1761011056"/>
      </c:areaChart>
      <c:lineChart>
        <c:grouping val="standard"/>
        <c:varyColors val="0"/>
        <c:ser>
          <c:idx val="1"/>
          <c:order val="0"/>
          <c:tx>
            <c:strRef>
              <c:f>'fan chart srbija'!$F$4</c:f>
              <c:strCache>
                <c:ptCount val="1"/>
                <c:pt idx="0">
                  <c:v>srednja</c:v>
                </c:pt>
              </c:strCache>
            </c:strRef>
          </c:tx>
          <c:spPr>
            <a:ln w="19050">
              <a:solidFill>
                <a:sysClr val="windowText" lastClr="000000"/>
              </a:solidFill>
            </a:ln>
          </c:spPr>
          <c:marker>
            <c:symbol val="none"/>
          </c:marker>
          <c:cat>
            <c:strRef>
              <c:f>'fan chart srbija'!$E$8:$E$15</c:f>
              <c:strCache>
                <c:ptCount val="8"/>
                <c:pt idx="0">
                  <c:v>2019</c:v>
                </c:pt>
                <c:pt idx="1">
                  <c:v>2020</c:v>
                </c:pt>
                <c:pt idx="2">
                  <c:v>2021</c:v>
                </c:pt>
                <c:pt idx="3">
                  <c:v>2022</c:v>
                </c:pt>
                <c:pt idx="4">
                  <c:v>2023</c:v>
                </c:pt>
                <c:pt idx="5">
                  <c:v>2024</c:v>
                </c:pt>
                <c:pt idx="6">
                  <c:v>2025</c:v>
                </c:pt>
                <c:pt idx="7">
                  <c:v>2026</c:v>
                </c:pt>
              </c:strCache>
            </c:strRef>
          </c:cat>
          <c:val>
            <c:numRef>
              <c:f>'fan chart srbija'!$F$8:$F$15</c:f>
              <c:numCache>
                <c:formatCode>#.#00</c:formatCode>
                <c:ptCount val="8"/>
                <c:pt idx="0">
                  <c:v>4.3</c:v>
                </c:pt>
                <c:pt idx="1">
                  <c:v>-0.9</c:v>
                </c:pt>
                <c:pt idx="2">
                  <c:v>7.5</c:v>
                </c:pt>
                <c:pt idx="3">
                  <c:v>2.2999999999999998</c:v>
                </c:pt>
                <c:pt idx="4">
                  <c:v>2.5</c:v>
                </c:pt>
                <c:pt idx="5">
                  <c:v>3.5</c:v>
                </c:pt>
                <c:pt idx="6">
                  <c:v>4</c:v>
                </c:pt>
                <c:pt idx="7">
                  <c:v>4.3</c:v>
                </c:pt>
              </c:numCache>
            </c:numRef>
          </c:val>
          <c:smooth val="0"/>
          <c:extLst>
            <c:ext xmlns:c16="http://schemas.microsoft.com/office/drawing/2014/chart" uri="{C3380CC4-5D6E-409C-BE32-E72D297353CC}">
              <c16:uniqueId val="{00000013-DC01-4E21-AFD0-F3EC0E45AD7B}"/>
            </c:ext>
          </c:extLst>
        </c:ser>
        <c:dLbls>
          <c:showLegendKey val="0"/>
          <c:showVal val="0"/>
          <c:showCatName val="0"/>
          <c:showSerName val="0"/>
          <c:showPercent val="0"/>
          <c:showBubbleSize val="0"/>
        </c:dLbls>
        <c:marker val="1"/>
        <c:smooth val="0"/>
        <c:axId val="1761020848"/>
        <c:axId val="1761011056"/>
      </c:lineChart>
      <c:catAx>
        <c:axId val="1761020848"/>
        <c:scaling>
          <c:orientation val="minMax"/>
        </c:scaling>
        <c:delete val="0"/>
        <c:axPos val="b"/>
        <c:numFmt formatCode="General" sourceLinked="1"/>
        <c:majorTickMark val="none"/>
        <c:minorTickMark val="none"/>
        <c:tickLblPos val="low"/>
        <c:spPr>
          <a:ln w="6350">
            <a:solidFill>
              <a:srgbClr val="898989"/>
            </a:solidFill>
          </a:ln>
        </c:spPr>
        <c:txPr>
          <a:bodyPr rot="0" vert="horz"/>
          <a:lstStyle/>
          <a:p>
            <a:pPr>
              <a:defRPr>
                <a:solidFill>
                  <a:schemeClr val="tx2"/>
                </a:solidFill>
              </a:defRPr>
            </a:pPr>
            <a:endParaRPr lang="sr-Latn-RS"/>
          </a:p>
        </c:txPr>
        <c:crossAx val="1761011056"/>
        <c:crosses val="autoZero"/>
        <c:auto val="1"/>
        <c:lblAlgn val="ctr"/>
        <c:lblOffset val="100"/>
        <c:tickLblSkip val="1"/>
        <c:noMultiLvlLbl val="0"/>
      </c:catAx>
      <c:valAx>
        <c:axId val="1761011056"/>
        <c:scaling>
          <c:orientation val="minMax"/>
          <c:max val="9"/>
          <c:min val="-2"/>
        </c:scaling>
        <c:delete val="0"/>
        <c:axPos val="l"/>
        <c:numFmt formatCode="0" sourceLinked="0"/>
        <c:majorTickMark val="none"/>
        <c:minorTickMark val="none"/>
        <c:tickLblPos val="nextTo"/>
        <c:spPr>
          <a:ln w="12700">
            <a:noFill/>
          </a:ln>
        </c:spPr>
        <c:txPr>
          <a:bodyPr rot="0" vert="horz"/>
          <a:lstStyle/>
          <a:p>
            <a:pPr>
              <a:defRPr>
                <a:solidFill>
                  <a:schemeClr val="tx2"/>
                </a:solidFill>
              </a:defRPr>
            </a:pPr>
            <a:endParaRPr lang="sr-Latn-RS"/>
          </a:p>
        </c:txPr>
        <c:crossAx val="1761020848"/>
        <c:crosses val="autoZero"/>
        <c:crossBetween val="midCat"/>
        <c:majorUnit val="2"/>
      </c:valAx>
      <c:spPr>
        <a:noFill/>
        <a:ln>
          <a:noFill/>
        </a:ln>
      </c:spPr>
    </c:plotArea>
    <c:plotVisOnly val="1"/>
    <c:dispBlanksAs val="gap"/>
    <c:showDLblsOverMax val="0"/>
  </c:chart>
  <c:spPr>
    <a:noFill/>
    <a:ln w="9525">
      <a:noFill/>
    </a:ln>
  </c:spPr>
  <c:txPr>
    <a:bodyPr/>
    <a:lstStyle/>
    <a:p>
      <a:pPr>
        <a:defRPr sz="750" b="0" i="0" u="none" strike="noStrike" baseline="0">
          <a:solidFill>
            <a:schemeClr val="tx2"/>
          </a:solidFill>
          <a:latin typeface="+mn-lt"/>
          <a:ea typeface="Calibri"/>
          <a:cs typeface="Calibri"/>
        </a:defRPr>
      </a:pPr>
      <a:endParaRPr lang="sr-Latn-RS"/>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890798861412E-2"/>
          <c:y val="0.12259765625000001"/>
          <c:w val="0.90740810185185183"/>
          <c:h val="0.55332899305555561"/>
        </c:manualLayout>
      </c:layout>
      <c:barChart>
        <c:barDir val="col"/>
        <c:grouping val="stacked"/>
        <c:varyColors val="0"/>
        <c:ser>
          <c:idx val="2"/>
          <c:order val="1"/>
          <c:tx>
            <c:strRef>
              <c:f>'nepoljoprivredni BDP'!$D$5</c:f>
              <c:strCache>
                <c:ptCount val="1"/>
                <c:pt idx="0">
                  <c:v>Допринос фактора рада, п.п.</c:v>
                </c:pt>
              </c:strCache>
            </c:strRef>
          </c:tx>
          <c:spPr>
            <a:solidFill>
              <a:srgbClr val="10103C"/>
            </a:solidFill>
            <a:ln>
              <a:noFill/>
            </a:ln>
            <a:effectLst/>
          </c:spPr>
          <c:invertIfNegative val="0"/>
          <c:cat>
            <c:numRef>
              <c:f>'nepoljoprivredni BDP'!$B$11:$B$17</c:f>
              <c:numCache>
                <c:formatCode>General</c:formatCode>
                <c:ptCount val="7"/>
                <c:pt idx="0">
                  <c:v>2020</c:v>
                </c:pt>
                <c:pt idx="1">
                  <c:v>2021</c:v>
                </c:pt>
                <c:pt idx="2">
                  <c:v>2022</c:v>
                </c:pt>
                <c:pt idx="3">
                  <c:v>2023</c:v>
                </c:pt>
                <c:pt idx="4">
                  <c:v>2024</c:v>
                </c:pt>
                <c:pt idx="5">
                  <c:v>2025</c:v>
                </c:pt>
                <c:pt idx="6">
                  <c:v>2026</c:v>
                </c:pt>
              </c:numCache>
            </c:numRef>
          </c:cat>
          <c:val>
            <c:numRef>
              <c:f>'nepoljoprivredni BDP'!$D$11:$D$17</c:f>
              <c:numCache>
                <c:formatCode>#.#00</c:formatCode>
                <c:ptCount val="7"/>
                <c:pt idx="0">
                  <c:v>1.1242598022776884</c:v>
                </c:pt>
                <c:pt idx="1">
                  <c:v>1.0175759324396527</c:v>
                </c:pt>
                <c:pt idx="2">
                  <c:v>0.70596112753339213</c:v>
                </c:pt>
                <c:pt idx="3">
                  <c:v>0.92166092390758692</c:v>
                </c:pt>
                <c:pt idx="4">
                  <c:v>0.96245201967982696</c:v>
                </c:pt>
                <c:pt idx="5">
                  <c:v>0.87882786820316139</c:v>
                </c:pt>
                <c:pt idx="6">
                  <c:v>0.82355778634196752</c:v>
                </c:pt>
              </c:numCache>
            </c:numRef>
          </c:val>
          <c:extLst>
            <c:ext xmlns:c16="http://schemas.microsoft.com/office/drawing/2014/chart" uri="{C3380CC4-5D6E-409C-BE32-E72D297353CC}">
              <c16:uniqueId val="{00000000-3E01-4E22-A76F-E2AB10DA5407}"/>
            </c:ext>
          </c:extLst>
        </c:ser>
        <c:ser>
          <c:idx val="1"/>
          <c:order val="2"/>
          <c:tx>
            <c:strRef>
              <c:f>'nepoljoprivredni BDP'!$E$5</c:f>
              <c:strCache>
                <c:ptCount val="1"/>
                <c:pt idx="0">
                  <c:v>Допринос капитала, п.п.</c:v>
                </c:pt>
              </c:strCache>
            </c:strRef>
          </c:tx>
          <c:spPr>
            <a:solidFill>
              <a:srgbClr val="29489A"/>
            </a:solidFill>
            <a:ln>
              <a:noFill/>
            </a:ln>
            <a:effectLst/>
          </c:spPr>
          <c:invertIfNegative val="0"/>
          <c:cat>
            <c:numRef>
              <c:f>'nepoljoprivredni BDP'!$B$11:$B$17</c:f>
              <c:numCache>
                <c:formatCode>General</c:formatCode>
                <c:ptCount val="7"/>
                <c:pt idx="0">
                  <c:v>2020</c:v>
                </c:pt>
                <c:pt idx="1">
                  <c:v>2021</c:v>
                </c:pt>
                <c:pt idx="2">
                  <c:v>2022</c:v>
                </c:pt>
                <c:pt idx="3">
                  <c:v>2023</c:v>
                </c:pt>
                <c:pt idx="4">
                  <c:v>2024</c:v>
                </c:pt>
                <c:pt idx="5">
                  <c:v>2025</c:v>
                </c:pt>
                <c:pt idx="6">
                  <c:v>2026</c:v>
                </c:pt>
              </c:numCache>
            </c:numRef>
          </c:cat>
          <c:val>
            <c:numRef>
              <c:f>'nepoljoprivredni BDP'!$E$11:$E$17</c:f>
              <c:numCache>
                <c:formatCode>#.#00</c:formatCode>
                <c:ptCount val="7"/>
                <c:pt idx="0">
                  <c:v>1.2520403410443093</c:v>
                </c:pt>
                <c:pt idx="1">
                  <c:v>1.7094420925119269</c:v>
                </c:pt>
                <c:pt idx="2">
                  <c:v>1.484499789187731</c:v>
                </c:pt>
                <c:pt idx="3">
                  <c:v>1.4124778292940918</c:v>
                </c:pt>
                <c:pt idx="4">
                  <c:v>1.3803076949611635</c:v>
                </c:pt>
                <c:pt idx="5">
                  <c:v>1.4512571428644738</c:v>
                </c:pt>
                <c:pt idx="6">
                  <c:v>1.5542905318753206</c:v>
                </c:pt>
              </c:numCache>
            </c:numRef>
          </c:val>
          <c:extLst>
            <c:ext xmlns:c16="http://schemas.microsoft.com/office/drawing/2014/chart" uri="{C3380CC4-5D6E-409C-BE32-E72D297353CC}">
              <c16:uniqueId val="{00000001-3E01-4E22-A76F-E2AB10DA5407}"/>
            </c:ext>
          </c:extLst>
        </c:ser>
        <c:ser>
          <c:idx val="3"/>
          <c:order val="3"/>
          <c:tx>
            <c:strRef>
              <c:f>'nepoljoprivredni BDP'!$F$5</c:f>
              <c:strCache>
                <c:ptCount val="1"/>
                <c:pt idx="0">
                  <c:v>ТФП, п.п.</c:v>
                </c:pt>
              </c:strCache>
            </c:strRef>
          </c:tx>
          <c:spPr>
            <a:solidFill>
              <a:srgbClr val="51BBE7"/>
            </a:solidFill>
            <a:ln>
              <a:noFill/>
            </a:ln>
            <a:effectLst/>
          </c:spPr>
          <c:invertIfNegative val="0"/>
          <c:cat>
            <c:numRef>
              <c:f>'nepoljoprivredni BDP'!$B$11:$B$17</c:f>
              <c:numCache>
                <c:formatCode>General</c:formatCode>
                <c:ptCount val="7"/>
                <c:pt idx="0">
                  <c:v>2020</c:v>
                </c:pt>
                <c:pt idx="1">
                  <c:v>2021</c:v>
                </c:pt>
                <c:pt idx="2">
                  <c:v>2022</c:v>
                </c:pt>
                <c:pt idx="3">
                  <c:v>2023</c:v>
                </c:pt>
                <c:pt idx="4">
                  <c:v>2024</c:v>
                </c:pt>
                <c:pt idx="5">
                  <c:v>2025</c:v>
                </c:pt>
                <c:pt idx="6">
                  <c:v>2026</c:v>
                </c:pt>
              </c:numCache>
            </c:numRef>
          </c:cat>
          <c:val>
            <c:numRef>
              <c:f>'nepoljoprivredni BDP'!$F$11:$F$17</c:f>
              <c:numCache>
                <c:formatCode>#.#00</c:formatCode>
                <c:ptCount val="7"/>
                <c:pt idx="0">
                  <c:v>0.91156043051123703</c:v>
                </c:pt>
                <c:pt idx="1">
                  <c:v>0.66483744675676992</c:v>
                </c:pt>
                <c:pt idx="2">
                  <c:v>1.2153546298593587</c:v>
                </c:pt>
                <c:pt idx="3">
                  <c:v>1.0982163524538813</c:v>
                </c:pt>
                <c:pt idx="4">
                  <c:v>1.2246931462213175</c:v>
                </c:pt>
                <c:pt idx="5">
                  <c:v>1.43070031482218</c:v>
                </c:pt>
                <c:pt idx="6">
                  <c:v>1.5548609376255929</c:v>
                </c:pt>
              </c:numCache>
            </c:numRef>
          </c:val>
          <c:extLst>
            <c:ext xmlns:c16="http://schemas.microsoft.com/office/drawing/2014/chart" uri="{C3380CC4-5D6E-409C-BE32-E72D297353CC}">
              <c16:uniqueId val="{00000002-3E01-4E22-A76F-E2AB10DA5407}"/>
            </c:ext>
          </c:extLst>
        </c:ser>
        <c:dLbls>
          <c:showLegendKey val="0"/>
          <c:showVal val="0"/>
          <c:showCatName val="0"/>
          <c:showSerName val="0"/>
          <c:showPercent val="0"/>
          <c:showBubbleSize val="0"/>
        </c:dLbls>
        <c:gapWidth val="60"/>
        <c:overlap val="100"/>
        <c:axId val="1961428144"/>
        <c:axId val="1961437392"/>
      </c:barChart>
      <c:lineChart>
        <c:grouping val="standard"/>
        <c:varyColors val="0"/>
        <c:ser>
          <c:idx val="0"/>
          <c:order val="0"/>
          <c:tx>
            <c:strRef>
              <c:f>'nepoljoprivredni BDP'!$C$5</c:f>
              <c:strCache>
                <c:ptCount val="1"/>
                <c:pt idx="0">
                  <c:v>Раст потенцијалног БДП, %</c:v>
                </c:pt>
              </c:strCache>
            </c:strRef>
          </c:tx>
          <c:spPr>
            <a:ln w="28575" cap="rnd">
              <a:solidFill>
                <a:srgbClr val="FF0000"/>
              </a:solidFill>
              <a:round/>
            </a:ln>
            <a:effectLst/>
          </c:spPr>
          <c:marker>
            <c:symbol val="none"/>
          </c:marker>
          <c:dLbls>
            <c:dLbl>
              <c:idx val="6"/>
              <c:tx>
                <c:rich>
                  <a:bodyPr/>
                  <a:lstStyle/>
                  <a:p>
                    <a:r>
                      <a:rPr lang="en-US"/>
                      <a:t>4.0</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29F9-4BB1-BFC6-3D99AC9D2BBF}"/>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'nepoljoprivredni BDP'!$B$11:$B$17</c:f>
              <c:numCache>
                <c:formatCode>General</c:formatCode>
                <c:ptCount val="7"/>
                <c:pt idx="0">
                  <c:v>2020</c:v>
                </c:pt>
                <c:pt idx="1">
                  <c:v>2021</c:v>
                </c:pt>
                <c:pt idx="2">
                  <c:v>2022</c:v>
                </c:pt>
                <c:pt idx="3">
                  <c:v>2023</c:v>
                </c:pt>
                <c:pt idx="4">
                  <c:v>2024</c:v>
                </c:pt>
                <c:pt idx="5">
                  <c:v>2025</c:v>
                </c:pt>
                <c:pt idx="6">
                  <c:v>2026</c:v>
                </c:pt>
              </c:numCache>
            </c:numRef>
          </c:cat>
          <c:val>
            <c:numRef>
              <c:f>'nepoljoprivredni BDP'!$C$11:$C$17</c:f>
              <c:numCache>
                <c:formatCode>#.#00</c:formatCode>
                <c:ptCount val="7"/>
                <c:pt idx="0">
                  <c:v>3.2878605738332345</c:v>
                </c:pt>
                <c:pt idx="1">
                  <c:v>3.3918554717083493</c:v>
                </c:pt>
                <c:pt idx="2">
                  <c:v>3.4058155465804818</c:v>
                </c:pt>
                <c:pt idx="3">
                  <c:v>3.4323551056555601</c:v>
                </c:pt>
                <c:pt idx="4">
                  <c:v>3.567452860862308</c:v>
                </c:pt>
                <c:pt idx="5">
                  <c:v>3.760785325889815</c:v>
                </c:pt>
                <c:pt idx="6">
                  <c:v>3.9327092558428811</c:v>
                </c:pt>
              </c:numCache>
            </c:numRef>
          </c:val>
          <c:smooth val="0"/>
          <c:extLst>
            <c:ext xmlns:c16="http://schemas.microsoft.com/office/drawing/2014/chart" uri="{C3380CC4-5D6E-409C-BE32-E72D297353CC}">
              <c16:uniqueId val="{00000003-3E01-4E22-A76F-E2AB10DA5407}"/>
            </c:ext>
          </c:extLst>
        </c:ser>
        <c:dLbls>
          <c:showLegendKey val="0"/>
          <c:showVal val="0"/>
          <c:showCatName val="0"/>
          <c:showSerName val="0"/>
          <c:showPercent val="0"/>
          <c:showBubbleSize val="0"/>
        </c:dLbls>
        <c:marker val="1"/>
        <c:smooth val="0"/>
        <c:axId val="1961428144"/>
        <c:axId val="1961437392"/>
      </c:lineChart>
      <c:catAx>
        <c:axId val="196142814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37392"/>
        <c:crossesAt val="0"/>
        <c:auto val="1"/>
        <c:lblAlgn val="ctr"/>
        <c:lblOffset val="100"/>
        <c:noMultiLvlLbl val="0"/>
      </c:catAx>
      <c:valAx>
        <c:axId val="1961437392"/>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28144"/>
        <c:crosses val="autoZero"/>
        <c:crossBetween val="between"/>
        <c:majorUnit val="1"/>
        <c:minorUnit val="0.2"/>
      </c:valAx>
      <c:spPr>
        <a:noFill/>
        <a:ln>
          <a:noFill/>
        </a:ln>
        <a:effectLst/>
      </c:spPr>
    </c:plotArea>
    <c:legend>
      <c:legendPos val="b"/>
      <c:layout>
        <c:manualLayout>
          <c:xMode val="edge"/>
          <c:yMode val="edge"/>
          <c:x val="1.4346234889652889E-3"/>
          <c:y val="0.79209678819444451"/>
          <c:w val="0.99827437063324831"/>
          <c:h val="0.1944487847222222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79862933799949E-2"/>
          <c:y val="9.8260956915078204E-2"/>
          <c:w val="0.92629337999416761"/>
          <c:h val="0.72096111111111116"/>
        </c:manualLayout>
      </c:layout>
      <c:barChart>
        <c:barDir val="col"/>
        <c:grouping val="clustered"/>
        <c:varyColors val="0"/>
        <c:ser>
          <c:idx val="0"/>
          <c:order val="0"/>
          <c:spPr>
            <a:solidFill>
              <a:srgbClr val="29489A"/>
            </a:solidFill>
            <a:ln>
              <a:noFill/>
            </a:ln>
            <a:effectLst/>
          </c:spPr>
          <c:invertIfNegative val="0"/>
          <c:dLbls>
            <c:dLbl>
              <c:idx val="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339-457E-A661-57A19A69E322}"/>
                </c:ext>
              </c:extLst>
            </c:dLbl>
            <c:dLbl>
              <c:idx val="1"/>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339-457E-A661-57A19A69E322}"/>
                </c:ext>
              </c:extLst>
            </c:dLbl>
            <c:dLbl>
              <c:idx val="2"/>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339-457E-A661-57A19A69E322}"/>
                </c:ext>
              </c:extLst>
            </c:dLbl>
            <c:dLbl>
              <c:idx val="3"/>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339-457E-A661-57A19A69E322}"/>
                </c:ext>
              </c:extLst>
            </c:dLbl>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rada'!$T$39:$U$64</c:f>
              <c:multiLvlStrCache>
                <c:ptCount val="26"/>
                <c:lvl>
                  <c:pt idx="0">
                    <c:v>I</c:v>
                  </c:pt>
                  <c:pt idx="1">
                    <c:v>II</c:v>
                  </c:pt>
                  <c:pt idx="2">
                    <c:v>III</c:v>
                  </c:pt>
                  <c:pt idx="3">
                    <c:v>IV</c:v>
                  </c:pt>
                  <c:pt idx="4">
                    <c:v>I</c:v>
                  </c:pt>
                  <c:pt idx="5">
                    <c:v>II</c:v>
                  </c:pt>
                  <c:pt idx="6">
                    <c:v>III</c:v>
                  </c:pt>
                  <c:pt idx="7">
                    <c:v>IV</c:v>
                  </c:pt>
                  <c:pt idx="8">
                    <c:v> </c:v>
                  </c:pt>
                  <c:pt idx="9">
                    <c:v>I</c:v>
                  </c:pt>
                  <c:pt idx="10">
                    <c:v>II</c:v>
                  </c:pt>
                  <c:pt idx="11">
                    <c:v>III</c:v>
                  </c:pt>
                  <c:pt idx="12">
                    <c:v>IV</c:v>
                  </c:pt>
                  <c:pt idx="13">
                    <c:v>I</c:v>
                  </c:pt>
                  <c:pt idx="14">
                    <c:v>II</c:v>
                  </c:pt>
                  <c:pt idx="15">
                    <c:v>III</c:v>
                  </c:pt>
                  <c:pt idx="16">
                    <c:v>IV</c:v>
                  </c:pt>
                  <c:pt idx="17">
                    <c:v> </c:v>
                  </c:pt>
                  <c:pt idx="18">
                    <c:v>I</c:v>
                  </c:pt>
                  <c:pt idx="19">
                    <c:v>II</c:v>
                  </c:pt>
                  <c:pt idx="20">
                    <c:v>III</c:v>
                  </c:pt>
                  <c:pt idx="21">
                    <c:v>IV</c:v>
                  </c:pt>
                  <c:pt idx="22">
                    <c:v>I</c:v>
                  </c:pt>
                  <c:pt idx="23">
                    <c:v>II</c:v>
                  </c:pt>
                  <c:pt idx="24">
                    <c:v>III</c:v>
                  </c:pt>
                  <c:pt idx="25">
                    <c:v>IV</c:v>
                  </c:pt>
                </c:lvl>
                <c:lvl>
                  <c:pt idx="0">
                    <c:v>2021</c:v>
                  </c:pt>
                  <c:pt idx="4">
                    <c:v>2022</c:v>
                  </c:pt>
                  <c:pt idx="8">
                    <c:v> </c:v>
                  </c:pt>
                  <c:pt idx="9">
                    <c:v>2021</c:v>
                  </c:pt>
                  <c:pt idx="13">
                    <c:v>2022</c:v>
                  </c:pt>
                  <c:pt idx="17">
                    <c:v> </c:v>
                  </c:pt>
                  <c:pt idx="18">
                    <c:v>2021</c:v>
                  </c:pt>
                  <c:pt idx="22">
                    <c:v>2022</c:v>
                  </c:pt>
                </c:lvl>
              </c:multiLvlStrCache>
            </c:multiLvlStrRef>
          </c:cat>
          <c:val>
            <c:numRef>
              <c:f>'Trziste rada'!$V$39:$V$64</c:f>
              <c:numCache>
                <c:formatCode>#.#00%</c:formatCode>
                <c:ptCount val="26"/>
                <c:pt idx="0">
                  <c:v>0.128</c:v>
                </c:pt>
                <c:pt idx="1">
                  <c:v>0.111</c:v>
                </c:pt>
                <c:pt idx="2">
                  <c:v>0.105</c:v>
                </c:pt>
                <c:pt idx="3">
                  <c:v>9.8000000000000004E-2</c:v>
                </c:pt>
                <c:pt idx="9">
                  <c:v>0.46300000000000002</c:v>
                </c:pt>
                <c:pt idx="10">
                  <c:v>0.48299999999999998</c:v>
                </c:pt>
                <c:pt idx="11">
                  <c:v>0.5</c:v>
                </c:pt>
                <c:pt idx="12">
                  <c:v>0.5</c:v>
                </c:pt>
                <c:pt idx="18">
                  <c:v>0.46899999999999997</c:v>
                </c:pt>
                <c:pt idx="19">
                  <c:v>0.45700000000000002</c:v>
                </c:pt>
                <c:pt idx="20">
                  <c:v>0.442</c:v>
                </c:pt>
                <c:pt idx="21">
                  <c:v>0.44600000000000001</c:v>
                </c:pt>
              </c:numCache>
            </c:numRef>
          </c:val>
          <c:extLst>
            <c:ext xmlns:c16="http://schemas.microsoft.com/office/drawing/2014/chart" uri="{C3380CC4-5D6E-409C-BE32-E72D297353CC}">
              <c16:uniqueId val="{00000004-1339-457E-A661-57A19A69E322}"/>
            </c:ext>
          </c:extLst>
        </c:ser>
        <c:dLbls>
          <c:showLegendKey val="0"/>
          <c:showVal val="0"/>
          <c:showCatName val="0"/>
          <c:showSerName val="0"/>
          <c:showPercent val="0"/>
          <c:showBubbleSize val="0"/>
        </c:dLbls>
        <c:gapWidth val="14"/>
        <c:overlap val="-27"/>
        <c:axId val="961497464"/>
        <c:axId val="961498448"/>
      </c:barChart>
      <c:barChart>
        <c:barDir val="col"/>
        <c:grouping val="clustered"/>
        <c:varyColors val="0"/>
        <c:ser>
          <c:idx val="1"/>
          <c:order val="1"/>
          <c:spPr>
            <a:solidFill>
              <a:srgbClr val="FF0000"/>
            </a:solidFill>
            <a:ln>
              <a:noFill/>
            </a:ln>
            <a:effectLst/>
          </c:spPr>
          <c:invertIfNegative val="0"/>
          <c:dLbls>
            <c:dLbl>
              <c:idx val="4"/>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339-457E-A661-57A19A69E322}"/>
                </c:ext>
              </c:extLst>
            </c:dLbl>
            <c:dLbl>
              <c:idx val="5"/>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339-457E-A661-57A19A69E322}"/>
                </c:ext>
              </c:extLst>
            </c:dLbl>
            <c:dLbl>
              <c:idx val="6"/>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339-457E-A661-57A19A69E322}"/>
                </c:ext>
              </c:extLst>
            </c:dLbl>
            <c:dLbl>
              <c:idx val="7"/>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339-457E-A661-57A19A69E322}"/>
                </c:ext>
              </c:extLst>
            </c:dLbl>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rada'!$T$39:$U$64</c:f>
              <c:multiLvlStrCache>
                <c:ptCount val="26"/>
                <c:lvl>
                  <c:pt idx="0">
                    <c:v>I</c:v>
                  </c:pt>
                  <c:pt idx="1">
                    <c:v>II</c:v>
                  </c:pt>
                  <c:pt idx="2">
                    <c:v>III</c:v>
                  </c:pt>
                  <c:pt idx="3">
                    <c:v>IV</c:v>
                  </c:pt>
                  <c:pt idx="4">
                    <c:v>I</c:v>
                  </c:pt>
                  <c:pt idx="5">
                    <c:v>II</c:v>
                  </c:pt>
                  <c:pt idx="6">
                    <c:v>III</c:v>
                  </c:pt>
                  <c:pt idx="7">
                    <c:v>IV</c:v>
                  </c:pt>
                  <c:pt idx="8">
                    <c:v> </c:v>
                  </c:pt>
                  <c:pt idx="9">
                    <c:v>I</c:v>
                  </c:pt>
                  <c:pt idx="10">
                    <c:v>II</c:v>
                  </c:pt>
                  <c:pt idx="11">
                    <c:v>III</c:v>
                  </c:pt>
                  <c:pt idx="12">
                    <c:v>IV</c:v>
                  </c:pt>
                  <c:pt idx="13">
                    <c:v>I</c:v>
                  </c:pt>
                  <c:pt idx="14">
                    <c:v>II</c:v>
                  </c:pt>
                  <c:pt idx="15">
                    <c:v>III</c:v>
                  </c:pt>
                  <c:pt idx="16">
                    <c:v>IV</c:v>
                  </c:pt>
                  <c:pt idx="17">
                    <c:v> </c:v>
                  </c:pt>
                  <c:pt idx="18">
                    <c:v>I</c:v>
                  </c:pt>
                  <c:pt idx="19">
                    <c:v>II</c:v>
                  </c:pt>
                  <c:pt idx="20">
                    <c:v>III</c:v>
                  </c:pt>
                  <c:pt idx="21">
                    <c:v>IV</c:v>
                  </c:pt>
                  <c:pt idx="22">
                    <c:v>I</c:v>
                  </c:pt>
                  <c:pt idx="23">
                    <c:v>II</c:v>
                  </c:pt>
                  <c:pt idx="24">
                    <c:v>III</c:v>
                  </c:pt>
                  <c:pt idx="25">
                    <c:v>IV</c:v>
                  </c:pt>
                </c:lvl>
                <c:lvl>
                  <c:pt idx="0">
                    <c:v>2021</c:v>
                  </c:pt>
                  <c:pt idx="4">
                    <c:v>2022</c:v>
                  </c:pt>
                  <c:pt idx="8">
                    <c:v> </c:v>
                  </c:pt>
                  <c:pt idx="9">
                    <c:v>2021</c:v>
                  </c:pt>
                  <c:pt idx="13">
                    <c:v>2022</c:v>
                  </c:pt>
                  <c:pt idx="17">
                    <c:v> </c:v>
                  </c:pt>
                  <c:pt idx="18">
                    <c:v>2021</c:v>
                  </c:pt>
                  <c:pt idx="22">
                    <c:v>2022</c:v>
                  </c:pt>
                </c:lvl>
              </c:multiLvlStrCache>
            </c:multiLvlStrRef>
          </c:cat>
          <c:val>
            <c:numRef>
              <c:f>'Trziste rada'!$W$39:$W$64</c:f>
              <c:numCache>
                <c:formatCode>General</c:formatCode>
                <c:ptCount val="26"/>
                <c:pt idx="4" formatCode="#.#00%">
                  <c:v>0.106</c:v>
                </c:pt>
                <c:pt idx="5" formatCode="#.#00%">
                  <c:v>8.8999999999999996E-2</c:v>
                </c:pt>
                <c:pt idx="6" formatCode="#.#00%">
                  <c:v>8.8999999999999996E-2</c:v>
                </c:pt>
                <c:pt idx="7" formatCode="#.#00%">
                  <c:v>9.1546638153342977E-2</c:v>
                </c:pt>
                <c:pt idx="13" formatCode="#.#00%">
                  <c:v>0.49299999999999999</c:v>
                </c:pt>
                <c:pt idx="14" formatCode="#.#00%">
                  <c:v>0.50900000000000001</c:v>
                </c:pt>
                <c:pt idx="15" formatCode="#.#00%">
                  <c:v>0.50800000000000001</c:v>
                </c:pt>
                <c:pt idx="16" formatCode="#.#00%">
                  <c:v>0.50065860168463383</c:v>
                </c:pt>
                <c:pt idx="22" formatCode="#.#00%">
                  <c:v>0.44800000000000001</c:v>
                </c:pt>
                <c:pt idx="23" formatCode="#.#00%">
                  <c:v>0.442</c:v>
                </c:pt>
                <c:pt idx="24" formatCode="#.#00%">
                  <c:v>0.442</c:v>
                </c:pt>
                <c:pt idx="25" formatCode="#.#00%">
                  <c:v>0.44900000000000001</c:v>
                </c:pt>
              </c:numCache>
            </c:numRef>
          </c:val>
          <c:extLst>
            <c:ext xmlns:c16="http://schemas.microsoft.com/office/drawing/2014/chart" uri="{C3380CC4-5D6E-409C-BE32-E72D297353CC}">
              <c16:uniqueId val="{00000009-1339-457E-A661-57A19A69E322}"/>
            </c:ext>
          </c:extLst>
        </c:ser>
        <c:dLbls>
          <c:showLegendKey val="0"/>
          <c:showVal val="0"/>
          <c:showCatName val="0"/>
          <c:showSerName val="0"/>
          <c:showPercent val="0"/>
          <c:showBubbleSize val="0"/>
        </c:dLbls>
        <c:gapWidth val="14"/>
        <c:overlap val="-27"/>
        <c:axId val="1025104512"/>
        <c:axId val="1025106808"/>
      </c:barChart>
      <c:lineChart>
        <c:grouping val="standard"/>
        <c:varyColors val="0"/>
        <c:ser>
          <c:idx val="2"/>
          <c:order val="2"/>
          <c:spPr>
            <a:ln w="28575" cap="rnd">
              <a:noFill/>
              <a:round/>
            </a:ln>
            <a:effectLst/>
          </c:spPr>
          <c:marker>
            <c:symbol val="none"/>
          </c:marker>
          <c:dLbls>
            <c:dLbl>
              <c:idx val="0"/>
              <c:tx>
                <c:rich>
                  <a:bodyPr/>
                  <a:lstStyle/>
                  <a:p>
                    <a:fld id="{6C5E0361-6ADF-4A92-811D-1923D8D53E85}"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1339-457E-A661-57A19A69E322}"/>
                </c:ext>
              </c:extLst>
            </c:dLbl>
            <c:dLbl>
              <c:idx val="1"/>
              <c:tx>
                <c:rich>
                  <a:bodyPr/>
                  <a:lstStyle/>
                  <a:p>
                    <a:fld id="{CFFB0774-7494-419C-BA7A-84EE46A21E63}"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339-457E-A661-57A19A69E322}"/>
                </c:ext>
              </c:extLst>
            </c:dLbl>
            <c:dLbl>
              <c:idx val="2"/>
              <c:tx>
                <c:rich>
                  <a:bodyPr/>
                  <a:lstStyle/>
                  <a:p>
                    <a:fld id="{47BF05E0-291F-4BD8-A3C9-4D1AE3C9E25C}"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1339-457E-A661-57A19A69E322}"/>
                </c:ext>
              </c:extLst>
            </c:dLbl>
            <c:dLbl>
              <c:idx val="3"/>
              <c:tx>
                <c:rich>
                  <a:bodyPr/>
                  <a:lstStyle/>
                  <a:p>
                    <a:fld id="{4B658AFC-05EC-48B6-B1B9-76CAF18D2FB7}"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1339-457E-A661-57A19A69E322}"/>
                </c:ext>
              </c:extLst>
            </c:dLbl>
            <c:dLbl>
              <c:idx val="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1339-457E-A661-57A19A69E322}"/>
                </c:ext>
              </c:extLst>
            </c:dLbl>
            <c:dLbl>
              <c:idx val="5"/>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1339-457E-A661-57A19A69E322}"/>
                </c:ext>
              </c:extLst>
            </c:dLbl>
            <c:dLbl>
              <c:idx val="6"/>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0-1339-457E-A661-57A19A69E322}"/>
                </c:ext>
              </c:extLst>
            </c:dLbl>
            <c:dLbl>
              <c:idx val="7"/>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1339-457E-A661-57A19A69E322}"/>
                </c:ext>
              </c:extLst>
            </c:dLbl>
            <c:dLbl>
              <c:idx val="8"/>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1339-457E-A661-57A19A69E322}"/>
                </c:ext>
              </c:extLst>
            </c:dLbl>
            <c:dLbl>
              <c:idx val="9"/>
              <c:tx>
                <c:rich>
                  <a:bodyPr/>
                  <a:lstStyle/>
                  <a:p>
                    <a:fld id="{D6881DEF-2AC4-4D18-A09B-3ADA8E05CB22}"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3-1339-457E-A661-57A19A69E322}"/>
                </c:ext>
              </c:extLst>
            </c:dLbl>
            <c:dLbl>
              <c:idx val="10"/>
              <c:tx>
                <c:rich>
                  <a:bodyPr/>
                  <a:lstStyle/>
                  <a:p>
                    <a:fld id="{18F889D5-4BD5-49BB-B0EE-2C757922A98F}"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1339-457E-A661-57A19A69E322}"/>
                </c:ext>
              </c:extLst>
            </c:dLbl>
            <c:dLbl>
              <c:idx val="11"/>
              <c:tx>
                <c:rich>
                  <a:bodyPr/>
                  <a:lstStyle/>
                  <a:p>
                    <a:fld id="{D7C190F0-8D1E-4341-8A86-BA960D8E6CDE}"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1339-457E-A661-57A19A69E322}"/>
                </c:ext>
              </c:extLst>
            </c:dLbl>
            <c:dLbl>
              <c:idx val="12"/>
              <c:tx>
                <c:rich>
                  <a:bodyPr/>
                  <a:lstStyle/>
                  <a:p>
                    <a:fld id="{7FE9EA80-0231-4647-B9C8-333B757379CD}"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1339-457E-A661-57A19A69E322}"/>
                </c:ext>
              </c:extLst>
            </c:dLbl>
            <c:dLbl>
              <c:idx val="1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7-1339-457E-A661-57A19A69E322}"/>
                </c:ext>
              </c:extLst>
            </c:dLbl>
            <c:dLbl>
              <c:idx val="1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8-1339-457E-A661-57A19A69E322}"/>
                </c:ext>
              </c:extLst>
            </c:dLbl>
            <c:dLbl>
              <c:idx val="15"/>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9-1339-457E-A661-57A19A69E322}"/>
                </c:ext>
              </c:extLst>
            </c:dLbl>
            <c:dLbl>
              <c:idx val="16"/>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A-1339-457E-A661-57A19A69E322}"/>
                </c:ext>
              </c:extLst>
            </c:dLbl>
            <c:dLbl>
              <c:idx val="17"/>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1339-457E-A661-57A19A69E322}"/>
                </c:ext>
              </c:extLst>
            </c:dLbl>
            <c:dLbl>
              <c:idx val="18"/>
              <c:tx>
                <c:rich>
                  <a:bodyPr/>
                  <a:lstStyle/>
                  <a:p>
                    <a:fld id="{4775124A-BB6F-4A51-8EA8-1465D314D7B9}"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C-1339-457E-A661-57A19A69E322}"/>
                </c:ext>
              </c:extLst>
            </c:dLbl>
            <c:dLbl>
              <c:idx val="19"/>
              <c:tx>
                <c:rich>
                  <a:bodyPr/>
                  <a:lstStyle/>
                  <a:p>
                    <a:fld id="{34C74398-4C6E-48EC-A262-DBAFEBD1391E}"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1339-457E-A661-57A19A69E322}"/>
                </c:ext>
              </c:extLst>
            </c:dLbl>
            <c:dLbl>
              <c:idx val="20"/>
              <c:tx>
                <c:rich>
                  <a:bodyPr/>
                  <a:lstStyle/>
                  <a:p>
                    <a:fld id="{ACA47FA2-E2D4-47A0-AA81-FC06123774DF}"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E-1339-457E-A661-57A19A69E322}"/>
                </c:ext>
              </c:extLst>
            </c:dLbl>
            <c:dLbl>
              <c:idx val="21"/>
              <c:tx>
                <c:rich>
                  <a:bodyPr/>
                  <a:lstStyle/>
                  <a:p>
                    <a:fld id="{6CB21114-13B9-4027-995E-6AB3ED16E04B}"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F-1339-457E-A661-57A19A69E322}"/>
                </c:ext>
              </c:extLst>
            </c:dLbl>
            <c:dLbl>
              <c:idx val="22"/>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0-1339-457E-A661-57A19A69E322}"/>
                </c:ext>
              </c:extLst>
            </c:dLbl>
            <c:dLbl>
              <c:idx val="2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1-1339-457E-A661-57A19A69E322}"/>
                </c:ext>
              </c:extLst>
            </c:dLbl>
            <c:dLbl>
              <c:idx val="24"/>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2-1339-457E-A661-57A19A69E322}"/>
                </c:ext>
              </c:extLst>
            </c:dLbl>
            <c:dLbl>
              <c:idx val="25"/>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3-1339-457E-A661-57A19A69E322}"/>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29489A"/>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rada'!$T$39:$U$64</c:f>
              <c:multiLvlStrCache>
                <c:ptCount val="26"/>
                <c:lvl>
                  <c:pt idx="0">
                    <c:v>I</c:v>
                  </c:pt>
                  <c:pt idx="1">
                    <c:v>II</c:v>
                  </c:pt>
                  <c:pt idx="2">
                    <c:v>III</c:v>
                  </c:pt>
                  <c:pt idx="3">
                    <c:v>IV</c:v>
                  </c:pt>
                  <c:pt idx="4">
                    <c:v>I</c:v>
                  </c:pt>
                  <c:pt idx="5">
                    <c:v>II</c:v>
                  </c:pt>
                  <c:pt idx="6">
                    <c:v>III</c:v>
                  </c:pt>
                  <c:pt idx="7">
                    <c:v>IV</c:v>
                  </c:pt>
                  <c:pt idx="8">
                    <c:v> </c:v>
                  </c:pt>
                  <c:pt idx="9">
                    <c:v>I</c:v>
                  </c:pt>
                  <c:pt idx="10">
                    <c:v>II</c:v>
                  </c:pt>
                  <c:pt idx="11">
                    <c:v>III</c:v>
                  </c:pt>
                  <c:pt idx="12">
                    <c:v>IV</c:v>
                  </c:pt>
                  <c:pt idx="13">
                    <c:v>I</c:v>
                  </c:pt>
                  <c:pt idx="14">
                    <c:v>II</c:v>
                  </c:pt>
                  <c:pt idx="15">
                    <c:v>III</c:v>
                  </c:pt>
                  <c:pt idx="16">
                    <c:v>IV</c:v>
                  </c:pt>
                  <c:pt idx="17">
                    <c:v> </c:v>
                  </c:pt>
                  <c:pt idx="18">
                    <c:v>I</c:v>
                  </c:pt>
                  <c:pt idx="19">
                    <c:v>II</c:v>
                  </c:pt>
                  <c:pt idx="20">
                    <c:v>III</c:v>
                  </c:pt>
                  <c:pt idx="21">
                    <c:v>IV</c:v>
                  </c:pt>
                  <c:pt idx="22">
                    <c:v>I</c:v>
                  </c:pt>
                  <c:pt idx="23">
                    <c:v>II</c:v>
                  </c:pt>
                  <c:pt idx="24">
                    <c:v>III</c:v>
                  </c:pt>
                  <c:pt idx="25">
                    <c:v>IV</c:v>
                  </c:pt>
                </c:lvl>
                <c:lvl>
                  <c:pt idx="0">
                    <c:v>2021</c:v>
                  </c:pt>
                  <c:pt idx="4">
                    <c:v>2022</c:v>
                  </c:pt>
                  <c:pt idx="8">
                    <c:v> </c:v>
                  </c:pt>
                  <c:pt idx="9">
                    <c:v>2021</c:v>
                  </c:pt>
                  <c:pt idx="13">
                    <c:v>2022</c:v>
                  </c:pt>
                  <c:pt idx="17">
                    <c:v> </c:v>
                  </c:pt>
                  <c:pt idx="18">
                    <c:v>2021</c:v>
                  </c:pt>
                  <c:pt idx="22">
                    <c:v>2022</c:v>
                  </c:pt>
                </c:lvl>
              </c:multiLvlStrCache>
            </c:multiLvlStrRef>
          </c:cat>
          <c:val>
            <c:numRef>
              <c:f>'Trziste rada'!$X$39:$X$64</c:f>
              <c:numCache>
                <c:formatCode>General</c:formatCode>
                <c:ptCount val="26"/>
                <c:pt idx="0">
                  <c:v>0</c:v>
                </c:pt>
                <c:pt idx="1">
                  <c:v>0</c:v>
                </c:pt>
                <c:pt idx="2">
                  <c:v>0</c:v>
                </c:pt>
                <c:pt idx="3">
                  <c:v>0</c:v>
                </c:pt>
                <c:pt idx="9">
                  <c:v>0</c:v>
                </c:pt>
                <c:pt idx="10">
                  <c:v>0</c:v>
                </c:pt>
                <c:pt idx="11">
                  <c:v>0</c:v>
                </c:pt>
                <c:pt idx="12">
                  <c:v>0</c:v>
                </c:pt>
                <c:pt idx="18">
                  <c:v>0</c:v>
                </c:pt>
                <c:pt idx="19">
                  <c:v>0</c:v>
                </c:pt>
                <c:pt idx="20">
                  <c:v>0</c:v>
                </c:pt>
                <c:pt idx="21">
                  <c:v>0</c:v>
                </c:pt>
              </c:numCache>
            </c:numRef>
          </c:val>
          <c:smooth val="0"/>
          <c:extLst>
            <c:ext xmlns:c15="http://schemas.microsoft.com/office/drawing/2012/chart" uri="{02D57815-91ED-43cb-92C2-25804820EDAC}">
              <c15:datalabelsRange>
                <c15:f>'Trziste rada'!$AB$39:$AB$64</c15:f>
                <c15:dlblRangeCache>
                  <c:ptCount val="26"/>
                  <c:pt idx="0">
                    <c:v>I</c:v>
                  </c:pt>
                  <c:pt idx="1">
                    <c:v>II</c:v>
                  </c:pt>
                  <c:pt idx="2">
                    <c:v>III</c:v>
                  </c:pt>
                  <c:pt idx="3">
                    <c:v>IV</c:v>
                  </c:pt>
                  <c:pt idx="8">
                    <c:v> </c:v>
                  </c:pt>
                  <c:pt idx="9">
                    <c:v>I</c:v>
                  </c:pt>
                  <c:pt idx="10">
                    <c:v>II</c:v>
                  </c:pt>
                  <c:pt idx="11">
                    <c:v>III</c:v>
                  </c:pt>
                  <c:pt idx="12">
                    <c:v>IV</c:v>
                  </c:pt>
                  <c:pt idx="17">
                    <c:v> </c:v>
                  </c:pt>
                  <c:pt idx="18">
                    <c:v>I</c:v>
                  </c:pt>
                  <c:pt idx="19">
                    <c:v>II</c:v>
                  </c:pt>
                  <c:pt idx="20">
                    <c:v>III</c:v>
                  </c:pt>
                  <c:pt idx="21">
                    <c:v>IV</c:v>
                  </c:pt>
                </c15:dlblRangeCache>
              </c15:datalabelsRange>
            </c:ext>
            <c:ext xmlns:c16="http://schemas.microsoft.com/office/drawing/2014/chart" uri="{C3380CC4-5D6E-409C-BE32-E72D297353CC}">
              <c16:uniqueId val="{00000024-1339-457E-A661-57A19A69E322}"/>
            </c:ext>
          </c:extLst>
        </c:ser>
        <c:ser>
          <c:idx val="3"/>
          <c:order val="3"/>
          <c:spPr>
            <a:ln w="28575" cap="rnd">
              <a:noFill/>
              <a:round/>
            </a:ln>
            <a:effectLst/>
          </c:spPr>
          <c:marker>
            <c:symbol val="none"/>
          </c:marker>
          <c:dLbls>
            <c:dLbl>
              <c:idx val="0"/>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5-1339-457E-A661-57A19A69E322}"/>
                </c:ext>
              </c:extLst>
            </c:dLbl>
            <c:dLbl>
              <c:idx val="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6-1339-457E-A661-57A19A69E322}"/>
                </c:ext>
              </c:extLst>
            </c:dLbl>
            <c:dLbl>
              <c:idx val="2"/>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7-1339-457E-A661-57A19A69E322}"/>
                </c:ext>
              </c:extLst>
            </c:dLbl>
            <c:dLbl>
              <c:idx val="3"/>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8-1339-457E-A661-57A19A69E322}"/>
                </c:ext>
              </c:extLst>
            </c:dLbl>
            <c:dLbl>
              <c:idx val="4"/>
              <c:tx>
                <c:rich>
                  <a:bodyPr/>
                  <a:lstStyle/>
                  <a:p>
                    <a:fld id="{C22029F6-B668-45F5-9C26-C9818B0F6425}"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1339-457E-A661-57A19A69E322}"/>
                </c:ext>
              </c:extLst>
            </c:dLbl>
            <c:dLbl>
              <c:idx val="5"/>
              <c:tx>
                <c:rich>
                  <a:bodyPr/>
                  <a:lstStyle/>
                  <a:p>
                    <a:fld id="{B15219C2-13AB-4C7A-A938-2E4D7CFAD742}"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A-1339-457E-A661-57A19A69E322}"/>
                </c:ext>
              </c:extLst>
            </c:dLbl>
            <c:dLbl>
              <c:idx val="6"/>
              <c:tx>
                <c:rich>
                  <a:bodyPr/>
                  <a:lstStyle/>
                  <a:p>
                    <a:fld id="{F8DC3402-9A58-48A4-AFE9-16ABF0A56E8C}"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B-1339-457E-A661-57A19A69E322}"/>
                </c:ext>
              </c:extLst>
            </c:dLbl>
            <c:dLbl>
              <c:idx val="7"/>
              <c:tx>
                <c:rich>
                  <a:bodyPr/>
                  <a:lstStyle/>
                  <a:p>
                    <a:fld id="{28D9B22D-492F-4F2A-A446-36A710908168}"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1339-457E-A661-57A19A69E322}"/>
                </c:ext>
              </c:extLst>
            </c:dLbl>
            <c:dLbl>
              <c:idx val="8"/>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D-1339-457E-A661-57A19A69E322}"/>
                </c:ext>
              </c:extLst>
            </c:dLbl>
            <c:dLbl>
              <c:idx val="9"/>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E-1339-457E-A661-57A19A69E322}"/>
                </c:ext>
              </c:extLst>
            </c:dLbl>
            <c:dLbl>
              <c:idx val="10"/>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F-1339-457E-A661-57A19A69E322}"/>
                </c:ext>
              </c:extLst>
            </c:dLbl>
            <c:dLbl>
              <c:idx val="11"/>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0-1339-457E-A661-57A19A69E322}"/>
                </c:ext>
              </c:extLst>
            </c:dLbl>
            <c:dLbl>
              <c:idx val="12"/>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1-1339-457E-A661-57A19A69E322}"/>
                </c:ext>
              </c:extLst>
            </c:dLbl>
            <c:dLbl>
              <c:idx val="13"/>
              <c:tx>
                <c:rich>
                  <a:bodyPr/>
                  <a:lstStyle/>
                  <a:p>
                    <a:fld id="{8D6A4AA1-1CBC-4D01-9C2E-AE3C14966898}"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1339-457E-A661-57A19A69E322}"/>
                </c:ext>
              </c:extLst>
            </c:dLbl>
            <c:dLbl>
              <c:idx val="14"/>
              <c:tx>
                <c:rich>
                  <a:bodyPr/>
                  <a:lstStyle/>
                  <a:p>
                    <a:fld id="{85AA0DA5-78C1-403F-B2E9-86B4628123A9}"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3-1339-457E-A661-57A19A69E322}"/>
                </c:ext>
              </c:extLst>
            </c:dLbl>
            <c:dLbl>
              <c:idx val="15"/>
              <c:tx>
                <c:rich>
                  <a:bodyPr/>
                  <a:lstStyle/>
                  <a:p>
                    <a:fld id="{8F9D5FF8-C5AC-4143-9202-C26344882C70}"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4-1339-457E-A661-57A19A69E322}"/>
                </c:ext>
              </c:extLst>
            </c:dLbl>
            <c:dLbl>
              <c:idx val="16"/>
              <c:tx>
                <c:rich>
                  <a:bodyPr/>
                  <a:lstStyle/>
                  <a:p>
                    <a:fld id="{244F03DA-AB21-4133-B3A8-5859C2B5C20B}"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5-1339-457E-A661-57A19A69E322}"/>
                </c:ext>
              </c:extLst>
            </c:dLbl>
            <c:dLbl>
              <c:idx val="17"/>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6-1339-457E-A661-57A19A69E322}"/>
                </c:ext>
              </c:extLst>
            </c:dLbl>
            <c:dLbl>
              <c:idx val="18"/>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7-1339-457E-A661-57A19A69E322}"/>
                </c:ext>
              </c:extLst>
            </c:dLbl>
            <c:dLbl>
              <c:idx val="19"/>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8-1339-457E-A661-57A19A69E322}"/>
                </c:ext>
              </c:extLst>
            </c:dLbl>
            <c:dLbl>
              <c:idx val="20"/>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9-1339-457E-A661-57A19A69E322}"/>
                </c:ext>
              </c:extLst>
            </c:dLbl>
            <c:dLbl>
              <c:idx val="21"/>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A-1339-457E-A661-57A19A69E322}"/>
                </c:ext>
              </c:extLst>
            </c:dLbl>
            <c:dLbl>
              <c:idx val="22"/>
              <c:tx>
                <c:rich>
                  <a:bodyPr/>
                  <a:lstStyle/>
                  <a:p>
                    <a:fld id="{F78C0BA2-DBD3-4681-AD8D-B714C999E0CD}"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B-1339-457E-A661-57A19A69E322}"/>
                </c:ext>
              </c:extLst>
            </c:dLbl>
            <c:dLbl>
              <c:idx val="23"/>
              <c:tx>
                <c:rich>
                  <a:bodyPr/>
                  <a:lstStyle/>
                  <a:p>
                    <a:fld id="{CF042E98-9E8A-4E93-BABE-8DFF6837B432}"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C-1339-457E-A661-57A19A69E322}"/>
                </c:ext>
              </c:extLst>
            </c:dLbl>
            <c:dLbl>
              <c:idx val="24"/>
              <c:tx>
                <c:rich>
                  <a:bodyPr/>
                  <a:lstStyle/>
                  <a:p>
                    <a:fld id="{30E2FA5A-5426-433E-A376-8EFDDB14F220}"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D-1339-457E-A661-57A19A69E322}"/>
                </c:ext>
              </c:extLst>
            </c:dLbl>
            <c:dLbl>
              <c:idx val="25"/>
              <c:tx>
                <c:rich>
                  <a:bodyPr/>
                  <a:lstStyle/>
                  <a:p>
                    <a:fld id="{A7E2FC32-BB7D-4B4C-BBF5-06B813342482}" type="CELLRANGE">
                      <a:rPr lang="sr-Cyrl-RS"/>
                      <a:pPr/>
                      <a:t>[CELLRANGE]</a:t>
                    </a:fld>
                    <a:endParaRPr lang="sr-Cyrl-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E-1339-457E-A661-57A19A69E322}"/>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rada'!$T$39:$U$64</c:f>
              <c:multiLvlStrCache>
                <c:ptCount val="26"/>
                <c:lvl>
                  <c:pt idx="0">
                    <c:v>I</c:v>
                  </c:pt>
                  <c:pt idx="1">
                    <c:v>II</c:v>
                  </c:pt>
                  <c:pt idx="2">
                    <c:v>III</c:v>
                  </c:pt>
                  <c:pt idx="3">
                    <c:v>IV</c:v>
                  </c:pt>
                  <c:pt idx="4">
                    <c:v>I</c:v>
                  </c:pt>
                  <c:pt idx="5">
                    <c:v>II</c:v>
                  </c:pt>
                  <c:pt idx="6">
                    <c:v>III</c:v>
                  </c:pt>
                  <c:pt idx="7">
                    <c:v>IV</c:v>
                  </c:pt>
                  <c:pt idx="8">
                    <c:v> </c:v>
                  </c:pt>
                  <c:pt idx="9">
                    <c:v>I</c:v>
                  </c:pt>
                  <c:pt idx="10">
                    <c:v>II</c:v>
                  </c:pt>
                  <c:pt idx="11">
                    <c:v>III</c:v>
                  </c:pt>
                  <c:pt idx="12">
                    <c:v>IV</c:v>
                  </c:pt>
                  <c:pt idx="13">
                    <c:v>I</c:v>
                  </c:pt>
                  <c:pt idx="14">
                    <c:v>II</c:v>
                  </c:pt>
                  <c:pt idx="15">
                    <c:v>III</c:v>
                  </c:pt>
                  <c:pt idx="16">
                    <c:v>IV</c:v>
                  </c:pt>
                  <c:pt idx="17">
                    <c:v> </c:v>
                  </c:pt>
                  <c:pt idx="18">
                    <c:v>I</c:v>
                  </c:pt>
                  <c:pt idx="19">
                    <c:v>II</c:v>
                  </c:pt>
                  <c:pt idx="20">
                    <c:v>III</c:v>
                  </c:pt>
                  <c:pt idx="21">
                    <c:v>IV</c:v>
                  </c:pt>
                  <c:pt idx="22">
                    <c:v>I</c:v>
                  </c:pt>
                  <c:pt idx="23">
                    <c:v>II</c:v>
                  </c:pt>
                  <c:pt idx="24">
                    <c:v>III</c:v>
                  </c:pt>
                  <c:pt idx="25">
                    <c:v>IV</c:v>
                  </c:pt>
                </c:lvl>
                <c:lvl>
                  <c:pt idx="0">
                    <c:v>2021</c:v>
                  </c:pt>
                  <c:pt idx="4">
                    <c:v>2022</c:v>
                  </c:pt>
                  <c:pt idx="8">
                    <c:v> </c:v>
                  </c:pt>
                  <c:pt idx="9">
                    <c:v>2021</c:v>
                  </c:pt>
                  <c:pt idx="13">
                    <c:v>2022</c:v>
                  </c:pt>
                  <c:pt idx="17">
                    <c:v> </c:v>
                  </c:pt>
                  <c:pt idx="18">
                    <c:v>2021</c:v>
                  </c:pt>
                  <c:pt idx="22">
                    <c:v>2022</c:v>
                  </c:pt>
                </c:lvl>
              </c:multiLvlStrCache>
            </c:multiLvlStrRef>
          </c:cat>
          <c:val>
            <c:numRef>
              <c:f>'Trziste rada'!$Y$39:$Y$64</c:f>
              <c:numCache>
                <c:formatCode>General</c:formatCode>
                <c:ptCount val="26"/>
                <c:pt idx="4">
                  <c:v>0</c:v>
                </c:pt>
                <c:pt idx="5">
                  <c:v>0</c:v>
                </c:pt>
                <c:pt idx="6">
                  <c:v>0</c:v>
                </c:pt>
                <c:pt idx="7">
                  <c:v>0</c:v>
                </c:pt>
                <c:pt idx="13">
                  <c:v>0</c:v>
                </c:pt>
                <c:pt idx="14">
                  <c:v>0</c:v>
                </c:pt>
                <c:pt idx="15">
                  <c:v>0</c:v>
                </c:pt>
                <c:pt idx="16">
                  <c:v>0</c:v>
                </c:pt>
                <c:pt idx="22">
                  <c:v>0</c:v>
                </c:pt>
                <c:pt idx="23">
                  <c:v>0</c:v>
                </c:pt>
                <c:pt idx="24">
                  <c:v>0</c:v>
                </c:pt>
                <c:pt idx="25">
                  <c:v>0</c:v>
                </c:pt>
              </c:numCache>
            </c:numRef>
          </c:val>
          <c:smooth val="0"/>
          <c:extLst>
            <c:ext xmlns:c15="http://schemas.microsoft.com/office/drawing/2012/chart" uri="{02D57815-91ED-43cb-92C2-25804820EDAC}">
              <c15:datalabelsRange>
                <c15:f>'Trziste rada'!$AC$39:$AC$64</c15:f>
                <c15:dlblRangeCache>
                  <c:ptCount val="26"/>
                  <c:pt idx="4">
                    <c:v>I</c:v>
                  </c:pt>
                  <c:pt idx="5">
                    <c:v>II</c:v>
                  </c:pt>
                  <c:pt idx="6">
                    <c:v>III</c:v>
                  </c:pt>
                  <c:pt idx="7">
                    <c:v>IV</c:v>
                  </c:pt>
                  <c:pt idx="13">
                    <c:v>I</c:v>
                  </c:pt>
                  <c:pt idx="14">
                    <c:v>II</c:v>
                  </c:pt>
                  <c:pt idx="15">
                    <c:v>III</c:v>
                  </c:pt>
                  <c:pt idx="16">
                    <c:v>IV</c:v>
                  </c:pt>
                  <c:pt idx="22">
                    <c:v>I</c:v>
                  </c:pt>
                  <c:pt idx="23">
                    <c:v>II</c:v>
                  </c:pt>
                  <c:pt idx="24">
                    <c:v>III</c:v>
                  </c:pt>
                  <c:pt idx="25">
                    <c:v>IV</c:v>
                  </c:pt>
                </c15:dlblRangeCache>
              </c15:datalabelsRange>
            </c:ext>
            <c:ext xmlns:c16="http://schemas.microsoft.com/office/drawing/2014/chart" uri="{C3380CC4-5D6E-409C-BE32-E72D297353CC}">
              <c16:uniqueId val="{0000003F-1339-457E-A661-57A19A69E322}"/>
            </c:ext>
          </c:extLst>
        </c:ser>
        <c:ser>
          <c:idx val="4"/>
          <c:order val="4"/>
          <c:spPr>
            <a:ln w="28575" cap="rnd">
              <a:noFill/>
              <a:round/>
            </a:ln>
            <a:effectLst/>
          </c:spPr>
          <c:marker>
            <c:symbol val="none"/>
          </c:marker>
          <c:dLbls>
            <c:dLbl>
              <c:idx val="0"/>
              <c:layout>
                <c:manualLayout>
                  <c:x val="-2.0655919680752654E-2"/>
                  <c:y val="0.13710843603181896"/>
                </c:manualLayout>
              </c:layout>
              <c:tx>
                <c:rich>
                  <a:bodyPr/>
                  <a:lstStyle/>
                  <a:p>
                    <a:fld id="{FB7207A6-A3E0-4323-9131-D4D878807A68}"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40-1339-457E-A661-57A19A69E322}"/>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1-1339-457E-A661-57A19A69E322}"/>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2-1339-457E-A661-57A19A69E322}"/>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3-1339-457E-A661-57A19A69E322}"/>
                </c:ext>
              </c:extLst>
            </c:dLbl>
            <c:dLbl>
              <c:idx val="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4-1339-457E-A661-57A19A69E322}"/>
                </c:ext>
              </c:extLst>
            </c:dLbl>
            <c:dLbl>
              <c:idx val="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5-1339-457E-A661-57A19A69E322}"/>
                </c:ext>
              </c:extLst>
            </c:dLbl>
            <c:dLbl>
              <c:idx val="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6-1339-457E-A661-57A19A69E322}"/>
                </c:ext>
              </c:extLst>
            </c:dLbl>
            <c:dLbl>
              <c:idx val="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7-1339-457E-A661-57A19A69E322}"/>
                </c:ext>
              </c:extLst>
            </c:dLbl>
            <c:dLbl>
              <c:idx val="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8-1339-457E-A661-57A19A69E322}"/>
                </c:ext>
              </c:extLst>
            </c:dLbl>
            <c:dLbl>
              <c:idx val="9"/>
              <c:layout>
                <c:manualLayout>
                  <c:x val="-1.815012316349731E-2"/>
                  <c:y val="0.13710843603181896"/>
                </c:manualLayout>
              </c:layout>
              <c:tx>
                <c:rich>
                  <a:bodyPr/>
                  <a:lstStyle/>
                  <a:p>
                    <a:fld id="{5CAB7181-2475-4468-AA7A-F2B475A79E31}"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49-1339-457E-A661-57A19A69E322}"/>
                </c:ext>
              </c:extLst>
            </c:dLbl>
            <c:dLbl>
              <c:idx val="1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A-1339-457E-A661-57A19A69E322}"/>
                </c:ext>
              </c:extLst>
            </c:dLbl>
            <c:dLbl>
              <c:idx val="1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B-1339-457E-A661-57A19A69E322}"/>
                </c:ext>
              </c:extLst>
            </c:dLbl>
            <c:dLbl>
              <c:idx val="1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C-1339-457E-A661-57A19A69E322}"/>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D-1339-457E-A661-57A19A69E322}"/>
                </c:ext>
              </c:extLst>
            </c:dLbl>
            <c:dLbl>
              <c:idx val="1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E-1339-457E-A661-57A19A69E322}"/>
                </c:ext>
              </c:extLst>
            </c:dLbl>
            <c:dLbl>
              <c:idx val="1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F-1339-457E-A661-57A19A69E322}"/>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0-1339-457E-A661-57A19A69E322}"/>
                </c:ext>
              </c:extLst>
            </c:dLbl>
            <c:dLbl>
              <c:idx val="17"/>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1-1339-457E-A661-57A19A69E322}"/>
                </c:ext>
              </c:extLst>
            </c:dLbl>
            <c:dLbl>
              <c:idx val="18"/>
              <c:layout>
                <c:manualLayout>
                  <c:x val="-1.5603617448398365E-2"/>
                  <c:y val="0.13710843603181896"/>
                </c:manualLayout>
              </c:layout>
              <c:tx>
                <c:rich>
                  <a:bodyPr/>
                  <a:lstStyle/>
                  <a:p>
                    <a:fld id="{2FA7905E-7628-4955-A007-C607654EEFE2}"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52-1339-457E-A661-57A19A69E322}"/>
                </c:ext>
              </c:extLst>
            </c:dLbl>
            <c:dLbl>
              <c:idx val="19"/>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3-1339-457E-A661-57A19A69E322}"/>
                </c:ext>
              </c:extLst>
            </c:dLbl>
            <c:dLbl>
              <c:idx val="2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4-1339-457E-A661-57A19A69E322}"/>
                </c:ext>
              </c:extLst>
            </c:dLbl>
            <c:dLbl>
              <c:idx val="2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5-1339-457E-A661-57A19A69E322}"/>
                </c:ext>
              </c:extLst>
            </c:dLbl>
            <c:dLbl>
              <c:idx val="22"/>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6-1339-457E-A661-57A19A69E322}"/>
                </c:ext>
              </c:extLst>
            </c:dLbl>
            <c:dLbl>
              <c:idx val="2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7-1339-457E-A661-57A19A69E322}"/>
                </c:ext>
              </c:extLst>
            </c:dLbl>
            <c:dLbl>
              <c:idx val="2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8-1339-457E-A661-57A19A69E322}"/>
                </c:ext>
              </c:extLst>
            </c:dLbl>
            <c:dLbl>
              <c:idx val="2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9-1339-457E-A661-57A19A69E322}"/>
                </c:ext>
              </c:extLst>
            </c:dLbl>
            <c:spPr>
              <a:noFill/>
              <a:ln>
                <a:noFill/>
              </a:ln>
              <a:effectLst/>
            </c:spPr>
            <c:txPr>
              <a:bodyPr rot="0" spcFirstLastPara="1" vertOverflow="ellipsis" vert="horz" wrap="square" lIns="38100" tIns="19050" rIns="38100" bIns="19050" anchor="ctr" anchorCtr="1">
                <a:spAutoFit/>
              </a:bodyPr>
              <a:lstStyle/>
              <a:p>
                <a:pPr>
                  <a:defRPr sz="759" b="1" i="0" u="none" strike="noStrike" kern="1200" baseline="0">
                    <a:solidFill>
                      <a:srgbClr val="29489A"/>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multiLvlStrRef>
              <c:f>'Trziste rada'!$T$39:$U$64</c:f>
              <c:multiLvlStrCache>
                <c:ptCount val="26"/>
                <c:lvl>
                  <c:pt idx="0">
                    <c:v>I</c:v>
                  </c:pt>
                  <c:pt idx="1">
                    <c:v>II</c:v>
                  </c:pt>
                  <c:pt idx="2">
                    <c:v>III</c:v>
                  </c:pt>
                  <c:pt idx="3">
                    <c:v>IV</c:v>
                  </c:pt>
                  <c:pt idx="4">
                    <c:v>I</c:v>
                  </c:pt>
                  <c:pt idx="5">
                    <c:v>II</c:v>
                  </c:pt>
                  <c:pt idx="6">
                    <c:v>III</c:v>
                  </c:pt>
                  <c:pt idx="7">
                    <c:v>IV</c:v>
                  </c:pt>
                  <c:pt idx="8">
                    <c:v> </c:v>
                  </c:pt>
                  <c:pt idx="9">
                    <c:v>I</c:v>
                  </c:pt>
                  <c:pt idx="10">
                    <c:v>II</c:v>
                  </c:pt>
                  <c:pt idx="11">
                    <c:v>III</c:v>
                  </c:pt>
                  <c:pt idx="12">
                    <c:v>IV</c:v>
                  </c:pt>
                  <c:pt idx="13">
                    <c:v>I</c:v>
                  </c:pt>
                  <c:pt idx="14">
                    <c:v>II</c:v>
                  </c:pt>
                  <c:pt idx="15">
                    <c:v>III</c:v>
                  </c:pt>
                  <c:pt idx="16">
                    <c:v>IV</c:v>
                  </c:pt>
                  <c:pt idx="17">
                    <c:v> </c:v>
                  </c:pt>
                  <c:pt idx="18">
                    <c:v>I</c:v>
                  </c:pt>
                  <c:pt idx="19">
                    <c:v>II</c:v>
                  </c:pt>
                  <c:pt idx="20">
                    <c:v>III</c:v>
                  </c:pt>
                  <c:pt idx="21">
                    <c:v>IV</c:v>
                  </c:pt>
                  <c:pt idx="22">
                    <c:v>I</c:v>
                  </c:pt>
                  <c:pt idx="23">
                    <c:v>II</c:v>
                  </c:pt>
                  <c:pt idx="24">
                    <c:v>III</c:v>
                  </c:pt>
                  <c:pt idx="25">
                    <c:v>IV</c:v>
                  </c:pt>
                </c:lvl>
                <c:lvl>
                  <c:pt idx="0">
                    <c:v>2021</c:v>
                  </c:pt>
                  <c:pt idx="4">
                    <c:v>2022</c:v>
                  </c:pt>
                  <c:pt idx="8">
                    <c:v> </c:v>
                  </c:pt>
                  <c:pt idx="9">
                    <c:v>2021</c:v>
                  </c:pt>
                  <c:pt idx="13">
                    <c:v>2022</c:v>
                  </c:pt>
                  <c:pt idx="17">
                    <c:v> </c:v>
                  </c:pt>
                  <c:pt idx="18">
                    <c:v>2021</c:v>
                  </c:pt>
                  <c:pt idx="22">
                    <c:v>2022</c:v>
                  </c:pt>
                </c:lvl>
              </c:multiLvlStrCache>
            </c:multiLvlStrRef>
          </c:cat>
          <c:val>
            <c:numRef>
              <c:f>'Trziste rada'!$Z$39:$Z$64</c:f>
              <c:numCache>
                <c:formatCode>General</c:formatCode>
                <c:ptCount val="26"/>
                <c:pt idx="0">
                  <c:v>0</c:v>
                </c:pt>
                <c:pt idx="9">
                  <c:v>0</c:v>
                </c:pt>
                <c:pt idx="18">
                  <c:v>0</c:v>
                </c:pt>
              </c:numCache>
            </c:numRef>
          </c:val>
          <c:smooth val="0"/>
          <c:extLst>
            <c:ext xmlns:c15="http://schemas.microsoft.com/office/drawing/2012/chart" uri="{02D57815-91ED-43cb-92C2-25804820EDAC}">
              <c15:datalabelsRange>
                <c15:f>'Trziste rada'!$AD$39:$AD$64</c15:f>
                <c15:dlblRangeCache>
                  <c:ptCount val="26"/>
                  <c:pt idx="0">
                    <c:v>2021</c:v>
                  </c:pt>
                  <c:pt idx="9">
                    <c:v>2021</c:v>
                  </c:pt>
                  <c:pt idx="18">
                    <c:v>2021</c:v>
                  </c:pt>
                </c15:dlblRangeCache>
              </c15:datalabelsRange>
            </c:ext>
            <c:ext xmlns:c16="http://schemas.microsoft.com/office/drawing/2014/chart" uri="{C3380CC4-5D6E-409C-BE32-E72D297353CC}">
              <c16:uniqueId val="{0000005A-1339-457E-A661-57A19A69E322}"/>
            </c:ext>
          </c:extLst>
        </c:ser>
        <c:ser>
          <c:idx val="5"/>
          <c:order val="5"/>
          <c:spPr>
            <a:ln w="28575" cap="rnd">
              <a:solidFill>
                <a:schemeClr val="accent6"/>
              </a:solidFill>
              <a:round/>
            </a:ln>
            <a:effectLst/>
          </c:spPr>
          <c:marker>
            <c:symbol val="none"/>
          </c:marker>
          <c:dLbls>
            <c:dLbl>
              <c:idx val="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B-1339-457E-A661-57A19A69E322}"/>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C-1339-457E-A661-57A19A69E322}"/>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D-1339-457E-A661-57A19A69E322}"/>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E-1339-457E-A661-57A19A69E322}"/>
                </c:ext>
              </c:extLst>
            </c:dLbl>
            <c:dLbl>
              <c:idx val="4"/>
              <c:layout>
                <c:manualLayout>
                  <c:x val="-2.0669368255040215E-2"/>
                  <c:y val="0.13750037146956726"/>
                </c:manualLayout>
              </c:layout>
              <c:tx>
                <c:rich>
                  <a:bodyPr/>
                  <a:lstStyle/>
                  <a:p>
                    <a:fld id="{E8DA8AA7-53C9-4A3F-81C1-8377820CB041}" type="CELLRANGE">
                      <a:rPr lang="en-US"/>
                      <a:pPr/>
                      <a:t>[CELLRANGE]</a:t>
                    </a:fld>
                    <a:endParaRPr lang="sr-Cyrl-RS"/>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5F-1339-457E-A661-57A19A69E322}"/>
                </c:ext>
              </c:extLst>
            </c:dLbl>
            <c:dLbl>
              <c:idx val="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0-1339-457E-A661-57A19A69E322}"/>
                </c:ext>
              </c:extLst>
            </c:dLbl>
            <c:dLbl>
              <c:idx val="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1-1339-457E-A661-57A19A69E322}"/>
                </c:ext>
              </c:extLst>
            </c:dLbl>
            <c:dLbl>
              <c:idx val="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2-1339-457E-A661-57A19A69E322}"/>
                </c:ext>
              </c:extLst>
            </c:dLbl>
            <c:dLbl>
              <c:idx val="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3-1339-457E-A661-57A19A69E322}"/>
                </c:ext>
              </c:extLst>
            </c:dLbl>
            <c:dLbl>
              <c:idx val="9"/>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4-1339-457E-A661-57A19A69E322}"/>
                </c:ext>
              </c:extLst>
            </c:dLbl>
            <c:dLbl>
              <c:idx val="1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5-1339-457E-A661-57A19A69E322}"/>
                </c:ext>
              </c:extLst>
            </c:dLbl>
            <c:dLbl>
              <c:idx val="1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6-1339-457E-A661-57A19A69E322}"/>
                </c:ext>
              </c:extLst>
            </c:dLbl>
            <c:dLbl>
              <c:idx val="1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7-1339-457E-A661-57A19A69E322}"/>
                </c:ext>
              </c:extLst>
            </c:dLbl>
            <c:dLbl>
              <c:idx val="13"/>
              <c:layout>
                <c:manualLayout>
                  <c:x val="-1.8152667488362525E-2"/>
                  <c:y val="0.13750037146956726"/>
                </c:manualLayout>
              </c:layout>
              <c:tx>
                <c:rich>
                  <a:bodyPr/>
                  <a:lstStyle/>
                  <a:p>
                    <a:fld id="{46CB83C9-BEE9-4EC7-BA19-18543D3BB75F}"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68-1339-457E-A661-57A19A69E322}"/>
                </c:ext>
              </c:extLst>
            </c:dLbl>
            <c:dLbl>
              <c:idx val="1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9-1339-457E-A661-57A19A69E322}"/>
                </c:ext>
              </c:extLst>
            </c:dLbl>
            <c:dLbl>
              <c:idx val="1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A-1339-457E-A661-57A19A69E322}"/>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B-1339-457E-A661-57A19A69E322}"/>
                </c:ext>
              </c:extLst>
            </c:dLbl>
            <c:dLbl>
              <c:idx val="17"/>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C-1339-457E-A661-57A19A69E322}"/>
                </c:ext>
              </c:extLst>
            </c:dLbl>
            <c:dLbl>
              <c:idx val="1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D-1339-457E-A661-57A19A69E322}"/>
                </c:ext>
              </c:extLst>
            </c:dLbl>
            <c:dLbl>
              <c:idx val="19"/>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E-1339-457E-A661-57A19A69E322}"/>
                </c:ext>
              </c:extLst>
            </c:dLbl>
            <c:dLbl>
              <c:idx val="2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6F-1339-457E-A661-57A19A69E322}"/>
                </c:ext>
              </c:extLst>
            </c:dLbl>
            <c:dLbl>
              <c:idx val="2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70-1339-457E-A661-57A19A69E322}"/>
                </c:ext>
              </c:extLst>
            </c:dLbl>
            <c:dLbl>
              <c:idx val="22"/>
              <c:layout>
                <c:manualLayout>
                  <c:x val="-1.8139218914074877E-2"/>
                  <c:y val="0.13750037146956726"/>
                </c:manualLayout>
              </c:layout>
              <c:tx>
                <c:rich>
                  <a:bodyPr/>
                  <a:lstStyle/>
                  <a:p>
                    <a:fld id="{E4A6010B-F6A1-4362-B66F-72F73E1BE44A}" type="CELLRANGE">
                      <a:rPr lang="en-U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71-1339-457E-A661-57A19A69E322}"/>
                </c:ext>
              </c:extLst>
            </c:dLbl>
            <c:dLbl>
              <c:idx val="2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72-1339-457E-A661-57A19A69E322}"/>
                </c:ext>
              </c:extLst>
            </c:dLbl>
            <c:dLbl>
              <c:idx val="2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73-1339-457E-A661-57A19A69E322}"/>
                </c:ext>
              </c:extLst>
            </c:dLbl>
            <c:dLbl>
              <c:idx val="2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74-1339-457E-A661-57A19A69E322}"/>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multiLvlStrRef>
              <c:f>'Trziste rada'!$T$39:$U$64</c:f>
              <c:multiLvlStrCache>
                <c:ptCount val="26"/>
                <c:lvl>
                  <c:pt idx="0">
                    <c:v>I</c:v>
                  </c:pt>
                  <c:pt idx="1">
                    <c:v>II</c:v>
                  </c:pt>
                  <c:pt idx="2">
                    <c:v>III</c:v>
                  </c:pt>
                  <c:pt idx="3">
                    <c:v>IV</c:v>
                  </c:pt>
                  <c:pt idx="4">
                    <c:v>I</c:v>
                  </c:pt>
                  <c:pt idx="5">
                    <c:v>II</c:v>
                  </c:pt>
                  <c:pt idx="6">
                    <c:v>III</c:v>
                  </c:pt>
                  <c:pt idx="7">
                    <c:v>IV</c:v>
                  </c:pt>
                  <c:pt idx="8">
                    <c:v> </c:v>
                  </c:pt>
                  <c:pt idx="9">
                    <c:v>I</c:v>
                  </c:pt>
                  <c:pt idx="10">
                    <c:v>II</c:v>
                  </c:pt>
                  <c:pt idx="11">
                    <c:v>III</c:v>
                  </c:pt>
                  <c:pt idx="12">
                    <c:v>IV</c:v>
                  </c:pt>
                  <c:pt idx="13">
                    <c:v>I</c:v>
                  </c:pt>
                  <c:pt idx="14">
                    <c:v>II</c:v>
                  </c:pt>
                  <c:pt idx="15">
                    <c:v>III</c:v>
                  </c:pt>
                  <c:pt idx="16">
                    <c:v>IV</c:v>
                  </c:pt>
                  <c:pt idx="17">
                    <c:v> </c:v>
                  </c:pt>
                  <c:pt idx="18">
                    <c:v>I</c:v>
                  </c:pt>
                  <c:pt idx="19">
                    <c:v>II</c:v>
                  </c:pt>
                  <c:pt idx="20">
                    <c:v>III</c:v>
                  </c:pt>
                  <c:pt idx="21">
                    <c:v>IV</c:v>
                  </c:pt>
                  <c:pt idx="22">
                    <c:v>I</c:v>
                  </c:pt>
                  <c:pt idx="23">
                    <c:v>II</c:v>
                  </c:pt>
                  <c:pt idx="24">
                    <c:v>III</c:v>
                  </c:pt>
                  <c:pt idx="25">
                    <c:v>IV</c:v>
                  </c:pt>
                </c:lvl>
                <c:lvl>
                  <c:pt idx="0">
                    <c:v>2021</c:v>
                  </c:pt>
                  <c:pt idx="4">
                    <c:v>2022</c:v>
                  </c:pt>
                  <c:pt idx="8">
                    <c:v> </c:v>
                  </c:pt>
                  <c:pt idx="9">
                    <c:v>2021</c:v>
                  </c:pt>
                  <c:pt idx="13">
                    <c:v>2022</c:v>
                  </c:pt>
                  <c:pt idx="17">
                    <c:v> </c:v>
                  </c:pt>
                  <c:pt idx="18">
                    <c:v>2021</c:v>
                  </c:pt>
                  <c:pt idx="22">
                    <c:v>2022</c:v>
                  </c:pt>
                </c:lvl>
              </c:multiLvlStrCache>
            </c:multiLvlStrRef>
          </c:cat>
          <c:val>
            <c:numRef>
              <c:f>'Trziste rada'!$AA$39:$AA$64</c:f>
              <c:numCache>
                <c:formatCode>General</c:formatCode>
                <c:ptCount val="26"/>
                <c:pt idx="4">
                  <c:v>0</c:v>
                </c:pt>
                <c:pt idx="13">
                  <c:v>0</c:v>
                </c:pt>
                <c:pt idx="22">
                  <c:v>0</c:v>
                </c:pt>
              </c:numCache>
            </c:numRef>
          </c:val>
          <c:smooth val="0"/>
          <c:extLst>
            <c:ext xmlns:c15="http://schemas.microsoft.com/office/drawing/2012/chart" uri="{02D57815-91ED-43cb-92C2-25804820EDAC}">
              <c15:datalabelsRange>
                <c15:f>'Trziste rada'!$AE$39:$AE$64</c15:f>
                <c15:dlblRangeCache>
                  <c:ptCount val="26"/>
                  <c:pt idx="4">
                    <c:v>2022</c:v>
                  </c:pt>
                  <c:pt idx="13">
                    <c:v>2022</c:v>
                  </c:pt>
                  <c:pt idx="22">
                    <c:v>2022</c:v>
                  </c:pt>
                </c15:dlblRangeCache>
              </c15:datalabelsRange>
            </c:ext>
            <c:ext xmlns:c16="http://schemas.microsoft.com/office/drawing/2014/chart" uri="{C3380CC4-5D6E-409C-BE32-E72D297353CC}">
              <c16:uniqueId val="{00000075-1339-457E-A661-57A19A69E322}"/>
            </c:ext>
          </c:extLst>
        </c:ser>
        <c:dLbls>
          <c:showLegendKey val="0"/>
          <c:showVal val="0"/>
          <c:showCatName val="0"/>
          <c:showSerName val="0"/>
          <c:showPercent val="0"/>
          <c:showBubbleSize val="0"/>
        </c:dLbls>
        <c:marker val="1"/>
        <c:smooth val="0"/>
        <c:axId val="961497464"/>
        <c:axId val="961498448"/>
      </c:lineChart>
      <c:catAx>
        <c:axId val="961497464"/>
        <c:scaling>
          <c:orientation val="minMax"/>
        </c:scaling>
        <c:delete val="0"/>
        <c:axPos val="b"/>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61498448"/>
        <c:crosses val="autoZero"/>
        <c:auto val="1"/>
        <c:lblAlgn val="ctr"/>
        <c:lblOffset val="100"/>
        <c:noMultiLvlLbl val="0"/>
      </c:catAx>
      <c:valAx>
        <c:axId val="961498448"/>
        <c:scaling>
          <c:orientation val="minMax"/>
        </c:scaling>
        <c:delete val="0"/>
        <c:axPos val="l"/>
        <c:numFmt formatCode="0%" sourceLinked="0"/>
        <c:majorTickMark val="none"/>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961497464"/>
        <c:crosses val="autoZero"/>
        <c:crossBetween val="between"/>
      </c:valAx>
      <c:valAx>
        <c:axId val="1025106808"/>
        <c:scaling>
          <c:orientation val="minMax"/>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025104512"/>
        <c:crosses val="max"/>
        <c:crossBetween val="between"/>
      </c:valAx>
      <c:catAx>
        <c:axId val="1025104512"/>
        <c:scaling>
          <c:orientation val="minMax"/>
        </c:scaling>
        <c:delete val="1"/>
        <c:axPos val="b"/>
        <c:numFmt formatCode="General" sourceLinked="1"/>
        <c:majorTickMark val="out"/>
        <c:minorTickMark val="none"/>
        <c:tickLblPos val="nextTo"/>
        <c:crossAx val="1025106808"/>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sr-Latn-RS"/>
    </a:p>
  </c:txPr>
  <c:externalData r:id="rId2">
    <c:autoUpdate val="0"/>
  </c:externalData>
  <c:userShapes r:id="rId3"/>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0491452991453"/>
          <c:y val="3.9230096237970254E-2"/>
          <c:w val="0.83185352666049006"/>
          <c:h val="0.6289622222222222"/>
        </c:manualLayout>
      </c:layout>
      <c:lineChart>
        <c:grouping val="standard"/>
        <c:varyColors val="0"/>
        <c:ser>
          <c:idx val="0"/>
          <c:order val="0"/>
          <c:tx>
            <c:strRef>
              <c:f>Inflacija!$U$3</c:f>
              <c:strCache>
                <c:ptCount val="1"/>
                <c:pt idx="0">
                  <c:v>Референтна каматна стопа</c:v>
                </c:pt>
              </c:strCache>
            </c:strRef>
          </c:tx>
          <c:spPr>
            <a:ln w="22225" cap="rnd">
              <a:solidFill>
                <a:srgbClr val="51BBE7"/>
              </a:solidFill>
              <a:round/>
            </a:ln>
            <a:effectLst/>
          </c:spPr>
          <c:marker>
            <c:symbol val="none"/>
          </c:marker>
          <c:cat>
            <c:numRef>
              <c:f>Inflacija!$Q$40:$Q$162</c:f>
              <c:numCache>
                <c:formatCode>yyyy</c:formatCode>
                <c:ptCount val="12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numCache>
            </c:numRef>
          </c:cat>
          <c:val>
            <c:numRef>
              <c:f>Inflacija!$U$40:$U$162</c:f>
              <c:numCache>
                <c:formatCode>#.000</c:formatCode>
                <c:ptCount val="123"/>
                <c:pt idx="0">
                  <c:v>11.5</c:v>
                </c:pt>
                <c:pt idx="1">
                  <c:v>11.75</c:v>
                </c:pt>
                <c:pt idx="2">
                  <c:v>11.75</c:v>
                </c:pt>
                <c:pt idx="3">
                  <c:v>11.75</c:v>
                </c:pt>
                <c:pt idx="4">
                  <c:v>11.25</c:v>
                </c:pt>
                <c:pt idx="5">
                  <c:v>11</c:v>
                </c:pt>
                <c:pt idx="6">
                  <c:v>11</c:v>
                </c:pt>
                <c:pt idx="7">
                  <c:v>11</c:v>
                </c:pt>
                <c:pt idx="8">
                  <c:v>11</c:v>
                </c:pt>
                <c:pt idx="9">
                  <c:v>10.5</c:v>
                </c:pt>
                <c:pt idx="10">
                  <c:v>10</c:v>
                </c:pt>
                <c:pt idx="11">
                  <c:v>9.5</c:v>
                </c:pt>
                <c:pt idx="12">
                  <c:v>9.5</c:v>
                </c:pt>
                <c:pt idx="13">
                  <c:v>9.5</c:v>
                </c:pt>
                <c:pt idx="14">
                  <c:v>9.5</c:v>
                </c:pt>
                <c:pt idx="15">
                  <c:v>9.5</c:v>
                </c:pt>
                <c:pt idx="16">
                  <c:v>9</c:v>
                </c:pt>
                <c:pt idx="17">
                  <c:v>8.5</c:v>
                </c:pt>
                <c:pt idx="18">
                  <c:v>8.5</c:v>
                </c:pt>
                <c:pt idx="19">
                  <c:v>8.5</c:v>
                </c:pt>
                <c:pt idx="20">
                  <c:v>8.5</c:v>
                </c:pt>
                <c:pt idx="21">
                  <c:v>8.5</c:v>
                </c:pt>
                <c:pt idx="22">
                  <c:v>8</c:v>
                </c:pt>
                <c:pt idx="23">
                  <c:v>8</c:v>
                </c:pt>
                <c:pt idx="24">
                  <c:v>8</c:v>
                </c:pt>
                <c:pt idx="25">
                  <c:v>8</c:v>
                </c:pt>
                <c:pt idx="26">
                  <c:v>7.5</c:v>
                </c:pt>
                <c:pt idx="27">
                  <c:v>7</c:v>
                </c:pt>
                <c:pt idx="28">
                  <c:v>6.5</c:v>
                </c:pt>
                <c:pt idx="29">
                  <c:v>6</c:v>
                </c:pt>
                <c:pt idx="30">
                  <c:v>6</c:v>
                </c:pt>
                <c:pt idx="31">
                  <c:v>5.5</c:v>
                </c:pt>
                <c:pt idx="32">
                  <c:v>5</c:v>
                </c:pt>
                <c:pt idx="33">
                  <c:v>4.5</c:v>
                </c:pt>
                <c:pt idx="34">
                  <c:v>4.5</c:v>
                </c:pt>
                <c:pt idx="35">
                  <c:v>4.5</c:v>
                </c:pt>
                <c:pt idx="36">
                  <c:v>4.5</c:v>
                </c:pt>
                <c:pt idx="37">
                  <c:v>4.25</c:v>
                </c:pt>
                <c:pt idx="38">
                  <c:v>4.25</c:v>
                </c:pt>
                <c:pt idx="39">
                  <c:v>4.25</c:v>
                </c:pt>
                <c:pt idx="40">
                  <c:v>4.25</c:v>
                </c:pt>
                <c:pt idx="41">
                  <c:v>4.25</c:v>
                </c:pt>
                <c:pt idx="42">
                  <c:v>4</c:v>
                </c:pt>
                <c:pt idx="43">
                  <c:v>4</c:v>
                </c:pt>
                <c:pt idx="44">
                  <c:v>4</c:v>
                </c:pt>
                <c:pt idx="45">
                  <c:v>4</c:v>
                </c:pt>
                <c:pt idx="46">
                  <c:v>4</c:v>
                </c:pt>
                <c:pt idx="47">
                  <c:v>4</c:v>
                </c:pt>
                <c:pt idx="48">
                  <c:v>4</c:v>
                </c:pt>
                <c:pt idx="49">
                  <c:v>4</c:v>
                </c:pt>
                <c:pt idx="50">
                  <c:v>4</c:v>
                </c:pt>
                <c:pt idx="51">
                  <c:v>4</c:v>
                </c:pt>
                <c:pt idx="52">
                  <c:v>4</c:v>
                </c:pt>
                <c:pt idx="53">
                  <c:v>4</c:v>
                </c:pt>
                <c:pt idx="54">
                  <c:v>4</c:v>
                </c:pt>
                <c:pt idx="55">
                  <c:v>4</c:v>
                </c:pt>
                <c:pt idx="56">
                  <c:v>3.75</c:v>
                </c:pt>
                <c:pt idx="57">
                  <c:v>3.5</c:v>
                </c:pt>
                <c:pt idx="58">
                  <c:v>3.5</c:v>
                </c:pt>
                <c:pt idx="59">
                  <c:v>3.5</c:v>
                </c:pt>
                <c:pt idx="60">
                  <c:v>3.5</c:v>
                </c:pt>
                <c:pt idx="61">
                  <c:v>3.5</c:v>
                </c:pt>
                <c:pt idx="62">
                  <c:v>3.25</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2.75</c:v>
                </c:pt>
                <c:pt idx="79">
                  <c:v>2.5</c:v>
                </c:pt>
                <c:pt idx="80">
                  <c:v>2.5</c:v>
                </c:pt>
                <c:pt idx="81">
                  <c:v>2.5</c:v>
                </c:pt>
                <c:pt idx="82">
                  <c:v>2.25</c:v>
                </c:pt>
                <c:pt idx="83">
                  <c:v>2.25</c:v>
                </c:pt>
                <c:pt idx="84">
                  <c:v>2.25</c:v>
                </c:pt>
                <c:pt idx="85">
                  <c:v>2.25</c:v>
                </c:pt>
                <c:pt idx="86">
                  <c:v>1.75</c:v>
                </c:pt>
                <c:pt idx="87">
                  <c:v>1.5</c:v>
                </c:pt>
                <c:pt idx="88">
                  <c:v>1.5</c:v>
                </c:pt>
                <c:pt idx="89">
                  <c:v>1.25</c:v>
                </c:pt>
                <c:pt idx="90">
                  <c:v>1.25</c:v>
                </c:pt>
                <c:pt idx="91">
                  <c:v>1.25</c:v>
                </c:pt>
                <c:pt idx="92">
                  <c:v>1.25</c:v>
                </c:pt>
                <c:pt idx="93" formatCode="General">
                  <c:v>1.25</c:v>
                </c:pt>
                <c:pt idx="94" formatCode="General">
                  <c:v>1.25</c:v>
                </c:pt>
                <c:pt idx="95">
                  <c:v>1</c:v>
                </c:pt>
                <c:pt idx="96">
                  <c:v>1</c:v>
                </c:pt>
                <c:pt idx="97">
                  <c:v>1</c:v>
                </c:pt>
                <c:pt idx="98">
                  <c:v>1</c:v>
                </c:pt>
                <c:pt idx="99">
                  <c:v>1</c:v>
                </c:pt>
                <c:pt idx="100">
                  <c:v>1</c:v>
                </c:pt>
                <c:pt idx="101">
                  <c:v>1</c:v>
                </c:pt>
                <c:pt idx="102">
                  <c:v>1</c:v>
                </c:pt>
                <c:pt idx="103">
                  <c:v>1</c:v>
                </c:pt>
                <c:pt idx="104">
                  <c:v>1</c:v>
                </c:pt>
                <c:pt idx="105">
                  <c:v>1</c:v>
                </c:pt>
                <c:pt idx="106">
                  <c:v>1</c:v>
                </c:pt>
                <c:pt idx="107">
                  <c:v>1</c:v>
                </c:pt>
                <c:pt idx="108">
                  <c:v>1</c:v>
                </c:pt>
                <c:pt idx="109">
                  <c:v>1</c:v>
                </c:pt>
                <c:pt idx="110">
                  <c:v>1</c:v>
                </c:pt>
                <c:pt idx="111">
                  <c:v>1.5</c:v>
                </c:pt>
                <c:pt idx="112">
                  <c:v>2</c:v>
                </c:pt>
                <c:pt idx="113">
                  <c:v>2.5</c:v>
                </c:pt>
                <c:pt idx="114">
                  <c:v>2.75</c:v>
                </c:pt>
                <c:pt idx="115">
                  <c:v>3</c:v>
                </c:pt>
                <c:pt idx="116">
                  <c:v>3.5</c:v>
                </c:pt>
                <c:pt idx="117">
                  <c:v>4</c:v>
                </c:pt>
                <c:pt idx="118">
                  <c:v>4.5</c:v>
                </c:pt>
                <c:pt idx="119">
                  <c:v>5</c:v>
                </c:pt>
                <c:pt idx="120">
                  <c:v>5.25</c:v>
                </c:pt>
                <c:pt idx="121">
                  <c:v>5.5</c:v>
                </c:pt>
                <c:pt idx="122">
                  <c:v>5.75</c:v>
                </c:pt>
              </c:numCache>
            </c:numRef>
          </c:val>
          <c:smooth val="0"/>
          <c:extLst>
            <c:ext xmlns:c16="http://schemas.microsoft.com/office/drawing/2014/chart" uri="{C3380CC4-5D6E-409C-BE32-E72D297353CC}">
              <c16:uniqueId val="{00000000-387F-4F7F-BC14-0B7E05704387}"/>
            </c:ext>
          </c:extLst>
        </c:ser>
        <c:ser>
          <c:idx val="1"/>
          <c:order val="1"/>
          <c:tx>
            <c:strRef>
              <c:f>Inflacija!$V$3</c:f>
              <c:strCache>
                <c:ptCount val="1"/>
                <c:pt idx="0">
                  <c:v>Потрошачке цене</c:v>
                </c:pt>
              </c:strCache>
            </c:strRef>
          </c:tx>
          <c:spPr>
            <a:ln w="22225" cap="rnd">
              <a:solidFill>
                <a:srgbClr val="7F3F98"/>
              </a:solidFill>
              <a:round/>
            </a:ln>
            <a:effectLst/>
          </c:spPr>
          <c:marker>
            <c:symbol val="none"/>
          </c:marker>
          <c:cat>
            <c:numRef>
              <c:f>Inflacija!$Q$40:$Q$162</c:f>
              <c:numCache>
                <c:formatCode>yyyy</c:formatCode>
                <c:ptCount val="12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numCache>
            </c:numRef>
          </c:cat>
          <c:val>
            <c:numRef>
              <c:f>Inflacija!$V$40:$V$162</c:f>
              <c:numCache>
                <c:formatCode>#.#00</c:formatCode>
                <c:ptCount val="123"/>
                <c:pt idx="0">
                  <c:v>12.753293315144077</c:v>
                </c:pt>
                <c:pt idx="1">
                  <c:v>12.412739988820135</c:v>
                </c:pt>
                <c:pt idx="2">
                  <c:v>11.175774206136737</c:v>
                </c:pt>
                <c:pt idx="3">
                  <c:v>11.4</c:v>
                </c:pt>
                <c:pt idx="4">
                  <c:v>9.9</c:v>
                </c:pt>
                <c:pt idx="5">
                  <c:v>9.8000000000000007</c:v>
                </c:pt>
                <c:pt idx="6">
                  <c:v>8.6</c:v>
                </c:pt>
                <c:pt idx="7" formatCode="General">
                  <c:v>7.3</c:v>
                </c:pt>
                <c:pt idx="8">
                  <c:v>4.8545411542100254</c:v>
                </c:pt>
                <c:pt idx="9">
                  <c:v>2.1686608375517835</c:v>
                </c:pt>
                <c:pt idx="10">
                  <c:v>1.5706806282722425</c:v>
                </c:pt>
                <c:pt idx="11">
                  <c:v>2.2241478913922492</c:v>
                </c:pt>
                <c:pt idx="12" formatCode="General">
                  <c:v>3.1</c:v>
                </c:pt>
                <c:pt idx="13" formatCode="General">
                  <c:v>2.6</c:v>
                </c:pt>
                <c:pt idx="14" formatCode="General">
                  <c:v>2.2999999999999998</c:v>
                </c:pt>
                <c:pt idx="15" formatCode="General">
                  <c:v>2.1</c:v>
                </c:pt>
                <c:pt idx="16">
                  <c:v>2.1</c:v>
                </c:pt>
                <c:pt idx="17" formatCode="General">
                  <c:v>1.3</c:v>
                </c:pt>
                <c:pt idx="18" formatCode="General">
                  <c:v>2.1</c:v>
                </c:pt>
                <c:pt idx="19" formatCode="General">
                  <c:v>1.5</c:v>
                </c:pt>
                <c:pt idx="20" formatCode="General">
                  <c:v>2.1</c:v>
                </c:pt>
                <c:pt idx="21" formatCode="General">
                  <c:v>1.8</c:v>
                </c:pt>
                <c:pt idx="22" formatCode="General">
                  <c:v>2.4</c:v>
                </c:pt>
                <c:pt idx="23" formatCode="General">
                  <c:v>1.7</c:v>
                </c:pt>
                <c:pt idx="24" formatCode="General">
                  <c:v>0.1</c:v>
                </c:pt>
                <c:pt idx="25" formatCode="General">
                  <c:v>0.8</c:v>
                </c:pt>
                <c:pt idx="26" formatCode="General">
                  <c:v>1.9</c:v>
                </c:pt>
                <c:pt idx="27" formatCode="General">
                  <c:v>1.8</c:v>
                </c:pt>
                <c:pt idx="28">
                  <c:v>1.5</c:v>
                </c:pt>
                <c:pt idx="29">
                  <c:v>1.9</c:v>
                </c:pt>
                <c:pt idx="30">
                  <c:v>1</c:v>
                </c:pt>
                <c:pt idx="31" formatCode="General">
                  <c:v>2.1</c:v>
                </c:pt>
                <c:pt idx="32" formatCode="General">
                  <c:v>1.4</c:v>
                </c:pt>
                <c:pt idx="33" formatCode="General">
                  <c:v>1.4</c:v>
                </c:pt>
                <c:pt idx="34" formatCode="General">
                  <c:v>1.3</c:v>
                </c:pt>
                <c:pt idx="35" formatCode="General">
                  <c:v>1.5</c:v>
                </c:pt>
                <c:pt idx="36" formatCode="General">
                  <c:v>2.4</c:v>
                </c:pt>
                <c:pt idx="37" formatCode="General">
                  <c:v>1.5</c:v>
                </c:pt>
                <c:pt idx="38" formatCode="General">
                  <c:v>0.6</c:v>
                </c:pt>
                <c:pt idx="39" formatCode="General">
                  <c:v>0.4</c:v>
                </c:pt>
                <c:pt idx="40">
                  <c:v>0.7</c:v>
                </c:pt>
                <c:pt idx="41">
                  <c:v>0.3</c:v>
                </c:pt>
                <c:pt idx="42">
                  <c:v>1.2</c:v>
                </c:pt>
                <c:pt idx="43" formatCode="General">
                  <c:v>1.2</c:v>
                </c:pt>
                <c:pt idx="44" formatCode="General">
                  <c:v>0.6</c:v>
                </c:pt>
                <c:pt idx="45" formatCode="General">
                  <c:v>1.5</c:v>
                </c:pt>
                <c:pt idx="46" formatCode="General">
                  <c:v>1.5</c:v>
                </c:pt>
                <c:pt idx="47" formatCode="General">
                  <c:v>1.6</c:v>
                </c:pt>
                <c:pt idx="48" formatCode="General">
                  <c:v>2.4</c:v>
                </c:pt>
                <c:pt idx="49" formatCode="General">
                  <c:v>3.2</c:v>
                </c:pt>
                <c:pt idx="50" formatCode="General">
                  <c:v>3.6</c:v>
                </c:pt>
                <c:pt idx="51">
                  <c:v>4</c:v>
                </c:pt>
                <c:pt idx="52">
                  <c:v>3.5</c:v>
                </c:pt>
                <c:pt idx="53">
                  <c:v>3.6</c:v>
                </c:pt>
                <c:pt idx="54">
                  <c:v>3.2</c:v>
                </c:pt>
                <c:pt idx="55" formatCode="General">
                  <c:v>2.5</c:v>
                </c:pt>
                <c:pt idx="56" formatCode="General">
                  <c:v>3.2</c:v>
                </c:pt>
                <c:pt idx="57" formatCode="General">
                  <c:v>2.8</c:v>
                </c:pt>
                <c:pt idx="58" formatCode="General">
                  <c:v>2.8</c:v>
                </c:pt>
                <c:pt idx="59">
                  <c:v>3</c:v>
                </c:pt>
                <c:pt idx="60">
                  <c:v>1.9</c:v>
                </c:pt>
                <c:pt idx="61" formatCode="General">
                  <c:v>1.5</c:v>
                </c:pt>
                <c:pt idx="62" formatCode="General">
                  <c:v>1.4</c:v>
                </c:pt>
                <c:pt idx="63">
                  <c:v>1.1000000000000001</c:v>
                </c:pt>
                <c:pt idx="64" formatCode="General">
                  <c:v>2.1</c:v>
                </c:pt>
                <c:pt idx="65" formatCode="General">
                  <c:v>2.2999999999999998</c:v>
                </c:pt>
                <c:pt idx="66" formatCode="General">
                  <c:v>2.4</c:v>
                </c:pt>
                <c:pt idx="67" formatCode="General">
                  <c:v>2.6</c:v>
                </c:pt>
                <c:pt idx="68" formatCode="General">
                  <c:v>2.1</c:v>
                </c:pt>
                <c:pt idx="69" formatCode="General">
                  <c:v>2.2000000000000002</c:v>
                </c:pt>
                <c:pt idx="70" formatCode="General">
                  <c:v>1.9</c:v>
                </c:pt>
                <c:pt idx="71">
                  <c:v>2</c:v>
                </c:pt>
                <c:pt idx="72">
                  <c:v>2.1</c:v>
                </c:pt>
                <c:pt idx="73">
                  <c:v>2.4</c:v>
                </c:pt>
                <c:pt idx="74" formatCode="General">
                  <c:v>2.8</c:v>
                </c:pt>
                <c:pt idx="75" formatCode="General">
                  <c:v>3.1</c:v>
                </c:pt>
                <c:pt idx="76" formatCode="General">
                  <c:v>2.2000000000000002</c:v>
                </c:pt>
                <c:pt idx="77" formatCode="General">
                  <c:v>1.5</c:v>
                </c:pt>
                <c:pt idx="78" formatCode="General">
                  <c:v>1.6</c:v>
                </c:pt>
                <c:pt idx="79" formatCode="General">
                  <c:v>1.3</c:v>
                </c:pt>
                <c:pt idx="80" formatCode="General">
                  <c:v>1.1000000000000001</c:v>
                </c:pt>
                <c:pt idx="81">
                  <c:v>1</c:v>
                </c:pt>
                <c:pt idx="82">
                  <c:v>1.5</c:v>
                </c:pt>
                <c:pt idx="83">
                  <c:v>1.9</c:v>
                </c:pt>
                <c:pt idx="84">
                  <c:v>2</c:v>
                </c:pt>
                <c:pt idx="85">
                  <c:v>1.9</c:v>
                </c:pt>
                <c:pt idx="86">
                  <c:v>1.3</c:v>
                </c:pt>
                <c:pt idx="87">
                  <c:v>0.6</c:v>
                </c:pt>
                <c:pt idx="88">
                  <c:v>0.7</c:v>
                </c:pt>
                <c:pt idx="89">
                  <c:v>1.6</c:v>
                </c:pt>
                <c:pt idx="90">
                  <c:v>2</c:v>
                </c:pt>
                <c:pt idx="91">
                  <c:v>1.9</c:v>
                </c:pt>
                <c:pt idx="92">
                  <c:v>1.8</c:v>
                </c:pt>
                <c:pt idx="93">
                  <c:v>1.8</c:v>
                </c:pt>
                <c:pt idx="94">
                  <c:v>1.7</c:v>
                </c:pt>
                <c:pt idx="95">
                  <c:v>1.3</c:v>
                </c:pt>
                <c:pt idx="96">
                  <c:v>1.1000000000000001</c:v>
                </c:pt>
                <c:pt idx="97">
                  <c:v>1.2</c:v>
                </c:pt>
                <c:pt idx="98">
                  <c:v>1.8</c:v>
                </c:pt>
                <c:pt idx="99">
                  <c:v>2.8</c:v>
                </c:pt>
                <c:pt idx="100">
                  <c:v>3.6</c:v>
                </c:pt>
                <c:pt idx="101">
                  <c:v>3.3</c:v>
                </c:pt>
                <c:pt idx="102">
                  <c:v>3.3</c:v>
                </c:pt>
                <c:pt idx="103">
                  <c:v>4.3</c:v>
                </c:pt>
                <c:pt idx="104">
                  <c:v>5.7</c:v>
                </c:pt>
                <c:pt idx="105" formatCode="General">
                  <c:v>6.6</c:v>
                </c:pt>
                <c:pt idx="106" formatCode="General">
                  <c:v>7.5</c:v>
                </c:pt>
                <c:pt idx="107" formatCode="General">
                  <c:v>7.9</c:v>
                </c:pt>
                <c:pt idx="108" formatCode="General">
                  <c:v>8.1999999999999993</c:v>
                </c:pt>
                <c:pt idx="109" formatCode="General">
                  <c:v>8.8000000000000007</c:v>
                </c:pt>
                <c:pt idx="110" formatCode="General">
                  <c:v>9.1</c:v>
                </c:pt>
                <c:pt idx="111" formatCode="General">
                  <c:v>9.6</c:v>
                </c:pt>
                <c:pt idx="112" formatCode="General">
                  <c:v>10.4</c:v>
                </c:pt>
                <c:pt idx="113" formatCode="General">
                  <c:v>11.9</c:v>
                </c:pt>
                <c:pt idx="114" formatCode="General">
                  <c:v>12.8</c:v>
                </c:pt>
                <c:pt idx="115" formatCode="General">
                  <c:v>13.2</c:v>
                </c:pt>
                <c:pt idx="116">
                  <c:v>14</c:v>
                </c:pt>
                <c:pt idx="117">
                  <c:v>15</c:v>
                </c:pt>
                <c:pt idx="118" formatCode="General">
                  <c:v>15.1</c:v>
                </c:pt>
                <c:pt idx="119" formatCode="General">
                  <c:v>15.1</c:v>
                </c:pt>
                <c:pt idx="120" formatCode="General">
                  <c:v>15.8</c:v>
                </c:pt>
                <c:pt idx="121" formatCode="General">
                  <c:v>16.100000000000001</c:v>
                </c:pt>
                <c:pt idx="122" formatCode="General">
                  <c:v>16.2</c:v>
                </c:pt>
              </c:numCache>
            </c:numRef>
          </c:val>
          <c:smooth val="0"/>
          <c:extLst>
            <c:ext xmlns:c16="http://schemas.microsoft.com/office/drawing/2014/chart" uri="{C3380CC4-5D6E-409C-BE32-E72D297353CC}">
              <c16:uniqueId val="{00000001-387F-4F7F-BC14-0B7E05704387}"/>
            </c:ext>
          </c:extLst>
        </c:ser>
        <c:ser>
          <c:idx val="2"/>
          <c:order val="2"/>
          <c:tx>
            <c:strRef>
              <c:f>Inflacija!$W$3</c:f>
              <c:strCache>
                <c:ptCount val="1"/>
                <c:pt idx="0">
                  <c:v>Циљана инфлација</c:v>
                </c:pt>
              </c:strCache>
            </c:strRef>
          </c:tx>
          <c:spPr>
            <a:ln w="22225" cap="rnd">
              <a:solidFill>
                <a:srgbClr val="FF0000"/>
              </a:solidFill>
              <a:round/>
            </a:ln>
            <a:effectLst/>
          </c:spPr>
          <c:marker>
            <c:symbol val="none"/>
          </c:marker>
          <c:cat>
            <c:numRef>
              <c:f>Inflacija!$Q$40:$Q$162</c:f>
              <c:numCache>
                <c:formatCode>yyyy</c:formatCode>
                <c:ptCount val="12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numCache>
            </c:numRef>
          </c:cat>
          <c:val>
            <c:numRef>
              <c:f>Inflacija!$W$40:$W$162</c:f>
              <c:numCache>
                <c:formatCode>#.#00</c:formatCode>
                <c:ptCount val="123"/>
                <c:pt idx="0">
                  <c:v>4</c:v>
                </c:pt>
                <c:pt idx="1">
                  <c:v>4</c:v>
                </c:pt>
                <c:pt idx="2">
                  <c:v>4</c:v>
                </c:pt>
                <c:pt idx="3">
                  <c:v>4</c:v>
                </c:pt>
                <c:pt idx="4">
                  <c:v>4</c:v>
                </c:pt>
                <c:pt idx="5">
                  <c:v>4</c:v>
                </c:pt>
                <c:pt idx="6">
                  <c:v>4</c:v>
                </c:pt>
                <c:pt idx="7">
                  <c:v>4</c:v>
                </c:pt>
                <c:pt idx="8">
                  <c:v>4</c:v>
                </c:pt>
                <c:pt idx="9">
                  <c:v>4</c:v>
                </c:pt>
                <c:pt idx="10">
                  <c:v>4</c:v>
                </c:pt>
                <c:pt idx="11">
                  <c:v>4</c:v>
                </c:pt>
                <c:pt idx="12">
                  <c:v>4</c:v>
                </c:pt>
                <c:pt idx="13">
                  <c:v>4</c:v>
                </c:pt>
                <c:pt idx="14">
                  <c:v>4</c:v>
                </c:pt>
                <c:pt idx="15">
                  <c:v>4</c:v>
                </c:pt>
                <c:pt idx="16">
                  <c:v>4</c:v>
                </c:pt>
                <c:pt idx="17">
                  <c:v>4</c:v>
                </c:pt>
                <c:pt idx="18">
                  <c:v>4</c:v>
                </c:pt>
                <c:pt idx="19">
                  <c:v>4</c:v>
                </c:pt>
                <c:pt idx="20">
                  <c:v>4</c:v>
                </c:pt>
                <c:pt idx="21">
                  <c:v>4</c:v>
                </c:pt>
                <c:pt idx="22">
                  <c:v>4</c:v>
                </c:pt>
                <c:pt idx="23">
                  <c:v>4</c:v>
                </c:pt>
                <c:pt idx="24">
                  <c:v>4</c:v>
                </c:pt>
                <c:pt idx="25">
                  <c:v>4</c:v>
                </c:pt>
                <c:pt idx="26">
                  <c:v>4</c:v>
                </c:pt>
                <c:pt idx="27">
                  <c:v>4</c:v>
                </c:pt>
                <c:pt idx="28">
                  <c:v>4</c:v>
                </c:pt>
                <c:pt idx="29">
                  <c:v>4</c:v>
                </c:pt>
                <c:pt idx="30">
                  <c:v>4</c:v>
                </c:pt>
                <c:pt idx="31">
                  <c:v>4</c:v>
                </c:pt>
                <c:pt idx="32">
                  <c:v>4</c:v>
                </c:pt>
                <c:pt idx="33">
                  <c:v>4</c:v>
                </c:pt>
                <c:pt idx="34">
                  <c:v>4</c:v>
                </c:pt>
                <c:pt idx="35">
                  <c:v>4</c:v>
                </c:pt>
                <c:pt idx="36">
                  <c:v>4</c:v>
                </c:pt>
                <c:pt idx="37">
                  <c:v>4</c:v>
                </c:pt>
                <c:pt idx="38">
                  <c:v>4</c:v>
                </c:pt>
                <c:pt idx="39">
                  <c:v>4</c:v>
                </c:pt>
                <c:pt idx="40">
                  <c:v>4</c:v>
                </c:pt>
                <c:pt idx="41">
                  <c:v>4</c:v>
                </c:pt>
                <c:pt idx="42">
                  <c:v>4</c:v>
                </c:pt>
                <c:pt idx="43">
                  <c:v>4</c:v>
                </c:pt>
                <c:pt idx="44">
                  <c:v>4</c:v>
                </c:pt>
                <c:pt idx="45">
                  <c:v>4</c:v>
                </c:pt>
                <c:pt idx="46">
                  <c:v>4</c:v>
                </c:pt>
                <c:pt idx="47">
                  <c:v>4</c:v>
                </c:pt>
                <c:pt idx="48">
                  <c:v>3</c:v>
                </c:pt>
                <c:pt idx="49">
                  <c:v>3</c:v>
                </c:pt>
                <c:pt idx="50">
                  <c:v>3</c:v>
                </c:pt>
                <c:pt idx="51">
                  <c:v>3</c:v>
                </c:pt>
                <c:pt idx="52">
                  <c:v>3</c:v>
                </c:pt>
                <c:pt idx="53">
                  <c:v>3</c:v>
                </c:pt>
                <c:pt idx="54">
                  <c:v>3</c:v>
                </c:pt>
                <c:pt idx="55">
                  <c:v>3</c:v>
                </c:pt>
                <c:pt idx="56">
                  <c:v>3</c:v>
                </c:pt>
                <c:pt idx="57">
                  <c:v>3</c:v>
                </c:pt>
                <c:pt idx="58">
                  <c:v>3</c:v>
                </c:pt>
                <c:pt idx="59">
                  <c:v>3</c:v>
                </c:pt>
                <c:pt idx="60">
                  <c:v>3</c:v>
                </c:pt>
                <c:pt idx="61">
                  <c:v>3</c:v>
                </c:pt>
                <c:pt idx="62">
                  <c:v>3</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3</c:v>
                </c:pt>
                <c:pt idx="79">
                  <c:v>3</c:v>
                </c:pt>
                <c:pt idx="80">
                  <c:v>3</c:v>
                </c:pt>
                <c:pt idx="81">
                  <c:v>3</c:v>
                </c:pt>
                <c:pt idx="82">
                  <c:v>3</c:v>
                </c:pt>
                <c:pt idx="83">
                  <c:v>3</c:v>
                </c:pt>
                <c:pt idx="84">
                  <c:v>3</c:v>
                </c:pt>
                <c:pt idx="85">
                  <c:v>3</c:v>
                </c:pt>
                <c:pt idx="86">
                  <c:v>3</c:v>
                </c:pt>
                <c:pt idx="87">
                  <c:v>3</c:v>
                </c:pt>
                <c:pt idx="88">
                  <c:v>3</c:v>
                </c:pt>
                <c:pt idx="89">
                  <c:v>3</c:v>
                </c:pt>
                <c:pt idx="90">
                  <c:v>3</c:v>
                </c:pt>
                <c:pt idx="91">
                  <c:v>3</c:v>
                </c:pt>
                <c:pt idx="92">
                  <c:v>3</c:v>
                </c:pt>
                <c:pt idx="93">
                  <c:v>3</c:v>
                </c:pt>
                <c:pt idx="94">
                  <c:v>3</c:v>
                </c:pt>
                <c:pt idx="95">
                  <c:v>3</c:v>
                </c:pt>
                <c:pt idx="96">
                  <c:v>3</c:v>
                </c:pt>
                <c:pt idx="97">
                  <c:v>3</c:v>
                </c:pt>
                <c:pt idx="98">
                  <c:v>3</c:v>
                </c:pt>
                <c:pt idx="99">
                  <c:v>3</c:v>
                </c:pt>
                <c:pt idx="100">
                  <c:v>3</c:v>
                </c:pt>
                <c:pt idx="101">
                  <c:v>3</c:v>
                </c:pt>
                <c:pt idx="102">
                  <c:v>3</c:v>
                </c:pt>
                <c:pt idx="103">
                  <c:v>3</c:v>
                </c:pt>
                <c:pt idx="104">
                  <c:v>3</c:v>
                </c:pt>
                <c:pt idx="105">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numCache>
            </c:numRef>
          </c:val>
          <c:smooth val="0"/>
          <c:extLst>
            <c:ext xmlns:c16="http://schemas.microsoft.com/office/drawing/2014/chart" uri="{C3380CC4-5D6E-409C-BE32-E72D297353CC}">
              <c16:uniqueId val="{00000002-387F-4F7F-BC14-0B7E05704387}"/>
            </c:ext>
          </c:extLst>
        </c:ser>
        <c:ser>
          <c:idx val="3"/>
          <c:order val="3"/>
          <c:tx>
            <c:strRef>
              <c:f>Inflacija!$X$3</c:f>
              <c:strCache>
                <c:ptCount val="1"/>
                <c:pt idx="0">
                  <c:v>Коридор инфлације</c:v>
                </c:pt>
              </c:strCache>
            </c:strRef>
          </c:tx>
          <c:spPr>
            <a:ln w="12700" cap="rnd">
              <a:solidFill>
                <a:srgbClr val="898989"/>
              </a:solidFill>
              <a:prstDash val="sysDash"/>
              <a:round/>
            </a:ln>
            <a:effectLst/>
          </c:spPr>
          <c:marker>
            <c:symbol val="none"/>
          </c:marker>
          <c:cat>
            <c:numRef>
              <c:f>Inflacija!$Q$40:$Q$162</c:f>
              <c:numCache>
                <c:formatCode>yyyy</c:formatCode>
                <c:ptCount val="12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numCache>
            </c:numRef>
          </c:cat>
          <c:val>
            <c:numRef>
              <c:f>Inflacija!$X$40:$X$162</c:f>
              <c:numCache>
                <c:formatCode>#.#00</c:formatCode>
                <c:ptCount val="123"/>
                <c:pt idx="0">
                  <c:v>5.5</c:v>
                </c:pt>
                <c:pt idx="1">
                  <c:v>5.5</c:v>
                </c:pt>
                <c:pt idx="2">
                  <c:v>5.5</c:v>
                </c:pt>
                <c:pt idx="3">
                  <c:v>5.5</c:v>
                </c:pt>
                <c:pt idx="4">
                  <c:v>5.5</c:v>
                </c:pt>
                <c:pt idx="5">
                  <c:v>5.5</c:v>
                </c:pt>
                <c:pt idx="6">
                  <c:v>5.5</c:v>
                </c:pt>
                <c:pt idx="7">
                  <c:v>5.5</c:v>
                </c:pt>
                <c:pt idx="8">
                  <c:v>5.5</c:v>
                </c:pt>
                <c:pt idx="9">
                  <c:v>5.5</c:v>
                </c:pt>
                <c:pt idx="10">
                  <c:v>5.5</c:v>
                </c:pt>
                <c:pt idx="11">
                  <c:v>5.5</c:v>
                </c:pt>
                <c:pt idx="12">
                  <c:v>5.5</c:v>
                </c:pt>
                <c:pt idx="13">
                  <c:v>5.5</c:v>
                </c:pt>
                <c:pt idx="14">
                  <c:v>5.5</c:v>
                </c:pt>
                <c:pt idx="15">
                  <c:v>5.5</c:v>
                </c:pt>
                <c:pt idx="16">
                  <c:v>5.5</c:v>
                </c:pt>
                <c:pt idx="17">
                  <c:v>5.5</c:v>
                </c:pt>
                <c:pt idx="18">
                  <c:v>5.5</c:v>
                </c:pt>
                <c:pt idx="19">
                  <c:v>5.5</c:v>
                </c:pt>
                <c:pt idx="20">
                  <c:v>5.5</c:v>
                </c:pt>
                <c:pt idx="21">
                  <c:v>5.5</c:v>
                </c:pt>
                <c:pt idx="22">
                  <c:v>5.5</c:v>
                </c:pt>
                <c:pt idx="23">
                  <c:v>5.5</c:v>
                </c:pt>
                <c:pt idx="24">
                  <c:v>5.5</c:v>
                </c:pt>
                <c:pt idx="25">
                  <c:v>5.5</c:v>
                </c:pt>
                <c:pt idx="26">
                  <c:v>5.5</c:v>
                </c:pt>
                <c:pt idx="27">
                  <c:v>5.5</c:v>
                </c:pt>
                <c:pt idx="28">
                  <c:v>5.5</c:v>
                </c:pt>
                <c:pt idx="29">
                  <c:v>5.5</c:v>
                </c:pt>
                <c:pt idx="30">
                  <c:v>5.5</c:v>
                </c:pt>
                <c:pt idx="31">
                  <c:v>5.5</c:v>
                </c:pt>
                <c:pt idx="32">
                  <c:v>5.5</c:v>
                </c:pt>
                <c:pt idx="33">
                  <c:v>5.5</c:v>
                </c:pt>
                <c:pt idx="34">
                  <c:v>5.5</c:v>
                </c:pt>
                <c:pt idx="35">
                  <c:v>5.5</c:v>
                </c:pt>
                <c:pt idx="36">
                  <c:v>5.5</c:v>
                </c:pt>
                <c:pt idx="37" formatCode="General">
                  <c:v>5.5</c:v>
                </c:pt>
                <c:pt idx="38" formatCode="General">
                  <c:v>5.5</c:v>
                </c:pt>
                <c:pt idx="39" formatCode="General">
                  <c:v>5.5</c:v>
                </c:pt>
                <c:pt idx="40" formatCode="General">
                  <c:v>5.5</c:v>
                </c:pt>
                <c:pt idx="41" formatCode="General">
                  <c:v>5.5</c:v>
                </c:pt>
                <c:pt idx="42" formatCode="General">
                  <c:v>5.5</c:v>
                </c:pt>
                <c:pt idx="43" formatCode="General">
                  <c:v>5.5</c:v>
                </c:pt>
                <c:pt idx="44" formatCode="General">
                  <c:v>5.5</c:v>
                </c:pt>
                <c:pt idx="45" formatCode="General">
                  <c:v>5.5</c:v>
                </c:pt>
                <c:pt idx="46" formatCode="General">
                  <c:v>5.5</c:v>
                </c:pt>
                <c:pt idx="47" formatCode="General">
                  <c:v>5.5</c:v>
                </c:pt>
                <c:pt idx="48">
                  <c:v>4.5</c:v>
                </c:pt>
                <c:pt idx="49">
                  <c:v>4.5</c:v>
                </c:pt>
                <c:pt idx="50">
                  <c:v>4.5</c:v>
                </c:pt>
                <c:pt idx="51">
                  <c:v>4.5</c:v>
                </c:pt>
                <c:pt idx="52">
                  <c:v>4.5</c:v>
                </c:pt>
                <c:pt idx="53">
                  <c:v>4.5</c:v>
                </c:pt>
                <c:pt idx="54">
                  <c:v>4.5</c:v>
                </c:pt>
                <c:pt idx="55">
                  <c:v>4.5</c:v>
                </c:pt>
                <c:pt idx="56">
                  <c:v>4.5</c:v>
                </c:pt>
                <c:pt idx="57">
                  <c:v>4.5</c:v>
                </c:pt>
                <c:pt idx="58">
                  <c:v>4.5</c:v>
                </c:pt>
                <c:pt idx="59">
                  <c:v>4.5</c:v>
                </c:pt>
                <c:pt idx="60">
                  <c:v>4.5</c:v>
                </c:pt>
                <c:pt idx="61">
                  <c:v>4.5</c:v>
                </c:pt>
                <c:pt idx="62">
                  <c:v>4.5</c:v>
                </c:pt>
                <c:pt idx="63">
                  <c:v>4.5</c:v>
                </c:pt>
                <c:pt idx="64">
                  <c:v>4.5</c:v>
                </c:pt>
                <c:pt idx="65" formatCode="General">
                  <c:v>4.5</c:v>
                </c:pt>
                <c:pt idx="66" formatCode="General">
                  <c:v>4.5</c:v>
                </c:pt>
                <c:pt idx="67" formatCode="General">
                  <c:v>4.5</c:v>
                </c:pt>
                <c:pt idx="68">
                  <c:v>4.5</c:v>
                </c:pt>
                <c:pt idx="69">
                  <c:v>4.5</c:v>
                </c:pt>
                <c:pt idx="70">
                  <c:v>4.5</c:v>
                </c:pt>
                <c:pt idx="71">
                  <c:v>4.5</c:v>
                </c:pt>
                <c:pt idx="72">
                  <c:v>4.5</c:v>
                </c:pt>
                <c:pt idx="73">
                  <c:v>4.5</c:v>
                </c:pt>
                <c:pt idx="74">
                  <c:v>4.5</c:v>
                </c:pt>
                <c:pt idx="75">
                  <c:v>4.5</c:v>
                </c:pt>
                <c:pt idx="76">
                  <c:v>4.5</c:v>
                </c:pt>
                <c:pt idx="77">
                  <c:v>4.5</c:v>
                </c:pt>
                <c:pt idx="78">
                  <c:v>4.5</c:v>
                </c:pt>
                <c:pt idx="79">
                  <c:v>4.5</c:v>
                </c:pt>
                <c:pt idx="80">
                  <c:v>4.5</c:v>
                </c:pt>
                <c:pt idx="81">
                  <c:v>4.5</c:v>
                </c:pt>
                <c:pt idx="82">
                  <c:v>4.5</c:v>
                </c:pt>
                <c:pt idx="83">
                  <c:v>4.5</c:v>
                </c:pt>
                <c:pt idx="84">
                  <c:v>4.5</c:v>
                </c:pt>
                <c:pt idx="85">
                  <c:v>4.5</c:v>
                </c:pt>
                <c:pt idx="86">
                  <c:v>4.5</c:v>
                </c:pt>
                <c:pt idx="87">
                  <c:v>4.5</c:v>
                </c:pt>
                <c:pt idx="88">
                  <c:v>4.5</c:v>
                </c:pt>
                <c:pt idx="89">
                  <c:v>4.5</c:v>
                </c:pt>
                <c:pt idx="90">
                  <c:v>4.5</c:v>
                </c:pt>
                <c:pt idx="91">
                  <c:v>4.5</c:v>
                </c:pt>
                <c:pt idx="92">
                  <c:v>4.5</c:v>
                </c:pt>
                <c:pt idx="93">
                  <c:v>4.5</c:v>
                </c:pt>
                <c:pt idx="94">
                  <c:v>4.5</c:v>
                </c:pt>
                <c:pt idx="95">
                  <c:v>4.5</c:v>
                </c:pt>
                <c:pt idx="96">
                  <c:v>4.5</c:v>
                </c:pt>
                <c:pt idx="97">
                  <c:v>4.5</c:v>
                </c:pt>
                <c:pt idx="98">
                  <c:v>4.5</c:v>
                </c:pt>
                <c:pt idx="99">
                  <c:v>4.5</c:v>
                </c:pt>
                <c:pt idx="100">
                  <c:v>4.5</c:v>
                </c:pt>
                <c:pt idx="101">
                  <c:v>4.5</c:v>
                </c:pt>
                <c:pt idx="102">
                  <c:v>4.5</c:v>
                </c:pt>
                <c:pt idx="103">
                  <c:v>4.5</c:v>
                </c:pt>
                <c:pt idx="104">
                  <c:v>4.5</c:v>
                </c:pt>
                <c:pt idx="105" formatCode="General">
                  <c:v>4.5</c:v>
                </c:pt>
                <c:pt idx="106" formatCode="General">
                  <c:v>4.5</c:v>
                </c:pt>
                <c:pt idx="107" formatCode="General">
                  <c:v>4.5</c:v>
                </c:pt>
                <c:pt idx="108" formatCode="General">
                  <c:v>4.5</c:v>
                </c:pt>
                <c:pt idx="109" formatCode="General">
                  <c:v>4.5</c:v>
                </c:pt>
                <c:pt idx="110" formatCode="General">
                  <c:v>4.5</c:v>
                </c:pt>
                <c:pt idx="111" formatCode="General">
                  <c:v>4.5</c:v>
                </c:pt>
                <c:pt idx="112" formatCode="General">
                  <c:v>4.5</c:v>
                </c:pt>
                <c:pt idx="113" formatCode="General">
                  <c:v>4.5</c:v>
                </c:pt>
                <c:pt idx="114" formatCode="General">
                  <c:v>4.5</c:v>
                </c:pt>
                <c:pt idx="115" formatCode="General">
                  <c:v>4.5</c:v>
                </c:pt>
                <c:pt idx="116" formatCode="General">
                  <c:v>4.5</c:v>
                </c:pt>
                <c:pt idx="117" formatCode="General">
                  <c:v>4.5</c:v>
                </c:pt>
                <c:pt idx="118" formatCode="General">
                  <c:v>4.5</c:v>
                </c:pt>
                <c:pt idx="119" formatCode="General">
                  <c:v>4.5</c:v>
                </c:pt>
                <c:pt idx="120" formatCode="General">
                  <c:v>4.5</c:v>
                </c:pt>
                <c:pt idx="121" formatCode="General">
                  <c:v>4.5</c:v>
                </c:pt>
                <c:pt idx="122" formatCode="General">
                  <c:v>4.5</c:v>
                </c:pt>
              </c:numCache>
            </c:numRef>
          </c:val>
          <c:smooth val="0"/>
          <c:extLst>
            <c:ext xmlns:c16="http://schemas.microsoft.com/office/drawing/2014/chart" uri="{C3380CC4-5D6E-409C-BE32-E72D297353CC}">
              <c16:uniqueId val="{00000003-387F-4F7F-BC14-0B7E05704387}"/>
            </c:ext>
          </c:extLst>
        </c:ser>
        <c:ser>
          <c:idx val="4"/>
          <c:order val="4"/>
          <c:tx>
            <c:strRef>
              <c:f>Inflacija!$Y$3</c:f>
              <c:strCache>
                <c:ptCount val="1"/>
              </c:strCache>
            </c:strRef>
          </c:tx>
          <c:spPr>
            <a:ln w="12700" cap="rnd">
              <a:solidFill>
                <a:srgbClr val="898989"/>
              </a:solidFill>
              <a:prstDash val="sysDash"/>
              <a:round/>
            </a:ln>
            <a:effectLst/>
          </c:spPr>
          <c:marker>
            <c:symbol val="none"/>
          </c:marker>
          <c:cat>
            <c:numRef>
              <c:f>Inflacija!$Q$40:$Q$162</c:f>
              <c:numCache>
                <c:formatCode>yyyy</c:formatCode>
                <c:ptCount val="12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numCache>
            </c:numRef>
          </c:cat>
          <c:val>
            <c:numRef>
              <c:f>Inflacija!$Y$40:$Y$162</c:f>
              <c:numCache>
                <c:formatCode>#.#00</c:formatCode>
                <c:ptCount val="123"/>
                <c:pt idx="0">
                  <c:v>2.5</c:v>
                </c:pt>
                <c:pt idx="1">
                  <c:v>2.5</c:v>
                </c:pt>
                <c:pt idx="2">
                  <c:v>2.5</c:v>
                </c:pt>
                <c:pt idx="3">
                  <c:v>2.5</c:v>
                </c:pt>
                <c:pt idx="4">
                  <c:v>2.5</c:v>
                </c:pt>
                <c:pt idx="5">
                  <c:v>2.5</c:v>
                </c:pt>
                <c:pt idx="6">
                  <c:v>2.5</c:v>
                </c:pt>
                <c:pt idx="7">
                  <c:v>2.5</c:v>
                </c:pt>
                <c:pt idx="8">
                  <c:v>2.5</c:v>
                </c:pt>
                <c:pt idx="9">
                  <c:v>2.5</c:v>
                </c:pt>
                <c:pt idx="10">
                  <c:v>2.5</c:v>
                </c:pt>
                <c:pt idx="11">
                  <c:v>2.5</c:v>
                </c:pt>
                <c:pt idx="12">
                  <c:v>2.5</c:v>
                </c:pt>
                <c:pt idx="13">
                  <c:v>2.5</c:v>
                </c:pt>
                <c:pt idx="14">
                  <c:v>2.5</c:v>
                </c:pt>
                <c:pt idx="15">
                  <c:v>2.5</c:v>
                </c:pt>
                <c:pt idx="16">
                  <c:v>2.5</c:v>
                </c:pt>
                <c:pt idx="17">
                  <c:v>2.5</c:v>
                </c:pt>
                <c:pt idx="18">
                  <c:v>2.5</c:v>
                </c:pt>
                <c:pt idx="19">
                  <c:v>2.5</c:v>
                </c:pt>
                <c:pt idx="20">
                  <c:v>2.5</c:v>
                </c:pt>
                <c:pt idx="21">
                  <c:v>2.5</c:v>
                </c:pt>
                <c:pt idx="22">
                  <c:v>2.5</c:v>
                </c:pt>
                <c:pt idx="23">
                  <c:v>2.5</c:v>
                </c:pt>
                <c:pt idx="24">
                  <c:v>2.5</c:v>
                </c:pt>
                <c:pt idx="25">
                  <c:v>2.5</c:v>
                </c:pt>
                <c:pt idx="26">
                  <c:v>2.5</c:v>
                </c:pt>
                <c:pt idx="27">
                  <c:v>2.5</c:v>
                </c:pt>
                <c:pt idx="28">
                  <c:v>2.5</c:v>
                </c:pt>
                <c:pt idx="29">
                  <c:v>2.5</c:v>
                </c:pt>
                <c:pt idx="30">
                  <c:v>2.5</c:v>
                </c:pt>
                <c:pt idx="31">
                  <c:v>2.5</c:v>
                </c:pt>
                <c:pt idx="32">
                  <c:v>2.5</c:v>
                </c:pt>
                <c:pt idx="33">
                  <c:v>2.5</c:v>
                </c:pt>
                <c:pt idx="34">
                  <c:v>2.5</c:v>
                </c:pt>
                <c:pt idx="35">
                  <c:v>2.5</c:v>
                </c:pt>
                <c:pt idx="36">
                  <c:v>2.5</c:v>
                </c:pt>
                <c:pt idx="37" formatCode="General">
                  <c:v>2.5</c:v>
                </c:pt>
                <c:pt idx="38" formatCode="General">
                  <c:v>2.5</c:v>
                </c:pt>
                <c:pt idx="39" formatCode="General">
                  <c:v>2.5</c:v>
                </c:pt>
                <c:pt idx="40" formatCode="General">
                  <c:v>2.5</c:v>
                </c:pt>
                <c:pt idx="41" formatCode="General">
                  <c:v>2.5</c:v>
                </c:pt>
                <c:pt idx="42" formatCode="General">
                  <c:v>2.5</c:v>
                </c:pt>
                <c:pt idx="43" formatCode="General">
                  <c:v>2.5</c:v>
                </c:pt>
                <c:pt idx="44" formatCode="General">
                  <c:v>2.5</c:v>
                </c:pt>
                <c:pt idx="45" formatCode="General">
                  <c:v>2.5</c:v>
                </c:pt>
                <c:pt idx="46" formatCode="General">
                  <c:v>2.5</c:v>
                </c:pt>
                <c:pt idx="47" formatCode="General">
                  <c:v>2.5</c:v>
                </c:pt>
                <c:pt idx="48">
                  <c:v>1.5</c:v>
                </c:pt>
                <c:pt idx="49">
                  <c:v>1.5</c:v>
                </c:pt>
                <c:pt idx="50">
                  <c:v>1.5</c:v>
                </c:pt>
                <c:pt idx="51">
                  <c:v>1.5</c:v>
                </c:pt>
                <c:pt idx="52">
                  <c:v>1.5</c:v>
                </c:pt>
                <c:pt idx="53">
                  <c:v>1.5</c:v>
                </c:pt>
                <c:pt idx="54">
                  <c:v>1.5</c:v>
                </c:pt>
                <c:pt idx="55">
                  <c:v>1.5</c:v>
                </c:pt>
                <c:pt idx="56">
                  <c:v>1.5</c:v>
                </c:pt>
                <c:pt idx="57">
                  <c:v>1.5</c:v>
                </c:pt>
                <c:pt idx="58">
                  <c:v>1.5</c:v>
                </c:pt>
                <c:pt idx="59">
                  <c:v>1.5</c:v>
                </c:pt>
                <c:pt idx="60">
                  <c:v>1.5</c:v>
                </c:pt>
                <c:pt idx="61">
                  <c:v>1.5</c:v>
                </c:pt>
                <c:pt idx="62">
                  <c:v>1.5</c:v>
                </c:pt>
                <c:pt idx="63">
                  <c:v>1.5</c:v>
                </c:pt>
                <c:pt idx="64">
                  <c:v>1.5</c:v>
                </c:pt>
                <c:pt idx="65" formatCode="General">
                  <c:v>1.5</c:v>
                </c:pt>
                <c:pt idx="66" formatCode="General">
                  <c:v>1.5</c:v>
                </c:pt>
                <c:pt idx="67" formatCode="General">
                  <c:v>1.5</c:v>
                </c:pt>
                <c:pt idx="68">
                  <c:v>1.5</c:v>
                </c:pt>
                <c:pt idx="69">
                  <c:v>1.5</c:v>
                </c:pt>
                <c:pt idx="70">
                  <c:v>1.5</c:v>
                </c:pt>
                <c:pt idx="71">
                  <c:v>1.5</c:v>
                </c:pt>
                <c:pt idx="72">
                  <c:v>1.5</c:v>
                </c:pt>
                <c:pt idx="73">
                  <c:v>1.5</c:v>
                </c:pt>
                <c:pt idx="74">
                  <c:v>1.5</c:v>
                </c:pt>
                <c:pt idx="75">
                  <c:v>1.5</c:v>
                </c:pt>
                <c:pt idx="76">
                  <c:v>1.5</c:v>
                </c:pt>
                <c:pt idx="77">
                  <c:v>1.5</c:v>
                </c:pt>
                <c:pt idx="78">
                  <c:v>1.5</c:v>
                </c:pt>
                <c:pt idx="79">
                  <c:v>1.5</c:v>
                </c:pt>
                <c:pt idx="80">
                  <c:v>1.5</c:v>
                </c:pt>
                <c:pt idx="81">
                  <c:v>1.5</c:v>
                </c:pt>
                <c:pt idx="82">
                  <c:v>1.5</c:v>
                </c:pt>
                <c:pt idx="83">
                  <c:v>1.5</c:v>
                </c:pt>
                <c:pt idx="84">
                  <c:v>1.5</c:v>
                </c:pt>
                <c:pt idx="85">
                  <c:v>1.5</c:v>
                </c:pt>
                <c:pt idx="86">
                  <c:v>1.5</c:v>
                </c:pt>
                <c:pt idx="87">
                  <c:v>1.5</c:v>
                </c:pt>
                <c:pt idx="88">
                  <c:v>1.5</c:v>
                </c:pt>
                <c:pt idx="89">
                  <c:v>1.5</c:v>
                </c:pt>
                <c:pt idx="90">
                  <c:v>1.5</c:v>
                </c:pt>
                <c:pt idx="91">
                  <c:v>1.5</c:v>
                </c:pt>
                <c:pt idx="92">
                  <c:v>1.5</c:v>
                </c:pt>
                <c:pt idx="93">
                  <c:v>1.5</c:v>
                </c:pt>
                <c:pt idx="94">
                  <c:v>1.5</c:v>
                </c:pt>
                <c:pt idx="95">
                  <c:v>1.5</c:v>
                </c:pt>
                <c:pt idx="96">
                  <c:v>1.5</c:v>
                </c:pt>
                <c:pt idx="97">
                  <c:v>1.5</c:v>
                </c:pt>
                <c:pt idx="98">
                  <c:v>1.5</c:v>
                </c:pt>
                <c:pt idx="99">
                  <c:v>1.5</c:v>
                </c:pt>
                <c:pt idx="100">
                  <c:v>1.5</c:v>
                </c:pt>
                <c:pt idx="101">
                  <c:v>1.5</c:v>
                </c:pt>
                <c:pt idx="102">
                  <c:v>1.5</c:v>
                </c:pt>
                <c:pt idx="103">
                  <c:v>1.5</c:v>
                </c:pt>
                <c:pt idx="104">
                  <c:v>1.5</c:v>
                </c:pt>
                <c:pt idx="105" formatCode="General">
                  <c:v>1.5</c:v>
                </c:pt>
                <c:pt idx="106" formatCode="General">
                  <c:v>1.5</c:v>
                </c:pt>
                <c:pt idx="107" formatCode="General">
                  <c:v>1.5</c:v>
                </c:pt>
                <c:pt idx="108" formatCode="General">
                  <c:v>1.5</c:v>
                </c:pt>
                <c:pt idx="109" formatCode="General">
                  <c:v>1.5</c:v>
                </c:pt>
                <c:pt idx="110" formatCode="General">
                  <c:v>1.5</c:v>
                </c:pt>
                <c:pt idx="111" formatCode="General">
                  <c:v>1.5</c:v>
                </c:pt>
                <c:pt idx="112" formatCode="General">
                  <c:v>1.5</c:v>
                </c:pt>
                <c:pt idx="113" formatCode="General">
                  <c:v>1.5</c:v>
                </c:pt>
                <c:pt idx="114" formatCode="General">
                  <c:v>1.5</c:v>
                </c:pt>
                <c:pt idx="115" formatCode="General">
                  <c:v>1.5</c:v>
                </c:pt>
                <c:pt idx="116" formatCode="General">
                  <c:v>1.5</c:v>
                </c:pt>
                <c:pt idx="117" formatCode="General">
                  <c:v>1.5</c:v>
                </c:pt>
                <c:pt idx="118" formatCode="General">
                  <c:v>1.5</c:v>
                </c:pt>
                <c:pt idx="119" formatCode="General">
                  <c:v>1.5</c:v>
                </c:pt>
                <c:pt idx="120" formatCode="General">
                  <c:v>1.5</c:v>
                </c:pt>
                <c:pt idx="121" formatCode="General">
                  <c:v>1.5</c:v>
                </c:pt>
                <c:pt idx="122" formatCode="General">
                  <c:v>1.5</c:v>
                </c:pt>
              </c:numCache>
            </c:numRef>
          </c:val>
          <c:smooth val="0"/>
          <c:extLst>
            <c:ext xmlns:c16="http://schemas.microsoft.com/office/drawing/2014/chart" uri="{C3380CC4-5D6E-409C-BE32-E72D297353CC}">
              <c16:uniqueId val="{00000004-387F-4F7F-BC14-0B7E05704387}"/>
            </c:ext>
          </c:extLst>
        </c:ser>
        <c:ser>
          <c:idx val="5"/>
          <c:order val="5"/>
          <c:tx>
            <c:strRef>
              <c:f>Inflacija!$Z$3</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170047737570141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87F-4F7F-BC14-0B7E05704387}"/>
                </c:ext>
              </c:extLst>
            </c:dLbl>
            <c:dLbl>
              <c:idx val="12"/>
              <c:layout>
                <c:manualLayout>
                  <c:x val="-2.171326137127528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87F-4F7F-BC14-0B7E05704387}"/>
                </c:ext>
              </c:extLst>
            </c:dLbl>
            <c:dLbl>
              <c:idx val="24"/>
              <c:layout>
                <c:manualLayout>
                  <c:x val="-2.0699064389079484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87F-4F7F-BC14-0B7E05704387}"/>
                </c:ext>
              </c:extLst>
            </c:dLbl>
            <c:dLbl>
              <c:idx val="36"/>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87F-4F7F-BC14-0B7E05704387}"/>
                </c:ext>
              </c:extLst>
            </c:dLbl>
            <c:dLbl>
              <c:idx val="48"/>
              <c:layout>
                <c:manualLayout>
                  <c:x val="-2.06816639506594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87F-4F7F-BC14-0B7E05704387}"/>
                </c:ext>
              </c:extLst>
            </c:dLbl>
            <c:dLbl>
              <c:idx val="60"/>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87F-4F7F-BC14-0B7E05704387}"/>
                </c:ext>
              </c:extLst>
            </c:dLbl>
            <c:dLbl>
              <c:idx val="72"/>
              <c:layout>
                <c:manualLayout>
                  <c:x val="-1.9029687633721565E-2"/>
                  <c:y val="3.57962092722168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87F-4F7F-BC14-0B7E05704387}"/>
                </c:ext>
              </c:extLst>
            </c:dLbl>
            <c:dLbl>
              <c:idx val="84"/>
              <c:layout>
                <c:manualLayout>
                  <c:x val="-2.2446565561833522E-2"/>
                  <c:y val="3.552931189257716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87F-4F7F-BC14-0B7E05704387}"/>
                </c:ext>
              </c:extLst>
            </c:dLbl>
            <c:dLbl>
              <c:idx val="96"/>
              <c:layout>
                <c:manualLayout>
                  <c:x val="-2.162803473411614E-2"/>
                  <c:y val="3.620833022607217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387F-4F7F-BC14-0B7E05704387}"/>
                </c:ext>
              </c:extLst>
            </c:dLbl>
            <c:dLbl>
              <c:idx val="108"/>
              <c:layout>
                <c:manualLayout>
                  <c:x val="-2.5283475783475784E-2"/>
                  <c:y val="3.615711130995147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87F-4F7F-BC14-0B7E05704387}"/>
                </c:ext>
              </c:extLst>
            </c:dLbl>
            <c:dLbl>
              <c:idx val="120"/>
              <c:layout>
                <c:manualLayout>
                  <c:x val="-1.7734033245844268E-2"/>
                  <c:y val="3.744512577520730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387F-4F7F-BC14-0B7E0570438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Inflacija!$Q$40:$Q$162</c:f>
              <c:numCache>
                <c:formatCode>yyyy</c:formatCode>
                <c:ptCount val="12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formatCode="yy">
                  <c:v>44927</c:v>
                </c:pt>
                <c:pt idx="121" formatCode="yy">
                  <c:v>44958</c:v>
                </c:pt>
                <c:pt idx="122" formatCode="yy">
                  <c:v>44986</c:v>
                </c:pt>
              </c:numCache>
            </c:numRef>
          </c:cat>
          <c:val>
            <c:numRef>
              <c:f>Inflacija!$Z$40:$Z$162</c:f>
              <c:numCache>
                <c:formatCode>General</c:formatCode>
                <c:ptCount val="123"/>
                <c:pt idx="0">
                  <c:v>0</c:v>
                </c:pt>
                <c:pt idx="12">
                  <c:v>0</c:v>
                </c:pt>
                <c:pt idx="24">
                  <c:v>0</c:v>
                </c:pt>
                <c:pt idx="36">
                  <c:v>0</c:v>
                </c:pt>
                <c:pt idx="48">
                  <c:v>0</c:v>
                </c:pt>
                <c:pt idx="60">
                  <c:v>0</c:v>
                </c:pt>
                <c:pt idx="72">
                  <c:v>0</c:v>
                </c:pt>
                <c:pt idx="84">
                  <c:v>0</c:v>
                </c:pt>
                <c:pt idx="96">
                  <c:v>0</c:v>
                </c:pt>
                <c:pt idx="108">
                  <c:v>0</c:v>
                </c:pt>
                <c:pt idx="120">
                  <c:v>0</c:v>
                </c:pt>
              </c:numCache>
            </c:numRef>
          </c:val>
          <c:smooth val="0"/>
          <c:extLst>
            <c:ext xmlns:c16="http://schemas.microsoft.com/office/drawing/2014/chart" uri="{C3380CC4-5D6E-409C-BE32-E72D297353CC}">
              <c16:uniqueId val="{00000010-387F-4F7F-BC14-0B7E05704387}"/>
            </c:ext>
          </c:extLst>
        </c:ser>
        <c:dLbls>
          <c:showLegendKey val="0"/>
          <c:showVal val="0"/>
          <c:showCatName val="0"/>
          <c:showSerName val="0"/>
          <c:showPercent val="0"/>
          <c:showBubbleSize val="0"/>
        </c:dLbls>
        <c:smooth val="0"/>
        <c:axId val="2067917072"/>
        <c:axId val="2067937744"/>
      </c:lineChart>
      <c:catAx>
        <c:axId val="2067917072"/>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7744"/>
        <c:crosses val="autoZero"/>
        <c:auto val="0"/>
        <c:lblAlgn val="ctr"/>
        <c:lblOffset val="100"/>
        <c:tickLblSkip val="12"/>
        <c:tickMarkSkip val="1"/>
        <c:noMultiLvlLbl val="1"/>
      </c:catAx>
      <c:valAx>
        <c:axId val="2067937744"/>
        <c:scaling>
          <c:orientation val="minMax"/>
        </c:scaling>
        <c:delete val="0"/>
        <c:axPos val="l"/>
        <c:title>
          <c:tx>
            <c:rich>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r>
                  <a:rPr lang="sr-Latn-RS"/>
                  <a:t>%</a:t>
                </a:r>
                <a:endParaRPr lang="en-GB"/>
              </a:p>
            </c:rich>
          </c:tx>
          <c:layout>
            <c:manualLayout>
              <c:xMode val="edge"/>
              <c:yMode val="edge"/>
              <c:x val="8.3333333333333332E-3"/>
              <c:y val="0.34151501895596381"/>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7072"/>
        <c:crosses val="autoZero"/>
        <c:crossBetween val="midCat"/>
        <c:majorUnit val="2"/>
      </c:valAx>
      <c:spPr>
        <a:noFill/>
        <a:ln>
          <a:noFill/>
        </a:ln>
        <a:effectLst/>
      </c:spPr>
    </c:plotArea>
    <c:legend>
      <c:legendPos val="b"/>
      <c:legendEntry>
        <c:idx val="4"/>
        <c:delete val="1"/>
      </c:legendEntry>
      <c:legendEntry>
        <c:idx val="5"/>
        <c:delete val="1"/>
      </c:legendEntry>
      <c:layout>
        <c:manualLayout>
          <c:xMode val="edge"/>
          <c:yMode val="edge"/>
          <c:x val="5.2445156695156696E-2"/>
          <c:y val="0.75916055555555551"/>
          <c:w val="0.89270036496097616"/>
          <c:h val="0.237537777777777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178986378388172E-2"/>
          <c:y val="5.3106332138590201E-2"/>
          <c:w val="0.80840046303318902"/>
          <c:h val="0.58882795698924728"/>
        </c:manualLayout>
      </c:layout>
      <c:barChart>
        <c:barDir val="col"/>
        <c:grouping val="stacked"/>
        <c:varyColors val="0"/>
        <c:ser>
          <c:idx val="0"/>
          <c:order val="0"/>
          <c:tx>
            <c:strRef>
              <c:f>NPL!$S$4</c:f>
              <c:strCache>
                <c:ptCount val="1"/>
                <c:pt idx="0">
                  <c:v>Привреда</c:v>
                </c:pt>
              </c:strCache>
            </c:strRef>
          </c:tx>
          <c:spPr>
            <a:solidFill>
              <a:srgbClr val="10103C"/>
            </a:solidFill>
            <a:ln>
              <a:noFill/>
            </a:ln>
            <a:effectLst/>
          </c:spPr>
          <c:invertIfNegative val="0"/>
          <c:cat>
            <c:strRef>
              <c:f>NPL!$Q$5:$Q$15</c:f>
              <c:strCache>
                <c:ptCount val="11"/>
                <c:pt idx="0">
                  <c:v>2013</c:v>
                </c:pt>
                <c:pt idx="1">
                  <c:v>2014</c:v>
                </c:pt>
                <c:pt idx="2">
                  <c:v>2015</c:v>
                </c:pt>
                <c:pt idx="3">
                  <c:v>2016</c:v>
                </c:pt>
                <c:pt idx="4">
                  <c:v>2017</c:v>
                </c:pt>
                <c:pt idx="5">
                  <c:v>2018</c:v>
                </c:pt>
                <c:pt idx="6">
                  <c:v>2019</c:v>
                </c:pt>
                <c:pt idx="7">
                  <c:v>2020</c:v>
                </c:pt>
                <c:pt idx="8">
                  <c:v>2021</c:v>
                </c:pt>
                <c:pt idx="9">
                  <c:v>2022</c:v>
                </c:pt>
                <c:pt idx="10">
                  <c:v>II 2023</c:v>
                </c:pt>
              </c:strCache>
            </c:strRef>
          </c:cat>
          <c:val>
            <c:numRef>
              <c:f>NPL!$S$5:$S$15</c:f>
              <c:numCache>
                <c:formatCode>#,##0</c:formatCode>
                <c:ptCount val="11"/>
                <c:pt idx="0">
                  <c:v>238.4</c:v>
                </c:pt>
                <c:pt idx="1">
                  <c:v>248.4</c:v>
                </c:pt>
                <c:pt idx="2" formatCode="0">
                  <c:v>216.8</c:v>
                </c:pt>
                <c:pt idx="3" formatCode="0">
                  <c:v>172.8</c:v>
                </c:pt>
                <c:pt idx="4" formatCode="0">
                  <c:v>107.6</c:v>
                </c:pt>
                <c:pt idx="5" formatCode="0">
                  <c:v>56.849434000000002</c:v>
                </c:pt>
                <c:pt idx="6" formatCode="0">
                  <c:v>38.949154999999998</c:v>
                </c:pt>
                <c:pt idx="7" formatCode="0">
                  <c:v>41.826799999999999</c:v>
                </c:pt>
                <c:pt idx="8" formatCode="0">
                  <c:v>42.470480999999999</c:v>
                </c:pt>
                <c:pt idx="9" formatCode="0">
                  <c:v>33.931421</c:v>
                </c:pt>
              </c:numCache>
            </c:numRef>
          </c:val>
          <c:extLst>
            <c:ext xmlns:c16="http://schemas.microsoft.com/office/drawing/2014/chart" uri="{C3380CC4-5D6E-409C-BE32-E72D297353CC}">
              <c16:uniqueId val="{00000000-92E8-42C6-B87D-BE23765A3DC7}"/>
            </c:ext>
          </c:extLst>
        </c:ser>
        <c:ser>
          <c:idx val="1"/>
          <c:order val="1"/>
          <c:tx>
            <c:strRef>
              <c:f>NPL!$T$4</c:f>
              <c:strCache>
                <c:ptCount val="1"/>
                <c:pt idx="0">
                  <c:v>Становништво</c:v>
                </c:pt>
              </c:strCache>
            </c:strRef>
          </c:tx>
          <c:spPr>
            <a:solidFill>
              <a:srgbClr val="2183C4"/>
            </a:solidFill>
            <a:ln>
              <a:noFill/>
            </a:ln>
            <a:effectLst/>
          </c:spPr>
          <c:invertIfNegative val="0"/>
          <c:cat>
            <c:strRef>
              <c:f>NPL!$Q$5:$Q$15</c:f>
              <c:strCache>
                <c:ptCount val="11"/>
                <c:pt idx="0">
                  <c:v>2013</c:v>
                </c:pt>
                <c:pt idx="1">
                  <c:v>2014</c:v>
                </c:pt>
                <c:pt idx="2">
                  <c:v>2015</c:v>
                </c:pt>
                <c:pt idx="3">
                  <c:v>2016</c:v>
                </c:pt>
                <c:pt idx="4">
                  <c:v>2017</c:v>
                </c:pt>
                <c:pt idx="5">
                  <c:v>2018</c:v>
                </c:pt>
                <c:pt idx="6">
                  <c:v>2019</c:v>
                </c:pt>
                <c:pt idx="7">
                  <c:v>2020</c:v>
                </c:pt>
                <c:pt idx="8">
                  <c:v>2021</c:v>
                </c:pt>
                <c:pt idx="9">
                  <c:v>2022</c:v>
                </c:pt>
                <c:pt idx="10">
                  <c:v>II 2023</c:v>
                </c:pt>
              </c:strCache>
            </c:strRef>
          </c:cat>
          <c:val>
            <c:numRef>
              <c:f>NPL!$T$5:$T$15</c:f>
              <c:numCache>
                <c:formatCode>#,##0</c:formatCode>
                <c:ptCount val="11"/>
                <c:pt idx="0">
                  <c:v>56.7</c:v>
                </c:pt>
                <c:pt idx="1">
                  <c:v>66.400000000000006</c:v>
                </c:pt>
                <c:pt idx="2" formatCode="0">
                  <c:v>73.400000000000006</c:v>
                </c:pt>
                <c:pt idx="3" formatCode="0">
                  <c:v>69.2</c:v>
                </c:pt>
                <c:pt idx="4" formatCode="0">
                  <c:v>45.4</c:v>
                </c:pt>
                <c:pt idx="5" formatCode="0">
                  <c:v>39.608241</c:v>
                </c:pt>
                <c:pt idx="6" formatCode="0">
                  <c:v>39.016837000000002</c:v>
                </c:pt>
                <c:pt idx="7" formatCode="0">
                  <c:v>40.746828000000001</c:v>
                </c:pt>
                <c:pt idx="8" formatCode="0">
                  <c:v>49.355854000000001</c:v>
                </c:pt>
                <c:pt idx="9" formatCode="0">
                  <c:v>52.056607999999997</c:v>
                </c:pt>
              </c:numCache>
            </c:numRef>
          </c:val>
          <c:extLst>
            <c:ext xmlns:c16="http://schemas.microsoft.com/office/drawing/2014/chart" uri="{C3380CC4-5D6E-409C-BE32-E72D297353CC}">
              <c16:uniqueId val="{00000001-92E8-42C6-B87D-BE23765A3DC7}"/>
            </c:ext>
          </c:extLst>
        </c:ser>
        <c:ser>
          <c:idx val="2"/>
          <c:order val="2"/>
          <c:tx>
            <c:strRef>
              <c:f>NPL!$U$4</c:f>
              <c:strCache>
                <c:ptCount val="1"/>
                <c:pt idx="0">
                  <c:v>Остали</c:v>
                </c:pt>
              </c:strCache>
            </c:strRef>
          </c:tx>
          <c:spPr>
            <a:solidFill>
              <a:srgbClr val="51BBE7"/>
            </a:solidFill>
            <a:ln>
              <a:noFill/>
            </a:ln>
            <a:effectLst/>
          </c:spPr>
          <c:invertIfNegative val="0"/>
          <c:cat>
            <c:strRef>
              <c:f>NPL!$Q$5:$Q$15</c:f>
              <c:strCache>
                <c:ptCount val="11"/>
                <c:pt idx="0">
                  <c:v>2013</c:v>
                </c:pt>
                <c:pt idx="1">
                  <c:v>2014</c:v>
                </c:pt>
                <c:pt idx="2">
                  <c:v>2015</c:v>
                </c:pt>
                <c:pt idx="3">
                  <c:v>2016</c:v>
                </c:pt>
                <c:pt idx="4">
                  <c:v>2017</c:v>
                </c:pt>
                <c:pt idx="5">
                  <c:v>2018</c:v>
                </c:pt>
                <c:pt idx="6">
                  <c:v>2019</c:v>
                </c:pt>
                <c:pt idx="7">
                  <c:v>2020</c:v>
                </c:pt>
                <c:pt idx="8">
                  <c:v>2021</c:v>
                </c:pt>
                <c:pt idx="9">
                  <c:v>2022</c:v>
                </c:pt>
                <c:pt idx="10">
                  <c:v>II 2023</c:v>
                </c:pt>
              </c:strCache>
            </c:strRef>
          </c:cat>
          <c:val>
            <c:numRef>
              <c:f>NPL!$U$5:$U$15</c:f>
              <c:numCache>
                <c:formatCode>#,##0</c:formatCode>
                <c:ptCount val="11"/>
                <c:pt idx="0">
                  <c:v>100.2</c:v>
                </c:pt>
                <c:pt idx="1">
                  <c:v>106.4</c:v>
                </c:pt>
                <c:pt idx="2" formatCode="0">
                  <c:v>134.4</c:v>
                </c:pt>
                <c:pt idx="3" formatCode="0">
                  <c:v>103.8</c:v>
                </c:pt>
                <c:pt idx="4" formatCode="0">
                  <c:v>51.9</c:v>
                </c:pt>
                <c:pt idx="5" formatCode="0">
                  <c:v>34.192292000000002</c:v>
                </c:pt>
                <c:pt idx="6" formatCode="0">
                  <c:v>23.450085000000001</c:v>
                </c:pt>
                <c:pt idx="7" formatCode="0">
                  <c:v>19.835072</c:v>
                </c:pt>
                <c:pt idx="8" formatCode="0">
                  <c:v>14.720295999999999</c:v>
                </c:pt>
                <c:pt idx="9" formatCode="0">
                  <c:v>13.706455</c:v>
                </c:pt>
              </c:numCache>
            </c:numRef>
          </c:val>
          <c:extLst>
            <c:ext xmlns:c16="http://schemas.microsoft.com/office/drawing/2014/chart" uri="{C3380CC4-5D6E-409C-BE32-E72D297353CC}">
              <c16:uniqueId val="{00000002-92E8-42C6-B87D-BE23765A3DC7}"/>
            </c:ext>
          </c:extLst>
        </c:ser>
        <c:dLbls>
          <c:showLegendKey val="0"/>
          <c:showVal val="0"/>
          <c:showCatName val="0"/>
          <c:showSerName val="0"/>
          <c:showPercent val="0"/>
          <c:showBubbleSize val="0"/>
        </c:dLbls>
        <c:gapWidth val="40"/>
        <c:overlap val="100"/>
        <c:axId val="1839178672"/>
        <c:axId val="1839199888"/>
      </c:barChart>
      <c:lineChart>
        <c:grouping val="standard"/>
        <c:varyColors val="0"/>
        <c:ser>
          <c:idx val="3"/>
          <c:order val="3"/>
          <c:tx>
            <c:strRef>
              <c:f>NPL!$V$4</c:f>
              <c:strCache>
                <c:ptCount val="1"/>
                <c:pt idx="0">
                  <c:v>NPL % (бруто)</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6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NPL!$Q$5:$Q$15</c:f>
              <c:strCache>
                <c:ptCount val="11"/>
                <c:pt idx="0">
                  <c:v>2013</c:v>
                </c:pt>
                <c:pt idx="1">
                  <c:v>2014</c:v>
                </c:pt>
                <c:pt idx="2">
                  <c:v>2015</c:v>
                </c:pt>
                <c:pt idx="3">
                  <c:v>2016</c:v>
                </c:pt>
                <c:pt idx="4">
                  <c:v>2017</c:v>
                </c:pt>
                <c:pt idx="5">
                  <c:v>2018</c:v>
                </c:pt>
                <c:pt idx="6">
                  <c:v>2019</c:v>
                </c:pt>
                <c:pt idx="7">
                  <c:v>2020</c:v>
                </c:pt>
                <c:pt idx="8">
                  <c:v>2021</c:v>
                </c:pt>
                <c:pt idx="9">
                  <c:v>2022</c:v>
                </c:pt>
                <c:pt idx="10">
                  <c:v>II 2023</c:v>
                </c:pt>
              </c:strCache>
            </c:strRef>
          </c:cat>
          <c:val>
            <c:numRef>
              <c:f>NPL!$V$5:$V$15</c:f>
              <c:numCache>
                <c:formatCode>#.#00%</c:formatCode>
                <c:ptCount val="11"/>
                <c:pt idx="0">
                  <c:v>0.2137</c:v>
                </c:pt>
                <c:pt idx="1">
                  <c:v>0.21539999999999998</c:v>
                </c:pt>
                <c:pt idx="2">
                  <c:v>0.216</c:v>
                </c:pt>
                <c:pt idx="3">
                  <c:v>0.17030000000000001</c:v>
                </c:pt>
                <c:pt idx="4">
                  <c:v>9.8500000000000004E-2</c:v>
                </c:pt>
                <c:pt idx="5">
                  <c:v>5.7000000000000002E-2</c:v>
                </c:pt>
                <c:pt idx="6">
                  <c:v>4.1000000000000002E-2</c:v>
                </c:pt>
                <c:pt idx="7">
                  <c:v>3.6999999999999998E-2</c:v>
                </c:pt>
                <c:pt idx="8">
                  <c:v>3.5999999999999997E-2</c:v>
                </c:pt>
                <c:pt idx="9">
                  <c:v>0.03</c:v>
                </c:pt>
                <c:pt idx="10">
                  <c:v>0.03</c:v>
                </c:pt>
              </c:numCache>
            </c:numRef>
          </c:val>
          <c:smooth val="0"/>
          <c:extLst>
            <c:ext xmlns:c16="http://schemas.microsoft.com/office/drawing/2014/chart" uri="{C3380CC4-5D6E-409C-BE32-E72D297353CC}">
              <c16:uniqueId val="{00000003-92E8-42C6-B87D-BE23765A3DC7}"/>
            </c:ext>
          </c:extLst>
        </c:ser>
        <c:dLbls>
          <c:showLegendKey val="0"/>
          <c:showVal val="0"/>
          <c:showCatName val="0"/>
          <c:showSerName val="0"/>
          <c:showPercent val="0"/>
          <c:showBubbleSize val="0"/>
        </c:dLbls>
        <c:marker val="1"/>
        <c:smooth val="0"/>
        <c:axId val="1839198256"/>
        <c:axId val="1839197712"/>
      </c:lineChart>
      <c:catAx>
        <c:axId val="183917867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9888"/>
        <c:crosses val="autoZero"/>
        <c:auto val="1"/>
        <c:lblAlgn val="ctr"/>
        <c:lblOffset val="100"/>
        <c:noMultiLvlLbl val="0"/>
      </c:catAx>
      <c:valAx>
        <c:axId val="1839199888"/>
        <c:scaling>
          <c:orientation val="minMax"/>
          <c:max val="4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8672"/>
        <c:crosses val="autoZero"/>
        <c:crossBetween val="between"/>
        <c:majorUnit val="100"/>
      </c:valAx>
      <c:valAx>
        <c:axId val="1839197712"/>
        <c:scaling>
          <c:orientation val="minMax"/>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8256"/>
        <c:crosses val="max"/>
        <c:crossBetween val="between"/>
      </c:valAx>
      <c:catAx>
        <c:axId val="1839198256"/>
        <c:scaling>
          <c:orientation val="minMax"/>
        </c:scaling>
        <c:delete val="1"/>
        <c:axPos val="b"/>
        <c:numFmt formatCode="General" sourceLinked="1"/>
        <c:majorTickMark val="out"/>
        <c:minorTickMark val="none"/>
        <c:tickLblPos val="nextTo"/>
        <c:crossAx val="1839197712"/>
        <c:crosses val="autoZero"/>
        <c:auto val="1"/>
        <c:lblAlgn val="ctr"/>
        <c:lblOffset val="100"/>
        <c:noMultiLvlLbl val="0"/>
      </c:catAx>
      <c:spPr>
        <a:noFill/>
        <a:ln>
          <a:noFill/>
        </a:ln>
        <a:effectLst/>
      </c:spPr>
    </c:plotArea>
    <c:legend>
      <c:legendPos val="b"/>
      <c:layout>
        <c:manualLayout>
          <c:xMode val="edge"/>
          <c:yMode val="edge"/>
          <c:x val="0.14793963254593176"/>
          <c:y val="0.82833811230585419"/>
          <c:w val="0.76430592009332154"/>
          <c:h val="0.1489020310633213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067586007101372E-2"/>
          <c:y val="5.6338028169014086E-2"/>
          <c:w val="0.79899510791436967"/>
          <c:h val="0.65544933643857894"/>
        </c:manualLayout>
      </c:layout>
      <c:barChart>
        <c:barDir val="col"/>
        <c:grouping val="clustered"/>
        <c:varyColors val="0"/>
        <c:ser>
          <c:idx val="1"/>
          <c:order val="1"/>
          <c:tx>
            <c:strRef>
              <c:f>'Devizni kurs'!$V$2</c:f>
              <c:strCache>
                <c:ptCount val="1"/>
                <c:pt idx="0">
                  <c:v>Интервенције НБС, нето продаја, мил. евра (десна скала)</c:v>
                </c:pt>
              </c:strCache>
            </c:strRef>
          </c:tx>
          <c:spPr>
            <a:solidFill>
              <a:srgbClr val="29489A"/>
            </a:solidFill>
            <a:ln>
              <a:noFill/>
            </a:ln>
            <a:effectLst/>
          </c:spPr>
          <c:invertIfNegative val="0"/>
          <c:cat>
            <c:numRef>
              <c:f>'Devizni kurs'!$Q$39:$Q$149</c:f>
              <c:numCache>
                <c:formatCode>yyyy</c:formatCode>
                <c:ptCount val="11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formatCode="yy">
                  <c:v>44927</c:v>
                </c:pt>
                <c:pt idx="109" formatCode="yy">
                  <c:v>44958</c:v>
                </c:pt>
                <c:pt idx="110" formatCode="yy">
                  <c:v>44986</c:v>
                </c:pt>
              </c:numCache>
            </c:numRef>
          </c:cat>
          <c:val>
            <c:numRef>
              <c:f>'Devizni kurs'!$V$39:$V$149</c:f>
              <c:numCache>
                <c:formatCode>General</c:formatCode>
                <c:ptCount val="111"/>
                <c:pt idx="0">
                  <c:v>330</c:v>
                </c:pt>
                <c:pt idx="1">
                  <c:v>280</c:v>
                </c:pt>
                <c:pt idx="2">
                  <c:v>190</c:v>
                </c:pt>
                <c:pt idx="3">
                  <c:v>-110</c:v>
                </c:pt>
                <c:pt idx="4">
                  <c:v>-20</c:v>
                </c:pt>
                <c:pt idx="5" formatCode="0">
                  <c:v>-40</c:v>
                </c:pt>
                <c:pt idx="6">
                  <c:v>30</c:v>
                </c:pt>
                <c:pt idx="7">
                  <c:v>60</c:v>
                </c:pt>
                <c:pt idx="8">
                  <c:v>135</c:v>
                </c:pt>
                <c:pt idx="9">
                  <c:v>140</c:v>
                </c:pt>
                <c:pt idx="10">
                  <c:v>250</c:v>
                </c:pt>
                <c:pt idx="11">
                  <c:v>375</c:v>
                </c:pt>
                <c:pt idx="12">
                  <c:v>90</c:v>
                </c:pt>
                <c:pt idx="13">
                  <c:v>-140</c:v>
                </c:pt>
                <c:pt idx="14">
                  <c:v>-120</c:v>
                </c:pt>
                <c:pt idx="15">
                  <c:v>-110</c:v>
                </c:pt>
                <c:pt idx="16">
                  <c:v>0</c:v>
                </c:pt>
                <c:pt idx="17">
                  <c:v>-10</c:v>
                </c:pt>
                <c:pt idx="18">
                  <c:v>-230</c:v>
                </c:pt>
                <c:pt idx="19">
                  <c:v>-130</c:v>
                </c:pt>
                <c:pt idx="20">
                  <c:v>-80</c:v>
                </c:pt>
                <c:pt idx="21">
                  <c:v>-60</c:v>
                </c:pt>
                <c:pt idx="22">
                  <c:v>0</c:v>
                </c:pt>
                <c:pt idx="23">
                  <c:v>270</c:v>
                </c:pt>
                <c:pt idx="24">
                  <c:v>290</c:v>
                </c:pt>
                <c:pt idx="25">
                  <c:v>100</c:v>
                </c:pt>
                <c:pt idx="26">
                  <c:v>175</c:v>
                </c:pt>
                <c:pt idx="27">
                  <c:v>140</c:v>
                </c:pt>
                <c:pt idx="28">
                  <c:v>65</c:v>
                </c:pt>
                <c:pt idx="29">
                  <c:v>50</c:v>
                </c:pt>
                <c:pt idx="30">
                  <c:v>-355</c:v>
                </c:pt>
                <c:pt idx="31">
                  <c:v>-90</c:v>
                </c:pt>
                <c:pt idx="32">
                  <c:v>-30</c:v>
                </c:pt>
                <c:pt idx="33">
                  <c:v>-135</c:v>
                </c:pt>
                <c:pt idx="34">
                  <c:v>-60</c:v>
                </c:pt>
                <c:pt idx="35">
                  <c:v>10</c:v>
                </c:pt>
                <c:pt idx="36">
                  <c:v>225</c:v>
                </c:pt>
                <c:pt idx="37">
                  <c:v>105</c:v>
                </c:pt>
                <c:pt idx="38">
                  <c:v>15</c:v>
                </c:pt>
                <c:pt idx="39">
                  <c:v>-40</c:v>
                </c:pt>
                <c:pt idx="40">
                  <c:v>-120</c:v>
                </c:pt>
                <c:pt idx="41">
                  <c:v>-345</c:v>
                </c:pt>
                <c:pt idx="42">
                  <c:v>-165</c:v>
                </c:pt>
                <c:pt idx="43">
                  <c:v>-290</c:v>
                </c:pt>
                <c:pt idx="44">
                  <c:v>-150</c:v>
                </c:pt>
                <c:pt idx="45">
                  <c:v>-15</c:v>
                </c:pt>
                <c:pt idx="46">
                  <c:v>-50</c:v>
                </c:pt>
                <c:pt idx="47">
                  <c:v>135</c:v>
                </c:pt>
                <c:pt idx="48">
                  <c:v>180</c:v>
                </c:pt>
                <c:pt idx="49">
                  <c:v>-180</c:v>
                </c:pt>
                <c:pt idx="50">
                  <c:v>-400</c:v>
                </c:pt>
                <c:pt idx="51">
                  <c:v>-205</c:v>
                </c:pt>
                <c:pt idx="52">
                  <c:v>-220</c:v>
                </c:pt>
                <c:pt idx="53">
                  <c:v>-365</c:v>
                </c:pt>
                <c:pt idx="54">
                  <c:v>-220</c:v>
                </c:pt>
                <c:pt idx="55">
                  <c:v>-190</c:v>
                </c:pt>
                <c:pt idx="56">
                  <c:v>5</c:v>
                </c:pt>
                <c:pt idx="57">
                  <c:v>30</c:v>
                </c:pt>
                <c:pt idx="58">
                  <c:v>-15</c:v>
                </c:pt>
                <c:pt idx="59">
                  <c:v>0</c:v>
                </c:pt>
                <c:pt idx="60">
                  <c:v>130</c:v>
                </c:pt>
                <c:pt idx="61">
                  <c:v>-30</c:v>
                </c:pt>
                <c:pt idx="62">
                  <c:v>-135</c:v>
                </c:pt>
                <c:pt idx="63">
                  <c:v>-75</c:v>
                </c:pt>
                <c:pt idx="64" formatCode="0">
                  <c:v>-110</c:v>
                </c:pt>
                <c:pt idx="65" formatCode="0">
                  <c:v>-735</c:v>
                </c:pt>
                <c:pt idx="66" formatCode="0">
                  <c:v>-645</c:v>
                </c:pt>
                <c:pt idx="67" formatCode="0">
                  <c:v>-105</c:v>
                </c:pt>
                <c:pt idx="68" formatCode="0">
                  <c:v>-410</c:v>
                </c:pt>
                <c:pt idx="69">
                  <c:v>-235</c:v>
                </c:pt>
                <c:pt idx="70">
                  <c:v>0</c:v>
                </c:pt>
                <c:pt idx="71">
                  <c:v>-355</c:v>
                </c:pt>
                <c:pt idx="72">
                  <c:v>-15</c:v>
                </c:pt>
                <c:pt idx="73">
                  <c:v>65</c:v>
                </c:pt>
                <c:pt idx="74">
                  <c:v>135</c:v>
                </c:pt>
                <c:pt idx="75">
                  <c:v>440</c:v>
                </c:pt>
                <c:pt idx="76">
                  <c:v>250</c:v>
                </c:pt>
                <c:pt idx="77">
                  <c:v>155</c:v>
                </c:pt>
                <c:pt idx="78">
                  <c:v>325</c:v>
                </c:pt>
                <c:pt idx="79">
                  <c:v>160</c:v>
                </c:pt>
                <c:pt idx="80">
                  <c:v>120</c:v>
                </c:pt>
                <c:pt idx="81">
                  <c:v>100</c:v>
                </c:pt>
                <c:pt idx="82">
                  <c:v>-115</c:v>
                </c:pt>
                <c:pt idx="83">
                  <c:v>-170</c:v>
                </c:pt>
                <c:pt idx="84">
                  <c:v>105</c:v>
                </c:pt>
                <c:pt idx="85">
                  <c:v>-55</c:v>
                </c:pt>
                <c:pt idx="86">
                  <c:v>0</c:v>
                </c:pt>
                <c:pt idx="87">
                  <c:v>0</c:v>
                </c:pt>
                <c:pt idx="88">
                  <c:v>-45</c:v>
                </c:pt>
                <c:pt idx="89">
                  <c:v>-325</c:v>
                </c:pt>
                <c:pt idx="90">
                  <c:v>-380</c:v>
                </c:pt>
                <c:pt idx="91">
                  <c:v>-265</c:v>
                </c:pt>
                <c:pt idx="92">
                  <c:v>-135</c:v>
                </c:pt>
                <c:pt idx="93">
                  <c:v>140</c:v>
                </c:pt>
                <c:pt idx="94">
                  <c:v>110</c:v>
                </c:pt>
                <c:pt idx="95">
                  <c:v>205</c:v>
                </c:pt>
                <c:pt idx="96">
                  <c:v>340</c:v>
                </c:pt>
                <c:pt idx="97">
                  <c:v>605</c:v>
                </c:pt>
                <c:pt idx="98">
                  <c:v>1170</c:v>
                </c:pt>
                <c:pt idx="99">
                  <c:v>155</c:v>
                </c:pt>
                <c:pt idx="100">
                  <c:v>-75</c:v>
                </c:pt>
                <c:pt idx="101">
                  <c:v>-405</c:v>
                </c:pt>
                <c:pt idx="102">
                  <c:v>-435</c:v>
                </c:pt>
                <c:pt idx="103">
                  <c:v>-450</c:v>
                </c:pt>
                <c:pt idx="104">
                  <c:v>-480</c:v>
                </c:pt>
                <c:pt idx="105">
                  <c:v>-525</c:v>
                </c:pt>
                <c:pt idx="106">
                  <c:v>-350</c:v>
                </c:pt>
                <c:pt idx="107">
                  <c:v>-550</c:v>
                </c:pt>
                <c:pt idx="108">
                  <c:v>225</c:v>
                </c:pt>
                <c:pt idx="109">
                  <c:v>-390</c:v>
                </c:pt>
                <c:pt idx="110">
                  <c:v>-300</c:v>
                </c:pt>
              </c:numCache>
            </c:numRef>
          </c:val>
          <c:extLst>
            <c:ext xmlns:c16="http://schemas.microsoft.com/office/drawing/2014/chart" uri="{C3380CC4-5D6E-409C-BE32-E72D297353CC}">
              <c16:uniqueId val="{00000000-0667-4782-BDAD-F667816DE331}"/>
            </c:ext>
          </c:extLst>
        </c:ser>
        <c:dLbls>
          <c:showLegendKey val="0"/>
          <c:showVal val="0"/>
          <c:showCatName val="0"/>
          <c:showSerName val="0"/>
          <c:showPercent val="0"/>
          <c:showBubbleSize val="0"/>
        </c:dLbls>
        <c:gapWidth val="30"/>
        <c:axId val="1839186832"/>
        <c:axId val="1839203696"/>
      </c:barChart>
      <c:lineChart>
        <c:grouping val="standard"/>
        <c:varyColors val="0"/>
        <c:ser>
          <c:idx val="0"/>
          <c:order val="0"/>
          <c:tx>
            <c:strRef>
              <c:f>'Devizni kurs'!$U$2</c:f>
              <c:strCache>
                <c:ptCount val="1"/>
                <c:pt idx="0">
                  <c:v>Просечан девизни курс ЕУР/РСД</c:v>
                </c:pt>
              </c:strCache>
            </c:strRef>
          </c:tx>
          <c:spPr>
            <a:ln w="22225" cap="rnd">
              <a:solidFill>
                <a:srgbClr val="FF0000"/>
              </a:solidFill>
              <a:round/>
            </a:ln>
            <a:effectLst/>
          </c:spPr>
          <c:marker>
            <c:symbol val="none"/>
          </c:marker>
          <c:cat>
            <c:numRef>
              <c:f>'Devizni kurs'!$Q$39:$Q$149</c:f>
              <c:numCache>
                <c:formatCode>yyyy</c:formatCode>
                <c:ptCount val="11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formatCode="yy">
                  <c:v>44927</c:v>
                </c:pt>
                <c:pt idx="109" formatCode="yy">
                  <c:v>44958</c:v>
                </c:pt>
                <c:pt idx="110" formatCode="yy">
                  <c:v>44986</c:v>
                </c:pt>
              </c:numCache>
            </c:numRef>
          </c:cat>
          <c:val>
            <c:numRef>
              <c:f>'Devizni kurs'!$U$39:$U$149</c:f>
              <c:numCache>
                <c:formatCode>#.000</c:formatCode>
                <c:ptCount val="111"/>
                <c:pt idx="0">
                  <c:v>115.50068000000002</c:v>
                </c:pt>
                <c:pt idx="1">
                  <c:v>115.89948421052632</c:v>
                </c:pt>
                <c:pt idx="2">
                  <c:v>115.84343333333334</c:v>
                </c:pt>
                <c:pt idx="3">
                  <c:v>115.5407</c:v>
                </c:pt>
                <c:pt idx="4">
                  <c:v>115.65779999999999</c:v>
                </c:pt>
                <c:pt idx="5">
                  <c:v>115.5341</c:v>
                </c:pt>
                <c:pt idx="6">
                  <c:v>116.22490000000001</c:v>
                </c:pt>
                <c:pt idx="7">
                  <c:v>117.3078</c:v>
                </c:pt>
                <c:pt idx="8">
                  <c:v>118.61799999999999</c:v>
                </c:pt>
                <c:pt idx="9">
                  <c:v>119.3497</c:v>
                </c:pt>
                <c:pt idx="10">
                  <c:v>119.9829</c:v>
                </c:pt>
                <c:pt idx="11">
                  <c:v>121.53</c:v>
                </c:pt>
                <c:pt idx="12">
                  <c:v>122.62</c:v>
                </c:pt>
                <c:pt idx="13">
                  <c:v>121.58</c:v>
                </c:pt>
                <c:pt idx="14">
                  <c:v>120.47</c:v>
                </c:pt>
                <c:pt idx="15">
                  <c:v>120.17</c:v>
                </c:pt>
                <c:pt idx="16">
                  <c:v>120.59</c:v>
                </c:pt>
                <c:pt idx="17">
                  <c:v>120.55517727272726</c:v>
                </c:pt>
                <c:pt idx="18">
                  <c:v>120.21342173913044</c:v>
                </c:pt>
                <c:pt idx="19">
                  <c:v>120.22183333333331</c:v>
                </c:pt>
                <c:pt idx="20">
                  <c:v>120.18703181818181</c:v>
                </c:pt>
                <c:pt idx="21">
                  <c:v>120.07991818181817</c:v>
                </c:pt>
                <c:pt idx="22">
                  <c:v>120.65054000000001</c:v>
                </c:pt>
                <c:pt idx="23">
                  <c:v>121.75174782608696</c:v>
                </c:pt>
                <c:pt idx="24">
                  <c:v>122.54524736842107</c:v>
                </c:pt>
                <c:pt idx="25">
                  <c:v>122.87654736842104</c:v>
                </c:pt>
                <c:pt idx="26">
                  <c:v>123.13206956521738</c:v>
                </c:pt>
                <c:pt idx="27">
                  <c:v>122.80799500000001</c:v>
                </c:pt>
                <c:pt idx="28">
                  <c:v>122.82450500000002</c:v>
                </c:pt>
                <c:pt idx="29">
                  <c:v>123.40000909090909</c:v>
                </c:pt>
                <c:pt idx="30">
                  <c:v>123.34886190476189</c:v>
                </c:pt>
                <c:pt idx="31">
                  <c:v>123.30531739130437</c:v>
                </c:pt>
                <c:pt idx="32">
                  <c:v>123.23121818181816</c:v>
                </c:pt>
                <c:pt idx="33">
                  <c:v>123.17817142857142</c:v>
                </c:pt>
                <c:pt idx="34">
                  <c:v>123.18741904761906</c:v>
                </c:pt>
                <c:pt idx="35">
                  <c:v>123.42</c:v>
                </c:pt>
                <c:pt idx="36">
                  <c:v>123.8</c:v>
                </c:pt>
                <c:pt idx="37">
                  <c:v>123.94</c:v>
                </c:pt>
                <c:pt idx="38">
                  <c:v>123.89</c:v>
                </c:pt>
                <c:pt idx="39">
                  <c:v>123.66</c:v>
                </c:pt>
                <c:pt idx="40">
                  <c:v>123.05</c:v>
                </c:pt>
                <c:pt idx="41">
                  <c:v>122.02</c:v>
                </c:pt>
                <c:pt idx="42">
                  <c:v>120.42</c:v>
                </c:pt>
                <c:pt idx="43">
                  <c:v>119.57</c:v>
                </c:pt>
                <c:pt idx="44">
                  <c:v>119.2957</c:v>
                </c:pt>
                <c:pt idx="45">
                  <c:v>119.2818</c:v>
                </c:pt>
                <c:pt idx="46">
                  <c:v>118.89884545454547</c:v>
                </c:pt>
                <c:pt idx="47">
                  <c:v>119.13943333333332</c:v>
                </c:pt>
                <c:pt idx="48">
                  <c:v>118.61770952380952</c:v>
                </c:pt>
                <c:pt idx="49">
                  <c:v>118.39149999999999</c:v>
                </c:pt>
                <c:pt idx="50">
                  <c:v>118.2688</c:v>
                </c:pt>
                <c:pt idx="51">
                  <c:v>118.19159999999999</c:v>
                </c:pt>
                <c:pt idx="52">
                  <c:v>118.18894761904762</c:v>
                </c:pt>
                <c:pt idx="53">
                  <c:v>118.13484285714287</c:v>
                </c:pt>
                <c:pt idx="54">
                  <c:v>118.04732272727273</c:v>
                </c:pt>
                <c:pt idx="55">
                  <c:v>118.10411304347828</c:v>
                </c:pt>
                <c:pt idx="56">
                  <c:v>118.278565</c:v>
                </c:pt>
                <c:pt idx="57">
                  <c:v>118.43672608695648</c:v>
                </c:pt>
                <c:pt idx="58">
                  <c:v>118.34287619047618</c:v>
                </c:pt>
                <c:pt idx="59">
                  <c:v>118.27724285714282</c:v>
                </c:pt>
                <c:pt idx="60">
                  <c:v>118.41</c:v>
                </c:pt>
                <c:pt idx="61">
                  <c:v>118.24</c:v>
                </c:pt>
                <c:pt idx="62">
                  <c:v>118.04</c:v>
                </c:pt>
                <c:pt idx="63">
                  <c:v>117.99</c:v>
                </c:pt>
                <c:pt idx="64">
                  <c:v>117.96469999999999</c:v>
                </c:pt>
                <c:pt idx="65">
                  <c:v>117.93766999999998</c:v>
                </c:pt>
                <c:pt idx="66">
                  <c:v>117.78449999999999</c:v>
                </c:pt>
                <c:pt idx="67">
                  <c:v>117.777</c:v>
                </c:pt>
                <c:pt idx="68">
                  <c:v>117.5958</c:v>
                </c:pt>
                <c:pt idx="69">
                  <c:v>117.5453</c:v>
                </c:pt>
                <c:pt idx="70">
                  <c:v>117.51315499999998</c:v>
                </c:pt>
                <c:pt idx="71">
                  <c:v>117.54</c:v>
                </c:pt>
                <c:pt idx="72">
                  <c:v>117.5643</c:v>
                </c:pt>
                <c:pt idx="73">
                  <c:v>117.57170000000001</c:v>
                </c:pt>
                <c:pt idx="74">
                  <c:v>117.5625</c:v>
                </c:pt>
                <c:pt idx="75">
                  <c:v>117.5694</c:v>
                </c:pt>
                <c:pt idx="76">
                  <c:v>117.5913</c:v>
                </c:pt>
                <c:pt idx="77">
                  <c:v>117.5852</c:v>
                </c:pt>
                <c:pt idx="78">
                  <c:v>117.58579130434782</c:v>
                </c:pt>
                <c:pt idx="79">
                  <c:v>117.58645238095237</c:v>
                </c:pt>
                <c:pt idx="80">
                  <c:v>117.58302727272726</c:v>
                </c:pt>
                <c:pt idx="81" formatCode="General">
                  <c:v>117.58</c:v>
                </c:pt>
                <c:pt idx="82">
                  <c:v>117.57380000000001</c:v>
                </c:pt>
                <c:pt idx="83">
                  <c:v>117.57769999999999</c:v>
                </c:pt>
                <c:pt idx="84">
                  <c:v>117.58203684210527</c:v>
                </c:pt>
                <c:pt idx="85">
                  <c:v>117.57634999999998</c:v>
                </c:pt>
                <c:pt idx="86">
                  <c:v>117.57657826086957</c:v>
                </c:pt>
                <c:pt idx="87">
                  <c:v>117.57283333333332</c:v>
                </c:pt>
                <c:pt idx="88">
                  <c:v>117.57888421052631</c:v>
                </c:pt>
                <c:pt idx="89">
                  <c:v>117.57026363636363</c:v>
                </c:pt>
                <c:pt idx="90">
                  <c:v>117.56288181818182</c:v>
                </c:pt>
                <c:pt idx="91">
                  <c:v>117.56745909090908</c:v>
                </c:pt>
                <c:pt idx="92">
                  <c:v>117.5668</c:v>
                </c:pt>
                <c:pt idx="93">
                  <c:v>117.56744285714285</c:v>
                </c:pt>
                <c:pt idx="94">
                  <c:v>117.58056666666668</c:v>
                </c:pt>
                <c:pt idx="95">
                  <c:v>117.58005217391303</c:v>
                </c:pt>
                <c:pt idx="96">
                  <c:v>117.58427894736842</c:v>
                </c:pt>
                <c:pt idx="97">
                  <c:v>117.59068333333335</c:v>
                </c:pt>
                <c:pt idx="98">
                  <c:v>117.67664782608693</c:v>
                </c:pt>
                <c:pt idx="99">
                  <c:v>117.72751578947369</c:v>
                </c:pt>
                <c:pt idx="100">
                  <c:v>117.55720999999998</c:v>
                </c:pt>
                <c:pt idx="101">
                  <c:v>117.42971363636362</c:v>
                </c:pt>
                <c:pt idx="102">
                  <c:v>117.39375714285714</c:v>
                </c:pt>
                <c:pt idx="103">
                  <c:v>117.35496086956519</c:v>
                </c:pt>
                <c:pt idx="104">
                  <c:v>117.32463636363637</c:v>
                </c:pt>
                <c:pt idx="105">
                  <c:v>117.31286666666665</c:v>
                </c:pt>
                <c:pt idx="106">
                  <c:v>117.30856666666664</c:v>
                </c:pt>
                <c:pt idx="107">
                  <c:v>117.30965454545456</c:v>
                </c:pt>
                <c:pt idx="108">
                  <c:v>117.36350499999999</c:v>
                </c:pt>
                <c:pt idx="109">
                  <c:v>117.32664444444445</c:v>
                </c:pt>
                <c:pt idx="110">
                  <c:v>117.31440869565216</c:v>
                </c:pt>
              </c:numCache>
            </c:numRef>
          </c:val>
          <c:smooth val="0"/>
          <c:extLst>
            <c:ext xmlns:c16="http://schemas.microsoft.com/office/drawing/2014/chart" uri="{C3380CC4-5D6E-409C-BE32-E72D297353CC}">
              <c16:uniqueId val="{00000001-0667-4782-BDAD-F667816DE331}"/>
            </c:ext>
          </c:extLst>
        </c:ser>
        <c:ser>
          <c:idx val="2"/>
          <c:order val="2"/>
          <c:tx>
            <c:strRef>
              <c:f>'Devizni kurs'!$W$2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8575676036203562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667-4782-BDAD-F667816DE331}"/>
                </c:ext>
              </c:extLst>
            </c:dLbl>
            <c:dLbl>
              <c:idx val="12"/>
              <c:layout>
                <c:manualLayout>
                  <c:x val="-2.3980625329626394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667-4782-BDAD-F667816DE331}"/>
                </c:ext>
              </c:extLst>
            </c:dLbl>
            <c:dLbl>
              <c:idx val="24"/>
              <c:layout>
                <c:manualLayout>
                  <c:x val="-2.39766271048381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667-4782-BDAD-F667816DE331}"/>
                </c:ext>
              </c:extLst>
            </c:dLbl>
            <c:dLbl>
              <c:idx val="36"/>
              <c:layout>
                <c:manualLayout>
                  <c:x val="-2.3982547555871456E-2"/>
                  <c:y val="3.838557045024561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667-4782-BDAD-F667816DE331}"/>
                </c:ext>
              </c:extLst>
            </c:dLbl>
            <c:dLbl>
              <c:idx val="48"/>
              <c:layout>
                <c:manualLayout>
                  <c:x val="-2.475846178842048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667-4782-BDAD-F667816DE331}"/>
                </c:ext>
              </c:extLst>
            </c:dLbl>
            <c:dLbl>
              <c:idx val="60"/>
              <c:layout>
                <c:manualLayout>
                  <c:x val="-2.0803054177722501E-2"/>
                  <c:y val="3.838557045024561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667-4782-BDAD-F667816DE331}"/>
                </c:ext>
              </c:extLst>
            </c:dLbl>
            <c:dLbl>
              <c:idx val="72"/>
              <c:layout>
                <c:manualLayout>
                  <c:x val="-2.1343345964413642E-2"/>
                  <c:y val="3.790456167555141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667-4782-BDAD-F667816DE331}"/>
                </c:ext>
              </c:extLst>
            </c:dLbl>
            <c:dLbl>
              <c:idx val="84"/>
              <c:layout>
                <c:manualLayout>
                  <c:x val="-2.2236793433780117E-2"/>
                  <c:y val="3.752938672273084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667-4782-BDAD-F667816DE331}"/>
                </c:ext>
              </c:extLst>
            </c:dLbl>
            <c:dLbl>
              <c:idx val="96"/>
              <c:layout>
                <c:manualLayout>
                  <c:x val="-2.6851851851851852E-2"/>
                  <c:y val="3.7949962867992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667-4782-BDAD-F667816DE331}"/>
                </c:ext>
              </c:extLst>
            </c:dLbl>
            <c:dLbl>
              <c:idx val="108"/>
              <c:layout>
                <c:manualLayout>
                  <c:x val="-3.6005831592591069E-2"/>
                  <c:y val="3.828911742352270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667-4782-BDAD-F667816DE33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'Devizni kurs'!$Q$39:$Q$149</c:f>
              <c:numCache>
                <c:formatCode>yyyy</c:formatCode>
                <c:ptCount val="11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formatCode="yy">
                  <c:v>44927</c:v>
                </c:pt>
                <c:pt idx="109" formatCode="yy">
                  <c:v>44958</c:v>
                </c:pt>
                <c:pt idx="110" formatCode="yy">
                  <c:v>44986</c:v>
                </c:pt>
              </c:numCache>
            </c:numRef>
          </c:cat>
          <c:val>
            <c:numRef>
              <c:f>'Devizni kurs'!$W$39:$W$149</c:f>
              <c:numCache>
                <c:formatCode>General</c:formatCode>
                <c:ptCount val="111"/>
                <c:pt idx="0">
                  <c:v>85</c:v>
                </c:pt>
                <c:pt idx="12">
                  <c:v>85</c:v>
                </c:pt>
                <c:pt idx="24">
                  <c:v>85</c:v>
                </c:pt>
                <c:pt idx="36">
                  <c:v>85</c:v>
                </c:pt>
                <c:pt idx="48">
                  <c:v>85</c:v>
                </c:pt>
                <c:pt idx="60">
                  <c:v>85</c:v>
                </c:pt>
                <c:pt idx="72">
                  <c:v>85</c:v>
                </c:pt>
                <c:pt idx="84">
                  <c:v>85</c:v>
                </c:pt>
                <c:pt idx="96">
                  <c:v>85</c:v>
                </c:pt>
                <c:pt idx="108">
                  <c:v>85</c:v>
                </c:pt>
              </c:numCache>
            </c:numRef>
          </c:val>
          <c:smooth val="0"/>
          <c:extLst>
            <c:ext xmlns:c16="http://schemas.microsoft.com/office/drawing/2014/chart" uri="{C3380CC4-5D6E-409C-BE32-E72D297353CC}">
              <c16:uniqueId val="{0000000C-0667-4782-BDAD-F667816DE331}"/>
            </c:ext>
          </c:extLst>
        </c:ser>
        <c:dLbls>
          <c:showLegendKey val="0"/>
          <c:showVal val="0"/>
          <c:showCatName val="0"/>
          <c:showSerName val="0"/>
          <c:showPercent val="0"/>
          <c:showBubbleSize val="0"/>
        </c:dLbls>
        <c:marker val="1"/>
        <c:smooth val="0"/>
        <c:axId val="1839186288"/>
        <c:axId val="1839187920"/>
      </c:lineChart>
      <c:catAx>
        <c:axId val="1839186288"/>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7920"/>
        <c:crosses val="autoZero"/>
        <c:auto val="0"/>
        <c:lblAlgn val="ctr"/>
        <c:lblOffset val="100"/>
        <c:tickLblSkip val="12"/>
        <c:noMultiLvlLbl val="1"/>
      </c:catAx>
      <c:valAx>
        <c:axId val="1839187920"/>
        <c:scaling>
          <c:orientation val="minMax"/>
          <c:max val="135"/>
          <c:min val="85"/>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288"/>
        <c:crosses val="autoZero"/>
        <c:crossBetween val="midCat"/>
        <c:majorUnit val="10"/>
      </c:valAx>
      <c:valAx>
        <c:axId val="1839203696"/>
        <c:scaling>
          <c:orientation val="minMax"/>
          <c:max val="1200"/>
          <c:min val="-800"/>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832"/>
        <c:crosses val="max"/>
        <c:crossBetween val="between"/>
        <c:majorUnit val="200"/>
      </c:valAx>
      <c:dateAx>
        <c:axId val="1839186832"/>
        <c:scaling>
          <c:orientation val="minMax"/>
        </c:scaling>
        <c:delete val="1"/>
        <c:axPos val="b"/>
        <c:numFmt formatCode="yyyy" sourceLinked="1"/>
        <c:majorTickMark val="out"/>
        <c:minorTickMark val="none"/>
        <c:tickLblPos val="nextTo"/>
        <c:crossAx val="1839203696"/>
        <c:crosses val="autoZero"/>
        <c:auto val="1"/>
        <c:lblOffset val="100"/>
        <c:baseTimeUnit val="months"/>
      </c:dateAx>
      <c:spPr>
        <a:noFill/>
        <a:ln>
          <a:noFill/>
        </a:ln>
        <a:effectLst/>
      </c:spPr>
    </c:plotArea>
    <c:legend>
      <c:legendPos val="b"/>
      <c:legendEntry>
        <c:idx val="2"/>
        <c:delete val="1"/>
      </c:legendEntry>
      <c:layout>
        <c:manualLayout>
          <c:xMode val="edge"/>
          <c:yMode val="edge"/>
          <c:x val="0"/>
          <c:y val="0.83348870056497193"/>
          <c:w val="0.99854002624671911"/>
          <c:h val="0.154159604519774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4.9388888888888892E-2"/>
          <c:w val="0.85158573928258963"/>
          <c:h val="0.68513222222222225"/>
        </c:manualLayout>
      </c:layout>
      <c:barChart>
        <c:barDir val="col"/>
        <c:grouping val="clustered"/>
        <c:varyColors val="0"/>
        <c:ser>
          <c:idx val="1"/>
          <c:order val="1"/>
          <c:tx>
            <c:strRef>
              <c:f>'Stednja i rezerve'!$V$2</c:f>
              <c:strCache>
                <c:ptCount val="1"/>
                <c:pt idx="0">
                  <c:v>Девизне резерве НБС </c:v>
                </c:pt>
              </c:strCache>
            </c:strRef>
          </c:tx>
          <c:spPr>
            <a:solidFill>
              <a:srgbClr val="9ED1E6"/>
            </a:solidFill>
            <a:ln>
              <a:noFill/>
            </a:ln>
            <a:effectLst/>
          </c:spPr>
          <c:invertIfNegative val="0"/>
          <c:cat>
            <c:numRef>
              <c:f>'Stednja i rezerve'!$Q$27:$Q$138</c:f>
              <c:numCache>
                <c:formatCode>yyyy</c:formatCode>
                <c:ptCount val="112"/>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formatCode="yy">
                  <c:v>44927</c:v>
                </c:pt>
                <c:pt idx="109" formatCode="yy">
                  <c:v>44958</c:v>
                </c:pt>
                <c:pt idx="110" formatCode="yy">
                  <c:v>44986</c:v>
                </c:pt>
                <c:pt idx="111" formatCode="yy">
                  <c:v>45017</c:v>
                </c:pt>
              </c:numCache>
            </c:numRef>
          </c:cat>
          <c:val>
            <c:numRef>
              <c:f>'Stednja i rezerve'!$V$27:$V$138</c:f>
              <c:numCache>
                <c:formatCode>0.000</c:formatCode>
                <c:ptCount val="112"/>
                <c:pt idx="0">
                  <c:v>11.125999999999999</c:v>
                </c:pt>
                <c:pt idx="1">
                  <c:v>10.832000000000001</c:v>
                </c:pt>
                <c:pt idx="2">
                  <c:v>10.428000000000001</c:v>
                </c:pt>
                <c:pt idx="3">
                  <c:v>10.448</c:v>
                </c:pt>
                <c:pt idx="4">
                  <c:v>10.37</c:v>
                </c:pt>
                <c:pt idx="5">
                  <c:v>10.125</c:v>
                </c:pt>
                <c:pt idx="6">
                  <c:v>10.122999999999999</c:v>
                </c:pt>
                <c:pt idx="7">
                  <c:v>10.949</c:v>
                </c:pt>
                <c:pt idx="8">
                  <c:v>10.878</c:v>
                </c:pt>
                <c:pt idx="9">
                  <c:v>10.714</c:v>
                </c:pt>
                <c:pt idx="10">
                  <c:v>10.271000000000001</c:v>
                </c:pt>
                <c:pt idx="11">
                  <c:v>9.907</c:v>
                </c:pt>
                <c:pt idx="12">
                  <c:v>10.048999999999999</c:v>
                </c:pt>
                <c:pt idx="13">
                  <c:v>10.313000000000001</c:v>
                </c:pt>
                <c:pt idx="14">
                  <c:v>10.515000000000001</c:v>
                </c:pt>
                <c:pt idx="15">
                  <c:v>10.534000000000001</c:v>
                </c:pt>
                <c:pt idx="16">
                  <c:v>10.545</c:v>
                </c:pt>
                <c:pt idx="17">
                  <c:v>10.292999999999999</c:v>
                </c:pt>
                <c:pt idx="18">
                  <c:v>10.631</c:v>
                </c:pt>
                <c:pt idx="19">
                  <c:v>10.61</c:v>
                </c:pt>
                <c:pt idx="20">
                  <c:v>10.510999999999999</c:v>
                </c:pt>
                <c:pt idx="21">
                  <c:v>10.673999999999999</c:v>
                </c:pt>
                <c:pt idx="22">
                  <c:v>10.746</c:v>
                </c:pt>
                <c:pt idx="23">
                  <c:v>10.378</c:v>
                </c:pt>
                <c:pt idx="24">
                  <c:v>10.1045</c:v>
                </c:pt>
                <c:pt idx="25">
                  <c:v>9.8507999999999996</c:v>
                </c:pt>
                <c:pt idx="26">
                  <c:v>9.5008999999999997</c:v>
                </c:pt>
                <c:pt idx="27">
                  <c:v>9.3379999999999992</c:v>
                </c:pt>
                <c:pt idx="28">
                  <c:v>9.2639999999999993</c:v>
                </c:pt>
                <c:pt idx="29">
                  <c:v>9.2910000000000004</c:v>
                </c:pt>
                <c:pt idx="30">
                  <c:v>9.6059999999999999</c:v>
                </c:pt>
                <c:pt idx="31">
                  <c:v>9.5839999999999996</c:v>
                </c:pt>
                <c:pt idx="32">
                  <c:v>9.5519999999999996</c:v>
                </c:pt>
                <c:pt idx="33">
                  <c:v>9.7070000000000007</c:v>
                </c:pt>
                <c:pt idx="34">
                  <c:v>9.8179999999999996</c:v>
                </c:pt>
                <c:pt idx="35">
                  <c:v>10.205</c:v>
                </c:pt>
                <c:pt idx="36">
                  <c:v>9.8539999999999992</c:v>
                </c:pt>
                <c:pt idx="37">
                  <c:v>9.7590000000000003</c:v>
                </c:pt>
                <c:pt idx="38">
                  <c:v>9.73</c:v>
                </c:pt>
                <c:pt idx="39">
                  <c:v>9.4090000000000007</c:v>
                </c:pt>
                <c:pt idx="40">
                  <c:v>9.4920000000000009</c:v>
                </c:pt>
                <c:pt idx="41">
                  <c:v>9.67</c:v>
                </c:pt>
                <c:pt idx="42">
                  <c:v>9.9480000000000004</c:v>
                </c:pt>
                <c:pt idx="43">
                  <c:v>10.278</c:v>
                </c:pt>
                <c:pt idx="44">
                  <c:v>10.635999999999999</c:v>
                </c:pt>
                <c:pt idx="45">
                  <c:v>10.76</c:v>
                </c:pt>
                <c:pt idx="46">
                  <c:v>10.105</c:v>
                </c:pt>
                <c:pt idx="47">
                  <c:v>9.9617000000000004</c:v>
                </c:pt>
                <c:pt idx="48">
                  <c:v>9.6477000000000004</c:v>
                </c:pt>
                <c:pt idx="49">
                  <c:v>9.7910000000000004</c:v>
                </c:pt>
                <c:pt idx="50">
                  <c:v>10.234999999999999</c:v>
                </c:pt>
                <c:pt idx="51">
                  <c:v>10.43</c:v>
                </c:pt>
                <c:pt idx="52">
                  <c:v>10.882999999999999</c:v>
                </c:pt>
                <c:pt idx="53">
                  <c:v>11.103999999999999</c:v>
                </c:pt>
                <c:pt idx="54">
                  <c:v>11.403</c:v>
                </c:pt>
                <c:pt idx="55">
                  <c:v>11.326000000000001</c:v>
                </c:pt>
                <c:pt idx="56">
                  <c:v>11.17249</c:v>
                </c:pt>
                <c:pt idx="57">
                  <c:v>11.5504</c:v>
                </c:pt>
                <c:pt idx="58">
                  <c:v>11.627000000000001</c:v>
                </c:pt>
                <c:pt idx="59">
                  <c:v>11.262</c:v>
                </c:pt>
                <c:pt idx="60">
                  <c:v>11.346</c:v>
                </c:pt>
                <c:pt idx="61">
                  <c:v>11.398</c:v>
                </c:pt>
                <c:pt idx="62">
                  <c:v>11.44</c:v>
                </c:pt>
                <c:pt idx="63">
                  <c:v>11.336</c:v>
                </c:pt>
                <c:pt idx="64">
                  <c:v>11.656000000000001</c:v>
                </c:pt>
                <c:pt idx="65">
                  <c:v>12.146000000000001</c:v>
                </c:pt>
                <c:pt idx="66">
                  <c:v>12.757999999999999</c:v>
                </c:pt>
                <c:pt idx="67">
                  <c:v>13.1</c:v>
                </c:pt>
                <c:pt idx="68">
                  <c:v>13.295</c:v>
                </c:pt>
                <c:pt idx="69">
                  <c:v>13.499000000000001</c:v>
                </c:pt>
                <c:pt idx="70">
                  <c:v>13.464700000000001</c:v>
                </c:pt>
                <c:pt idx="71">
                  <c:v>13.378500000000001</c:v>
                </c:pt>
                <c:pt idx="72">
                  <c:v>13.694000000000001</c:v>
                </c:pt>
                <c:pt idx="73">
                  <c:v>13.459</c:v>
                </c:pt>
                <c:pt idx="74">
                  <c:v>13.115</c:v>
                </c:pt>
                <c:pt idx="75">
                  <c:v>12.792999999999999</c:v>
                </c:pt>
                <c:pt idx="76">
                  <c:v>14.345000000000001</c:v>
                </c:pt>
                <c:pt idx="77">
                  <c:v>13.956</c:v>
                </c:pt>
                <c:pt idx="78">
                  <c:v>13.521000000000001</c:v>
                </c:pt>
                <c:pt idx="79">
                  <c:v>13.369</c:v>
                </c:pt>
                <c:pt idx="80">
                  <c:v>13.03</c:v>
                </c:pt>
                <c:pt idx="81">
                  <c:v>13.05</c:v>
                </c:pt>
                <c:pt idx="82" formatCode="General">
                  <c:v>12.843999999999999</c:v>
                </c:pt>
                <c:pt idx="83" formatCode="General">
                  <c:v>13.492000000000001</c:v>
                </c:pt>
                <c:pt idx="84">
                  <c:v>13.602928</c:v>
                </c:pt>
                <c:pt idx="85">
                  <c:v>13.4227504</c:v>
                </c:pt>
                <c:pt idx="86">
                  <c:v>14.275499999999999</c:v>
                </c:pt>
                <c:pt idx="87">
                  <c:v>13.997441199999999</c:v>
                </c:pt>
                <c:pt idx="88">
                  <c:v>14.181562900000001</c:v>
                </c:pt>
                <c:pt idx="89">
                  <c:v>14.091799999999999</c:v>
                </c:pt>
                <c:pt idx="90">
                  <c:v>14.5802736</c:v>
                </c:pt>
                <c:pt idx="91">
                  <c:v>15.585386699999999</c:v>
                </c:pt>
                <c:pt idx="92">
                  <c:v>16.802540499999999</c:v>
                </c:pt>
                <c:pt idx="93">
                  <c:v>16.277799999999999</c:v>
                </c:pt>
                <c:pt idx="94">
                  <c:v>16.453099999999999</c:v>
                </c:pt>
                <c:pt idx="95">
                  <c:v>16.454510200000001</c:v>
                </c:pt>
                <c:pt idx="96">
                  <c:v>16.110843299999999</c:v>
                </c:pt>
                <c:pt idx="97">
                  <c:v>15.561500000000001</c:v>
                </c:pt>
                <c:pt idx="98">
                  <c:v>14.296276199999999</c:v>
                </c:pt>
                <c:pt idx="99">
                  <c:v>14.1136</c:v>
                </c:pt>
                <c:pt idx="100">
                  <c:v>13.903600000000001</c:v>
                </c:pt>
                <c:pt idx="101">
                  <c:v>14.775700000000001</c:v>
                </c:pt>
                <c:pt idx="102">
                  <c:v>15.0228</c:v>
                </c:pt>
                <c:pt idx="103">
                  <c:v>15.8756</c:v>
                </c:pt>
                <c:pt idx="104">
                  <c:v>16.502299999999998</c:v>
                </c:pt>
                <c:pt idx="105" formatCode="General">
                  <c:v>16.870999999999999</c:v>
                </c:pt>
                <c:pt idx="106" formatCode="General">
                  <c:v>17.266999999999999</c:v>
                </c:pt>
                <c:pt idx="107" formatCode="General">
                  <c:v>19.416</c:v>
                </c:pt>
                <c:pt idx="108" formatCode="General">
                  <c:v>20.913</c:v>
                </c:pt>
                <c:pt idx="109" formatCode="General">
                  <c:v>21.196000000000002</c:v>
                </c:pt>
                <c:pt idx="110" formatCode="General">
                  <c:v>21.381</c:v>
                </c:pt>
                <c:pt idx="111">
                  <c:v>21.556799999999999</c:v>
                </c:pt>
              </c:numCache>
            </c:numRef>
          </c:val>
          <c:extLst>
            <c:ext xmlns:c16="http://schemas.microsoft.com/office/drawing/2014/chart" uri="{C3380CC4-5D6E-409C-BE32-E72D297353CC}">
              <c16:uniqueId val="{00000000-E8B1-43CC-85B6-BCD51A3E5608}"/>
            </c:ext>
          </c:extLst>
        </c:ser>
        <c:dLbls>
          <c:showLegendKey val="0"/>
          <c:showVal val="0"/>
          <c:showCatName val="0"/>
          <c:showSerName val="0"/>
          <c:showPercent val="0"/>
          <c:showBubbleSize val="0"/>
        </c:dLbls>
        <c:gapWidth val="100"/>
        <c:axId val="2067915440"/>
        <c:axId val="2067938832"/>
      </c:barChart>
      <c:lineChart>
        <c:grouping val="standard"/>
        <c:varyColors val="0"/>
        <c:ser>
          <c:idx val="0"/>
          <c:order val="0"/>
          <c:tx>
            <c:strRef>
              <c:f>'Stednja i rezerve'!$U$2</c:f>
              <c:strCache>
                <c:ptCount val="1"/>
                <c:pt idx="0">
                  <c:v>Девизна штедња становништва</c:v>
                </c:pt>
              </c:strCache>
            </c:strRef>
          </c:tx>
          <c:spPr>
            <a:ln w="22225" cap="rnd">
              <a:solidFill>
                <a:srgbClr val="FF0000"/>
              </a:solidFill>
              <a:round/>
            </a:ln>
            <a:effectLst/>
          </c:spPr>
          <c:marker>
            <c:symbol val="none"/>
          </c:marker>
          <c:cat>
            <c:numRef>
              <c:f>'Stednja i rezerve'!$Q$27:$Q$138</c:f>
              <c:numCache>
                <c:formatCode>yyyy</c:formatCode>
                <c:ptCount val="112"/>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formatCode="yy">
                  <c:v>44927</c:v>
                </c:pt>
                <c:pt idx="109" formatCode="yy">
                  <c:v>44958</c:v>
                </c:pt>
                <c:pt idx="110" formatCode="yy">
                  <c:v>44986</c:v>
                </c:pt>
                <c:pt idx="111" formatCode="yy">
                  <c:v>45017</c:v>
                </c:pt>
              </c:numCache>
            </c:numRef>
          </c:cat>
          <c:val>
            <c:numRef>
              <c:f>'Stednja i rezerve'!$U$27:$U$138</c:f>
              <c:numCache>
                <c:formatCode>0.000</c:formatCode>
                <c:ptCount val="112"/>
                <c:pt idx="0">
                  <c:v>8.3740000000000006</c:v>
                </c:pt>
                <c:pt idx="1">
                  <c:v>8.4179999999999993</c:v>
                </c:pt>
                <c:pt idx="2">
                  <c:v>8.4039999999999999</c:v>
                </c:pt>
                <c:pt idx="3">
                  <c:v>8.4369999999999994</c:v>
                </c:pt>
                <c:pt idx="4">
                  <c:v>8.4329999999999998</c:v>
                </c:pt>
                <c:pt idx="5">
                  <c:v>8.4860000000000007</c:v>
                </c:pt>
                <c:pt idx="6">
                  <c:v>8.4960000000000004</c:v>
                </c:pt>
                <c:pt idx="7">
                  <c:v>8.4890000000000008</c:v>
                </c:pt>
                <c:pt idx="8">
                  <c:v>8.4890000000000008</c:v>
                </c:pt>
                <c:pt idx="9">
                  <c:v>8.5120000000000005</c:v>
                </c:pt>
                <c:pt idx="10">
                  <c:v>8.4830000000000005</c:v>
                </c:pt>
                <c:pt idx="11">
                  <c:v>8.5250000000000004</c:v>
                </c:pt>
                <c:pt idx="12">
                  <c:v>8.6050000000000004</c:v>
                </c:pt>
                <c:pt idx="13">
                  <c:v>8.61</c:v>
                </c:pt>
                <c:pt idx="14">
                  <c:v>8.6419999999999995</c:v>
                </c:pt>
                <c:pt idx="15">
                  <c:v>8.6389999999999993</c:v>
                </c:pt>
                <c:pt idx="16">
                  <c:v>8.6349999999999998</c:v>
                </c:pt>
                <c:pt idx="17">
                  <c:v>8.67</c:v>
                </c:pt>
                <c:pt idx="18">
                  <c:v>8.6210000000000004</c:v>
                </c:pt>
                <c:pt idx="19">
                  <c:v>8.6050000000000004</c:v>
                </c:pt>
                <c:pt idx="20">
                  <c:v>8.59</c:v>
                </c:pt>
                <c:pt idx="21">
                  <c:v>8.6039999999999992</c:v>
                </c:pt>
                <c:pt idx="22">
                  <c:v>8.5969999999999995</c:v>
                </c:pt>
                <c:pt idx="23">
                  <c:v>8.6289999999999996</c:v>
                </c:pt>
                <c:pt idx="24">
                  <c:v>8.6264760000000003</c:v>
                </c:pt>
                <c:pt idx="25">
                  <c:v>8.636355</c:v>
                </c:pt>
                <c:pt idx="26">
                  <c:v>8.6437650000000001</c:v>
                </c:pt>
                <c:pt idx="27">
                  <c:v>8.6690000000000005</c:v>
                </c:pt>
                <c:pt idx="28">
                  <c:v>8.7550000000000008</c:v>
                </c:pt>
                <c:pt idx="29">
                  <c:v>8.7959999999999994</c:v>
                </c:pt>
                <c:pt idx="30">
                  <c:v>8.8219999999999992</c:v>
                </c:pt>
                <c:pt idx="31">
                  <c:v>8.8309999999999995</c:v>
                </c:pt>
                <c:pt idx="32">
                  <c:v>8.843</c:v>
                </c:pt>
                <c:pt idx="33">
                  <c:v>8.8960000000000008</c:v>
                </c:pt>
                <c:pt idx="34">
                  <c:v>8.9149999999999991</c:v>
                </c:pt>
                <c:pt idx="35">
                  <c:v>8.9870000000000001</c:v>
                </c:pt>
                <c:pt idx="36">
                  <c:v>9.0310000000000006</c:v>
                </c:pt>
                <c:pt idx="37">
                  <c:v>9.0555649999999996</c:v>
                </c:pt>
                <c:pt idx="38">
                  <c:v>9.0842139999999993</c:v>
                </c:pt>
                <c:pt idx="39">
                  <c:v>9.1143780000000003</c:v>
                </c:pt>
                <c:pt idx="40">
                  <c:v>9.1059999999999999</c:v>
                </c:pt>
                <c:pt idx="41">
                  <c:v>9.1370000000000005</c:v>
                </c:pt>
                <c:pt idx="42">
                  <c:v>9.1780000000000008</c:v>
                </c:pt>
                <c:pt idx="43">
                  <c:v>9.2170000000000005</c:v>
                </c:pt>
                <c:pt idx="44">
                  <c:v>9.2629999999999999</c:v>
                </c:pt>
                <c:pt idx="45">
                  <c:v>9.2880000000000003</c:v>
                </c:pt>
                <c:pt idx="46">
                  <c:v>9.298</c:v>
                </c:pt>
                <c:pt idx="47">
                  <c:v>9.373151</c:v>
                </c:pt>
                <c:pt idx="48">
                  <c:v>9.4209999999999994</c:v>
                </c:pt>
                <c:pt idx="49">
                  <c:v>9.5150000000000006</c:v>
                </c:pt>
                <c:pt idx="50">
                  <c:v>9.5660000000000007</c:v>
                </c:pt>
                <c:pt idx="51">
                  <c:v>9.5939999999999994</c:v>
                </c:pt>
                <c:pt idx="52">
                  <c:v>9.6340000000000003</c:v>
                </c:pt>
                <c:pt idx="53">
                  <c:v>9.6869999999999994</c:v>
                </c:pt>
                <c:pt idx="54">
                  <c:v>9.718</c:v>
                </c:pt>
                <c:pt idx="55">
                  <c:v>9.7629999999999999</c:v>
                </c:pt>
                <c:pt idx="56">
                  <c:v>9.7824939999999998</c:v>
                </c:pt>
                <c:pt idx="57">
                  <c:v>9.8469999999999995</c:v>
                </c:pt>
                <c:pt idx="58">
                  <c:v>9.875</c:v>
                </c:pt>
                <c:pt idx="59">
                  <c:v>9.9550000000000001</c:v>
                </c:pt>
                <c:pt idx="60">
                  <c:v>10.105</c:v>
                </c:pt>
                <c:pt idx="61">
                  <c:v>10.167</c:v>
                </c:pt>
                <c:pt idx="62">
                  <c:v>10.217000000000001</c:v>
                </c:pt>
                <c:pt idx="63">
                  <c:v>10.295999999999999</c:v>
                </c:pt>
                <c:pt idx="64">
                  <c:v>10.340999999999999</c:v>
                </c:pt>
                <c:pt idx="65">
                  <c:v>10.391</c:v>
                </c:pt>
                <c:pt idx="66">
                  <c:v>10.474</c:v>
                </c:pt>
                <c:pt idx="67">
                  <c:v>10.547000000000001</c:v>
                </c:pt>
                <c:pt idx="68">
                  <c:v>10.612</c:v>
                </c:pt>
                <c:pt idx="69">
                  <c:v>10.661</c:v>
                </c:pt>
                <c:pt idx="70">
                  <c:v>10.72</c:v>
                </c:pt>
                <c:pt idx="71">
                  <c:v>10.804</c:v>
                </c:pt>
                <c:pt idx="72">
                  <c:v>10.941129999999999</c:v>
                </c:pt>
                <c:pt idx="73">
                  <c:v>11.007695</c:v>
                </c:pt>
                <c:pt idx="74">
                  <c:v>10.819725</c:v>
                </c:pt>
                <c:pt idx="75">
                  <c:v>10.889227</c:v>
                </c:pt>
                <c:pt idx="76">
                  <c:v>10.915190000000001</c:v>
                </c:pt>
                <c:pt idx="77">
                  <c:v>10.987965000000001</c:v>
                </c:pt>
                <c:pt idx="78">
                  <c:v>10.998704</c:v>
                </c:pt>
                <c:pt idx="79">
                  <c:v>11.069706</c:v>
                </c:pt>
                <c:pt idx="80">
                  <c:v>11.155711999999999</c:v>
                </c:pt>
                <c:pt idx="81" formatCode="General">
                  <c:v>11.256</c:v>
                </c:pt>
                <c:pt idx="82" formatCode="General">
                  <c:v>11.291</c:v>
                </c:pt>
                <c:pt idx="83" formatCode="General">
                  <c:v>11.436</c:v>
                </c:pt>
                <c:pt idx="84" formatCode="General">
                  <c:v>11.586</c:v>
                </c:pt>
                <c:pt idx="85" formatCode="General">
                  <c:v>11.683999999999999</c:v>
                </c:pt>
                <c:pt idx="86">
                  <c:v>11.778</c:v>
                </c:pt>
                <c:pt idx="87">
                  <c:v>11.84</c:v>
                </c:pt>
                <c:pt idx="88">
                  <c:v>12.006</c:v>
                </c:pt>
                <c:pt idx="89">
                  <c:v>12.118</c:v>
                </c:pt>
                <c:pt idx="90">
                  <c:v>12.221</c:v>
                </c:pt>
                <c:pt idx="91">
                  <c:v>12.275</c:v>
                </c:pt>
                <c:pt idx="92">
                  <c:v>12.321999999999999</c:v>
                </c:pt>
                <c:pt idx="93">
                  <c:v>12.417999999999999</c:v>
                </c:pt>
                <c:pt idx="94">
                  <c:v>12.554</c:v>
                </c:pt>
                <c:pt idx="95">
                  <c:v>12.736000000000001</c:v>
                </c:pt>
                <c:pt idx="96">
                  <c:v>12.88</c:v>
                </c:pt>
                <c:pt idx="97">
                  <c:v>12.94</c:v>
                </c:pt>
                <c:pt idx="98">
                  <c:v>12.803000000000001</c:v>
                </c:pt>
                <c:pt idx="99">
                  <c:v>12.930524</c:v>
                </c:pt>
                <c:pt idx="100">
                  <c:v>12.987158000000001</c:v>
                </c:pt>
                <c:pt idx="101">
                  <c:v>13.180187999999999</c:v>
                </c:pt>
                <c:pt idx="102">
                  <c:v>13.3729</c:v>
                </c:pt>
                <c:pt idx="103">
                  <c:v>13.474511</c:v>
                </c:pt>
                <c:pt idx="104">
                  <c:v>13.526999999999999</c:v>
                </c:pt>
                <c:pt idx="105" formatCode="General">
                  <c:v>13.566000000000001</c:v>
                </c:pt>
                <c:pt idx="106" formatCode="General">
                  <c:v>13.62</c:v>
                </c:pt>
                <c:pt idx="107" formatCode="General">
                  <c:v>13.715</c:v>
                </c:pt>
                <c:pt idx="108" formatCode="General">
                  <c:v>13.788</c:v>
                </c:pt>
                <c:pt idx="109" formatCode="General">
                  <c:v>13.925000000000001</c:v>
                </c:pt>
                <c:pt idx="110" formatCode="General">
                  <c:v>13.834</c:v>
                </c:pt>
              </c:numCache>
            </c:numRef>
          </c:val>
          <c:smooth val="0"/>
          <c:extLst>
            <c:ext xmlns:c16="http://schemas.microsoft.com/office/drawing/2014/chart" uri="{C3380CC4-5D6E-409C-BE32-E72D297353CC}">
              <c16:uniqueId val="{00000001-E8B1-43CC-85B6-BCD51A3E5608}"/>
            </c:ext>
          </c:extLst>
        </c:ser>
        <c:ser>
          <c:idx val="2"/>
          <c:order val="2"/>
          <c:tx>
            <c:strRef>
              <c:f>'Stednja i rezerve'!$W$2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0235126859142607E-2"/>
                  <c:y val="2.7915643691789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8B1-43CC-85B6-BCD51A3E5608}"/>
                </c:ext>
              </c:extLst>
            </c:dLbl>
            <c:dLbl>
              <c:idx val="12"/>
              <c:layout>
                <c:manualLayout>
                  <c:x val="-1.8311825605132691E-2"/>
                  <c:y val="2.802308360257591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8B1-43CC-85B6-BCD51A3E5608}"/>
                </c:ext>
              </c:extLst>
            </c:dLbl>
            <c:dLbl>
              <c:idx val="24"/>
              <c:layout>
                <c:manualLayout>
                  <c:x val="-1.8311825605132691E-2"/>
                  <c:y val="2.802308360257591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8B1-43CC-85B6-BCD51A3E5608}"/>
                </c:ext>
              </c:extLst>
            </c:dLbl>
            <c:dLbl>
              <c:idx val="36"/>
              <c:layout>
                <c:manualLayout>
                  <c:x val="-2.2931977252843436E-2"/>
                  <c:y val="2.802308360257591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8B1-43CC-85B6-BCD51A3E5608}"/>
                </c:ext>
              </c:extLst>
            </c:dLbl>
            <c:dLbl>
              <c:idx val="48"/>
              <c:layout>
                <c:manualLayout>
                  <c:x val="-2.0161490230387869E-2"/>
                  <c:y val="2.802308360257591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8B1-43CC-85B6-BCD51A3E5608}"/>
                </c:ext>
              </c:extLst>
            </c:dLbl>
            <c:dLbl>
              <c:idx val="60"/>
              <c:layout>
                <c:manualLayout>
                  <c:x val="-1.7948762651522249E-2"/>
                  <c:y val="2.80225584483159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8B1-43CC-85B6-BCD51A3E5608}"/>
                </c:ext>
              </c:extLst>
            </c:dLbl>
            <c:dLbl>
              <c:idx val="72"/>
              <c:layout>
                <c:manualLayout>
                  <c:x val="-1.6719659047241393E-2"/>
                  <c:y val="2.8734098290061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8B1-43CC-85B6-BCD51A3E5608}"/>
                </c:ext>
              </c:extLst>
            </c:dLbl>
            <c:dLbl>
              <c:idx val="84"/>
              <c:layout>
                <c:manualLayout>
                  <c:x val="-1.6037186921814627E-2"/>
                  <c:y val="2.85344858521881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8B1-43CC-85B6-BCD51A3E5608}"/>
                </c:ext>
              </c:extLst>
            </c:dLbl>
            <c:dLbl>
              <c:idx val="96"/>
              <c:layout>
                <c:manualLayout>
                  <c:x val="-2.2894794400699914E-2"/>
                  <c:y val="2.876910226516390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8B1-43CC-85B6-BCD51A3E5608}"/>
                </c:ext>
              </c:extLst>
            </c:dLbl>
            <c:dLbl>
              <c:idx val="108"/>
              <c:layout>
                <c:manualLayout>
                  <c:x val="-2.5675853018372705E-2"/>
                  <c:y val="2.869437164320906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E8B1-43CC-85B6-BCD51A3E560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'Stednja i rezerve'!$Q$27:$Q$138</c:f>
              <c:numCache>
                <c:formatCode>yyyy</c:formatCode>
                <c:ptCount val="112"/>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formatCode="yy">
                  <c:v>44927</c:v>
                </c:pt>
                <c:pt idx="109" formatCode="yy">
                  <c:v>44958</c:v>
                </c:pt>
                <c:pt idx="110" formatCode="yy">
                  <c:v>44986</c:v>
                </c:pt>
                <c:pt idx="111" formatCode="yy">
                  <c:v>45017</c:v>
                </c:pt>
              </c:numCache>
            </c:numRef>
          </c:cat>
          <c:val>
            <c:numRef>
              <c:f>'Stednja i rezerve'!$W$27:$W$138</c:f>
              <c:numCache>
                <c:formatCode>General</c:formatCode>
                <c:ptCount val="112"/>
                <c:pt idx="0">
                  <c:v>7</c:v>
                </c:pt>
                <c:pt idx="12">
                  <c:v>7</c:v>
                </c:pt>
                <c:pt idx="24">
                  <c:v>7</c:v>
                </c:pt>
                <c:pt idx="36">
                  <c:v>7</c:v>
                </c:pt>
                <c:pt idx="48">
                  <c:v>7</c:v>
                </c:pt>
                <c:pt idx="60">
                  <c:v>7</c:v>
                </c:pt>
                <c:pt idx="72">
                  <c:v>7</c:v>
                </c:pt>
                <c:pt idx="84">
                  <c:v>7</c:v>
                </c:pt>
                <c:pt idx="96">
                  <c:v>7</c:v>
                </c:pt>
                <c:pt idx="108">
                  <c:v>7</c:v>
                </c:pt>
              </c:numCache>
            </c:numRef>
          </c:val>
          <c:smooth val="0"/>
          <c:extLst>
            <c:ext xmlns:c16="http://schemas.microsoft.com/office/drawing/2014/chart" uri="{C3380CC4-5D6E-409C-BE32-E72D297353CC}">
              <c16:uniqueId val="{0000000C-E8B1-43CC-85B6-BCD51A3E5608}"/>
            </c:ext>
          </c:extLst>
        </c:ser>
        <c:dLbls>
          <c:showLegendKey val="0"/>
          <c:showVal val="0"/>
          <c:showCatName val="0"/>
          <c:showSerName val="0"/>
          <c:showPercent val="0"/>
          <c:showBubbleSize val="0"/>
        </c:dLbls>
        <c:marker val="1"/>
        <c:smooth val="0"/>
        <c:axId val="2067915440"/>
        <c:axId val="2067938832"/>
      </c:lineChart>
      <c:catAx>
        <c:axId val="206791544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8832"/>
        <c:crosses val="autoZero"/>
        <c:auto val="0"/>
        <c:lblAlgn val="ctr"/>
        <c:lblOffset val="100"/>
        <c:tickLblSkip val="12"/>
        <c:noMultiLvlLbl val="1"/>
      </c:catAx>
      <c:valAx>
        <c:axId val="2067938832"/>
        <c:scaling>
          <c:orientation val="minMax"/>
          <c:max val="22"/>
          <c:min val="7"/>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5440"/>
        <c:crosses val="autoZero"/>
        <c:crossBetween val="midCat"/>
        <c:majorUnit val="2"/>
      </c:valAx>
      <c:spPr>
        <a:noFill/>
        <a:ln>
          <a:noFill/>
        </a:ln>
        <a:effectLst/>
      </c:spPr>
    </c:plotArea>
    <c:legend>
      <c:legendPos val="b"/>
      <c:legendEntry>
        <c:idx val="2"/>
        <c:delete val="1"/>
      </c:legendEntry>
      <c:layout>
        <c:manualLayout>
          <c:xMode val="edge"/>
          <c:yMode val="edge"/>
          <c:x val="5.2835374744823561E-2"/>
          <c:y val="0.81213222222222226"/>
          <c:w val="0.91284740449110524"/>
          <c:h val="0.1455344444444444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336188914802072E-2"/>
          <c:y val="5.633805593782408E-2"/>
          <c:w val="0.86437336615075899"/>
          <c:h val="0.64068107026989318"/>
        </c:manualLayout>
      </c:layout>
      <c:lineChart>
        <c:grouping val="standard"/>
        <c:varyColors val="0"/>
        <c:ser>
          <c:idx val="1"/>
          <c:order val="0"/>
          <c:tx>
            <c:strRef>
              <c:f>'Projekcija inflacije'!$C$7</c:f>
              <c:strCache>
                <c:ptCount val="1"/>
                <c:pt idx="0">
                  <c:v>Инфлација, просек периода</c:v>
                </c:pt>
              </c:strCache>
            </c:strRef>
          </c:tx>
          <c:spPr>
            <a:ln w="22225" cap="rnd">
              <a:solidFill>
                <a:srgbClr val="EC008C"/>
              </a:solidFill>
              <a:round/>
            </a:ln>
            <a:effectLst/>
          </c:spPr>
          <c:marker>
            <c:symbol val="none"/>
          </c:marker>
          <c:cat>
            <c:numRef>
              <c:f>'Projekcija inflacije'!$I$5:$V$5</c:f>
              <c:numCache>
                <c:formatCode>General</c:formatCode>
                <c:ptCount val="14"/>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numCache>
            </c:numRef>
          </c:cat>
          <c:val>
            <c:numRef>
              <c:f>'Projekcija inflacije'!$I$7:$V$7</c:f>
              <c:numCache>
                <c:formatCode>#.#00</c:formatCode>
                <c:ptCount val="14"/>
                <c:pt idx="0">
                  <c:v>7.8</c:v>
                </c:pt>
                <c:pt idx="1">
                  <c:v>2.9</c:v>
                </c:pt>
                <c:pt idx="2">
                  <c:v>1.9</c:v>
                </c:pt>
                <c:pt idx="3">
                  <c:v>1.2</c:v>
                </c:pt>
                <c:pt idx="4">
                  <c:v>3</c:v>
                </c:pt>
                <c:pt idx="5">
                  <c:v>2</c:v>
                </c:pt>
                <c:pt idx="6">
                  <c:v>1.7</c:v>
                </c:pt>
                <c:pt idx="7">
                  <c:v>1.6</c:v>
                </c:pt>
                <c:pt idx="8">
                  <c:v>4</c:v>
                </c:pt>
                <c:pt idx="9">
                  <c:v>11.9</c:v>
                </c:pt>
                <c:pt idx="10">
                  <c:v>12.5</c:v>
                </c:pt>
                <c:pt idx="11">
                  <c:v>4.9000000000000004</c:v>
                </c:pt>
                <c:pt idx="12">
                  <c:v>3.5</c:v>
                </c:pt>
                <c:pt idx="13">
                  <c:v>3</c:v>
                </c:pt>
              </c:numCache>
            </c:numRef>
          </c:val>
          <c:smooth val="0"/>
          <c:extLst>
            <c:ext xmlns:c16="http://schemas.microsoft.com/office/drawing/2014/chart" uri="{C3380CC4-5D6E-409C-BE32-E72D297353CC}">
              <c16:uniqueId val="{00000000-002A-41B6-AF23-530CF1A8B72A}"/>
            </c:ext>
          </c:extLst>
        </c:ser>
        <c:ser>
          <c:idx val="2"/>
          <c:order val="1"/>
          <c:tx>
            <c:strRef>
              <c:f>'Projekcija inflacije'!$C$8</c:f>
              <c:strCache>
                <c:ptCount val="1"/>
                <c:pt idx="0">
                  <c:v>Дефлатор БДП</c:v>
                </c:pt>
              </c:strCache>
            </c:strRef>
          </c:tx>
          <c:spPr>
            <a:ln w="22225" cap="rnd">
              <a:solidFill>
                <a:srgbClr val="7F3F98"/>
              </a:solidFill>
              <a:round/>
            </a:ln>
            <a:effectLst/>
          </c:spPr>
          <c:marker>
            <c:symbol val="none"/>
          </c:marker>
          <c:cat>
            <c:numRef>
              <c:f>'Projekcija inflacije'!$I$5:$V$5</c:f>
              <c:numCache>
                <c:formatCode>General</c:formatCode>
                <c:ptCount val="14"/>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numCache>
            </c:numRef>
          </c:cat>
          <c:val>
            <c:numRef>
              <c:f>'Projekcija inflacije'!$I$8:$V$8</c:f>
              <c:numCache>
                <c:formatCode>#.#00</c:formatCode>
                <c:ptCount val="14"/>
                <c:pt idx="0">
                  <c:v>5.1254413454188068</c:v>
                </c:pt>
                <c:pt idx="1">
                  <c:v>2.585383220508831</c:v>
                </c:pt>
                <c:pt idx="2">
                  <c:v>1.872893376087049</c:v>
                </c:pt>
                <c:pt idx="3">
                  <c:v>1.5498888324771798</c:v>
                </c:pt>
                <c:pt idx="4">
                  <c:v>2.9707931698183216</c:v>
                </c:pt>
                <c:pt idx="5">
                  <c:v>1.9749425621523642</c:v>
                </c:pt>
                <c:pt idx="6">
                  <c:v>2.440598124427737</c:v>
                </c:pt>
                <c:pt idx="7">
                  <c:v>2.4499700873471966</c:v>
                </c:pt>
                <c:pt idx="8">
                  <c:v>6.0913449196546168</c:v>
                </c:pt>
                <c:pt idx="9">
                  <c:v>10.598206175277312</c:v>
                </c:pt>
                <c:pt idx="10">
                  <c:v>11.548434044660077</c:v>
                </c:pt>
                <c:pt idx="11">
                  <c:v>4.6456085724093157</c:v>
                </c:pt>
                <c:pt idx="12">
                  <c:v>3.6428893816248764</c:v>
                </c:pt>
                <c:pt idx="13">
                  <c:v>2.8857993245245215</c:v>
                </c:pt>
              </c:numCache>
            </c:numRef>
          </c:val>
          <c:smooth val="0"/>
          <c:extLst>
            <c:ext xmlns:c16="http://schemas.microsoft.com/office/drawing/2014/chart" uri="{C3380CC4-5D6E-409C-BE32-E72D297353CC}">
              <c16:uniqueId val="{00000001-002A-41B6-AF23-530CF1A8B72A}"/>
            </c:ext>
          </c:extLst>
        </c:ser>
        <c:ser>
          <c:idx val="3"/>
          <c:order val="2"/>
          <c:tx>
            <c:strRef>
              <c:f>'Projekcija inflacije'!$C$9</c:f>
              <c:strCache>
                <c:ptCount val="1"/>
              </c:strCache>
            </c:strRef>
          </c:tx>
          <c:spPr>
            <a:ln w="28575" cap="rnd">
              <a:noFill/>
              <a:round/>
            </a:ln>
            <a:effectLst/>
          </c:spPr>
          <c:marker>
            <c:symbol val="square"/>
            <c:size val="2"/>
            <c:spPr>
              <a:solidFill>
                <a:schemeClr val="bg1"/>
              </a:solidFill>
              <a:ln w="9525">
                <a:noFill/>
              </a:ln>
              <a:effectLst/>
            </c:spPr>
          </c:marker>
          <c:dLbls>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'Projekcija inflacije'!$I$5:$V$5</c:f>
              <c:numCache>
                <c:formatCode>General</c:formatCode>
                <c:ptCount val="14"/>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numCache>
            </c:numRef>
          </c:cat>
          <c:val>
            <c:numRef>
              <c:f>'Projekcija inflacije'!$I$9:$V$9</c:f>
              <c:numCache>
                <c:formatCode>General</c:formatCode>
                <c:ptCount val="14"/>
                <c:pt idx="0">
                  <c:v>0</c:v>
                </c:pt>
                <c:pt idx="1">
                  <c:v>0</c:v>
                </c:pt>
                <c:pt idx="2">
                  <c:v>0</c:v>
                </c:pt>
                <c:pt idx="3">
                  <c:v>0</c:v>
                </c:pt>
                <c:pt idx="4">
                  <c:v>0</c:v>
                </c:pt>
                <c:pt idx="5">
                  <c:v>0</c:v>
                </c:pt>
                <c:pt idx="6">
                  <c:v>0</c:v>
                </c:pt>
                <c:pt idx="7">
                  <c:v>0</c:v>
                </c:pt>
                <c:pt idx="8">
                  <c:v>0</c:v>
                </c:pt>
                <c:pt idx="9">
                  <c:v>0</c:v>
                </c:pt>
                <c:pt idx="10">
                  <c:v>0</c:v>
                </c:pt>
                <c:pt idx="11">
                  <c:v>0</c:v>
                </c:pt>
                <c:pt idx="12">
                  <c:v>0</c:v>
                </c:pt>
                <c:pt idx="13">
                  <c:v>0</c:v>
                </c:pt>
              </c:numCache>
            </c:numRef>
          </c:val>
          <c:smooth val="0"/>
          <c:extLst>
            <c:ext xmlns:c16="http://schemas.microsoft.com/office/drawing/2014/chart" uri="{C3380CC4-5D6E-409C-BE32-E72D297353CC}">
              <c16:uniqueId val="{00000002-002A-41B6-AF23-530CF1A8B72A}"/>
            </c:ext>
          </c:extLst>
        </c:ser>
        <c:dLbls>
          <c:showLegendKey val="0"/>
          <c:showVal val="0"/>
          <c:showCatName val="0"/>
          <c:showSerName val="0"/>
          <c:showPercent val="0"/>
          <c:showBubbleSize val="0"/>
        </c:dLbls>
        <c:smooth val="0"/>
        <c:axId val="2067937200"/>
        <c:axId val="2067931760"/>
      </c:lineChart>
      <c:catAx>
        <c:axId val="206793720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1760"/>
        <c:crosses val="autoZero"/>
        <c:auto val="1"/>
        <c:lblAlgn val="ctr"/>
        <c:lblOffset val="100"/>
        <c:noMultiLvlLbl val="0"/>
      </c:catAx>
      <c:valAx>
        <c:axId val="2067931760"/>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7200"/>
        <c:crosses val="autoZero"/>
        <c:crossBetween val="midCat"/>
        <c:majorUnit val="2"/>
      </c:valAx>
      <c:spPr>
        <a:noFill/>
        <a:ln>
          <a:noFill/>
        </a:ln>
        <a:effectLst/>
      </c:spPr>
    </c:plotArea>
    <c:legend>
      <c:legendPos val="b"/>
      <c:legendEntry>
        <c:idx val="2"/>
        <c:delete val="1"/>
      </c:legendEntry>
      <c:layout>
        <c:manualLayout>
          <c:xMode val="edge"/>
          <c:yMode val="edge"/>
          <c:x val="2.5218401951955399E-3"/>
          <c:y val="0.89885280049846372"/>
          <c:w val="0.99380576517352959"/>
          <c:h val="0.1011471995015363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7.2092777777777783E-2"/>
          <c:w val="0.85158573928258963"/>
          <c:h val="0.61694696969696972"/>
        </c:manualLayout>
      </c:layout>
      <c:barChart>
        <c:barDir val="col"/>
        <c:grouping val="stacked"/>
        <c:varyColors val="0"/>
        <c:ser>
          <c:idx val="5"/>
          <c:order val="1"/>
          <c:tx>
            <c:strRef>
              <c:f>'Uvoz_ek. namena'!$B$7</c:f>
              <c:strCache>
                <c:ptCount val="1"/>
                <c:pt idx="0">
                  <c:v>Средства за рад</c:v>
                </c:pt>
              </c:strCache>
            </c:strRef>
          </c:tx>
          <c:spPr>
            <a:solidFill>
              <a:srgbClr val="10103C"/>
            </a:solidFill>
            <a:ln>
              <a:noFill/>
            </a:ln>
            <a:effectLst/>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en-US" sz="700" b="0" i="0" u="none" strike="noStrike" kern="1200" baseline="0">
                    <a:solidFill>
                      <a:schemeClr val="bg1"/>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I-III 2023</c:v>
                </c:pt>
              </c:strCache>
            </c:strRef>
          </c:cat>
          <c:val>
            <c:numRef>
              <c:f>'Uvoz_ek. namena'!$E$7:$I$7</c:f>
              <c:numCache>
                <c:formatCode>#.#00</c:formatCode>
                <c:ptCount val="5"/>
                <c:pt idx="0">
                  <c:v>2.8085607266854353</c:v>
                </c:pt>
                <c:pt idx="1">
                  <c:v>0.22111135776304344</c:v>
                </c:pt>
                <c:pt idx="2">
                  <c:v>2.4615367594016599</c:v>
                </c:pt>
                <c:pt idx="3">
                  <c:v>2.4337055430564063</c:v>
                </c:pt>
                <c:pt idx="4">
                  <c:v>0.78074866310160507</c:v>
                </c:pt>
              </c:numCache>
            </c:numRef>
          </c:val>
          <c:extLst>
            <c:ext xmlns:c16="http://schemas.microsoft.com/office/drawing/2014/chart" uri="{C3380CC4-5D6E-409C-BE32-E72D297353CC}">
              <c16:uniqueId val="{00000000-2214-49AE-AFF5-512CE65C46C4}"/>
            </c:ext>
          </c:extLst>
        </c:ser>
        <c:ser>
          <c:idx val="0"/>
          <c:order val="2"/>
          <c:tx>
            <c:strRef>
              <c:f>'Uvoz_ek. namena'!$B$8</c:f>
              <c:strCache>
                <c:ptCount val="1"/>
                <c:pt idx="0">
                  <c:v>Репродукција</c:v>
                </c:pt>
              </c:strCache>
            </c:strRef>
          </c:tx>
          <c:spPr>
            <a:solidFill>
              <a:srgbClr val="2183C4"/>
            </a:solidFill>
            <a:ln>
              <a:noFill/>
            </a:ln>
            <a:effectLst/>
          </c:spPr>
          <c:invertIfNegative val="0"/>
          <c:dLbls>
            <c:dLbl>
              <c:idx val="1"/>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214-49AE-AFF5-512CE65C46C4}"/>
                </c:ext>
              </c:extLst>
            </c:dLbl>
            <c:dLbl>
              <c:idx val="2"/>
              <c:layout>
                <c:manualLayout>
                  <c:x val="0"/>
                  <c:y val="-1.92424242424242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214-49AE-AFF5-512CE65C46C4}"/>
                </c:ext>
              </c:extLst>
            </c:dLbl>
            <c:spPr>
              <a:noFill/>
              <a:ln>
                <a:noFill/>
              </a:ln>
              <a:effectLst/>
            </c:spPr>
            <c:txPr>
              <a:bodyPr rot="0" spcFirstLastPara="1" vertOverflow="ellipsis" vert="horz" wrap="square" anchor="ctr" anchorCtr="1"/>
              <a:lstStyle/>
              <a:p>
                <a:pPr>
                  <a:defRPr sz="700" b="0" i="0" u="none" strike="noStrike" kern="1200" baseline="0">
                    <a:solidFill>
                      <a:srgbClr val="002060"/>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I-III 2023</c:v>
                </c:pt>
              </c:strCache>
            </c:strRef>
          </c:cat>
          <c:val>
            <c:numRef>
              <c:f>'Uvoz_ek. namena'!$E$8:$I$8</c:f>
              <c:numCache>
                <c:formatCode>#.#00</c:formatCode>
                <c:ptCount val="5"/>
                <c:pt idx="0">
                  <c:v>3.6183715275084705</c:v>
                </c:pt>
                <c:pt idx="1">
                  <c:v>-5.8440229023300203</c:v>
                </c:pt>
                <c:pt idx="2">
                  <c:v>18.49881405126126</c:v>
                </c:pt>
                <c:pt idx="3">
                  <c:v>24.158726538173109</c:v>
                </c:pt>
                <c:pt idx="4">
                  <c:v>-3.678074866310165</c:v>
                </c:pt>
              </c:numCache>
            </c:numRef>
          </c:val>
          <c:extLst>
            <c:ext xmlns:c16="http://schemas.microsoft.com/office/drawing/2014/chart" uri="{C3380CC4-5D6E-409C-BE32-E72D297353CC}">
              <c16:uniqueId val="{00000003-2214-49AE-AFF5-512CE65C46C4}"/>
            </c:ext>
          </c:extLst>
        </c:ser>
        <c:ser>
          <c:idx val="1"/>
          <c:order val="3"/>
          <c:tx>
            <c:strRef>
              <c:f>'Uvoz_ek. namena'!$B$9</c:f>
              <c:strCache>
                <c:ptCount val="1"/>
                <c:pt idx="0">
                  <c:v>Потрошна роба</c:v>
                </c:pt>
              </c:strCache>
            </c:strRef>
          </c:tx>
          <c:spPr>
            <a:solidFill>
              <a:srgbClr val="51BBE7"/>
            </a:solidFill>
            <a:ln>
              <a:noFill/>
            </a:ln>
            <a:effectLst/>
          </c:spPr>
          <c:invertIfNegative val="0"/>
          <c:dLbls>
            <c:spPr>
              <a:noFill/>
              <a:ln>
                <a:noFill/>
              </a:ln>
              <a:effectLst/>
            </c:spPr>
            <c:txPr>
              <a:bodyPr rot="0" spcFirstLastPara="1" vertOverflow="ellipsis" vert="horz" wrap="square" anchor="ctr" anchorCtr="1"/>
              <a:lstStyle/>
              <a:p>
                <a:pPr>
                  <a:defRPr sz="700" b="0" i="0" u="none" strike="noStrike" kern="1200" baseline="0">
                    <a:solidFill>
                      <a:srgbClr val="002060"/>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I-III 2023</c:v>
                </c:pt>
              </c:strCache>
            </c:strRef>
          </c:cat>
          <c:val>
            <c:numRef>
              <c:f>'Uvoz_ek. namena'!$E$9:$I$9</c:f>
              <c:numCache>
                <c:formatCode>#.#00</c:formatCode>
                <c:ptCount val="5"/>
                <c:pt idx="0">
                  <c:v>2.4162016907937023</c:v>
                </c:pt>
                <c:pt idx="1">
                  <c:v>1.5972699819478706</c:v>
                </c:pt>
                <c:pt idx="2">
                  <c:v>2.7892630966283947</c:v>
                </c:pt>
                <c:pt idx="3">
                  <c:v>4.3552339184318072</c:v>
                </c:pt>
                <c:pt idx="4">
                  <c:v>1.7711229946524096</c:v>
                </c:pt>
              </c:numCache>
            </c:numRef>
          </c:val>
          <c:extLst>
            <c:ext xmlns:c16="http://schemas.microsoft.com/office/drawing/2014/chart" uri="{C3380CC4-5D6E-409C-BE32-E72D297353CC}">
              <c16:uniqueId val="{00000004-2214-49AE-AFF5-512CE65C46C4}"/>
            </c:ext>
          </c:extLst>
        </c:ser>
        <c:ser>
          <c:idx val="2"/>
          <c:order val="4"/>
          <c:tx>
            <c:strRef>
              <c:f>'Uvoz_ek. namena'!$B$10</c:f>
              <c:strCache>
                <c:ptCount val="1"/>
                <c:pt idx="0">
                  <c:v>Некласификовано</c:v>
                </c:pt>
              </c:strCache>
            </c:strRef>
          </c:tx>
          <c:spPr>
            <a:solidFill>
              <a:srgbClr val="C9E4EB"/>
            </a:solidFill>
            <a:ln>
              <a:noFill/>
            </a:ln>
            <a:effectLst/>
          </c:spPr>
          <c:invertIfNegative val="0"/>
          <c:dLbls>
            <c:dLbl>
              <c:idx val="0"/>
              <c:layout>
                <c:manualLayout>
                  <c:x val="8.7771580635753868E-2"/>
                  <c:y val="-2.95741352652248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214-49AE-AFF5-512CE65C46C4}"/>
                </c:ext>
              </c:extLst>
            </c:dLbl>
            <c:dLbl>
              <c:idx val="1"/>
              <c:layout>
                <c:manualLayout>
                  <c:x val="8.3384929833017069E-2"/>
                  <c:y val="-4.4653535353535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214-49AE-AFF5-512CE65C46C4}"/>
                </c:ext>
              </c:extLst>
            </c:dLbl>
            <c:spPr>
              <a:noFill/>
              <a:ln>
                <a:noFill/>
              </a:ln>
              <a:effectLst/>
            </c:spPr>
            <c:txPr>
              <a:bodyPr rot="0" spcFirstLastPara="1" vertOverflow="ellipsis" vert="horz" wrap="square" anchor="ctr" anchorCtr="1"/>
              <a:lstStyle/>
              <a:p>
                <a:pPr>
                  <a:defRPr sz="700" b="0" i="0" u="none" strike="noStrike" kern="1200" baseline="0">
                    <a:solidFill>
                      <a:srgbClr val="002060"/>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317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I-III 2023</c:v>
                </c:pt>
              </c:strCache>
            </c:strRef>
          </c:cat>
          <c:val>
            <c:numRef>
              <c:f>'Uvoz_ek. namena'!$E$10:$I$10</c:f>
              <c:numCache>
                <c:formatCode>#.#00</c:formatCode>
                <c:ptCount val="5"/>
                <c:pt idx="0">
                  <c:v>8.2577890112096625E-2</c:v>
                </c:pt>
                <c:pt idx="1">
                  <c:v>0.18220504035551299</c:v>
                </c:pt>
                <c:pt idx="2">
                  <c:v>2.2889967138942282</c:v>
                </c:pt>
                <c:pt idx="3">
                  <c:v>3.8655206616140112</c:v>
                </c:pt>
                <c:pt idx="4">
                  <c:v>1.8032085561497317</c:v>
                </c:pt>
              </c:numCache>
            </c:numRef>
          </c:val>
          <c:extLst>
            <c:ext xmlns:c16="http://schemas.microsoft.com/office/drawing/2014/chart" uri="{C3380CC4-5D6E-409C-BE32-E72D297353CC}">
              <c16:uniqueId val="{00000007-2214-49AE-AFF5-512CE65C46C4}"/>
            </c:ext>
          </c:extLst>
        </c:ser>
        <c:dLbls>
          <c:showLegendKey val="0"/>
          <c:showVal val="0"/>
          <c:showCatName val="0"/>
          <c:showSerName val="0"/>
          <c:showPercent val="0"/>
          <c:showBubbleSize val="0"/>
        </c:dLbls>
        <c:gapWidth val="70"/>
        <c:overlap val="100"/>
        <c:axId val="1839193360"/>
        <c:axId val="1839196080"/>
      </c:barChart>
      <c:lineChart>
        <c:grouping val="standard"/>
        <c:varyColors val="0"/>
        <c:ser>
          <c:idx val="3"/>
          <c:order val="0"/>
          <c:tx>
            <c:strRef>
              <c:f>'Uvoz_ek. namena'!$B$6</c:f>
              <c:strCache>
                <c:ptCount val="1"/>
                <c:pt idx="0">
                  <c:v>Укупно</c:v>
                </c:pt>
              </c:strCache>
            </c:strRef>
          </c:tx>
          <c:spPr>
            <a:ln w="28575" cap="rnd">
              <a:solidFill>
                <a:srgbClr val="FF0000"/>
              </a:solidFill>
              <a:round/>
            </a:ln>
            <a:effectLst/>
          </c:spPr>
          <c:marker>
            <c:symbol val="none"/>
          </c:marker>
          <c:dLbls>
            <c:dLbl>
              <c:idx val="1"/>
              <c:layout>
                <c:manualLayout>
                  <c:x val="1.1948454359871767E-2"/>
                  <c:y val="-2.9805555555556204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214-49AE-AFF5-512CE65C46C4}"/>
                </c:ext>
              </c:extLst>
            </c:dLbl>
            <c:dLbl>
              <c:idx val="2"/>
              <c:layout>
                <c:manualLayout>
                  <c:x val="2.3148190376672081E-2"/>
                  <c:y val="2.82222222222222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214-49AE-AFF5-512CE65C46C4}"/>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namena'!$E$5:$I$5</c:f>
              <c:strCache>
                <c:ptCount val="5"/>
                <c:pt idx="0">
                  <c:v>2019</c:v>
                </c:pt>
                <c:pt idx="1">
                  <c:v>2020</c:v>
                </c:pt>
                <c:pt idx="2">
                  <c:v>2021</c:v>
                </c:pt>
                <c:pt idx="3">
                  <c:v>2022</c:v>
                </c:pt>
                <c:pt idx="4">
                  <c:v>I-III 2023</c:v>
                </c:pt>
              </c:strCache>
            </c:strRef>
          </c:cat>
          <c:val>
            <c:numRef>
              <c:f>'Uvoz_ek. namena'!$E$6:$I$6</c:f>
              <c:numCache>
                <c:formatCode>#.#00</c:formatCode>
                <c:ptCount val="5"/>
                <c:pt idx="0">
                  <c:v>8.9266242979738593</c:v>
                </c:pt>
                <c:pt idx="1">
                  <c:v>-3.8438511767391508</c:v>
                </c:pt>
                <c:pt idx="2">
                  <c:v>26.038170679134183</c:v>
                </c:pt>
                <c:pt idx="3">
                  <c:v>34.81353225990398</c:v>
                </c:pt>
                <c:pt idx="4">
                  <c:v>0.67914438502674557</c:v>
                </c:pt>
              </c:numCache>
            </c:numRef>
          </c:val>
          <c:smooth val="0"/>
          <c:extLst>
            <c:ext xmlns:c16="http://schemas.microsoft.com/office/drawing/2014/chart" uri="{C3380CC4-5D6E-409C-BE32-E72D297353CC}">
              <c16:uniqueId val="{0000000A-2214-49AE-AFF5-512CE65C46C4}"/>
            </c:ext>
          </c:extLst>
        </c:ser>
        <c:dLbls>
          <c:showLegendKey val="0"/>
          <c:showVal val="0"/>
          <c:showCatName val="0"/>
          <c:showSerName val="0"/>
          <c:showPercent val="0"/>
          <c:showBubbleSize val="0"/>
        </c:dLbls>
        <c:marker val="1"/>
        <c:smooth val="0"/>
        <c:axId val="1839193360"/>
        <c:axId val="1839196080"/>
      </c:lineChart>
      <c:catAx>
        <c:axId val="183919336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6080"/>
        <c:crosses val="autoZero"/>
        <c:auto val="1"/>
        <c:lblAlgn val="ctr"/>
        <c:lblOffset val="100"/>
        <c:noMultiLvlLbl val="0"/>
      </c:catAx>
      <c:valAx>
        <c:axId val="1839196080"/>
        <c:scaling>
          <c:orientation val="minMax"/>
          <c:max val="50"/>
          <c:min val="-6"/>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3360"/>
        <c:crosses val="autoZero"/>
        <c:crossBetween val="between"/>
        <c:majorUnit val="6"/>
      </c:valAx>
      <c:spPr>
        <a:noFill/>
        <a:ln>
          <a:noFill/>
        </a:ln>
        <a:effectLst/>
      </c:spPr>
    </c:plotArea>
    <c:legend>
      <c:legendPos val="b"/>
      <c:layout>
        <c:manualLayout>
          <c:xMode val="edge"/>
          <c:yMode val="edge"/>
          <c:x val="1.2789078448527259E-2"/>
          <c:y val="0.80912929292929292"/>
          <c:w val="0.91940033537474486"/>
          <c:h val="0.1908707070707071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80796150481189"/>
          <c:y val="4.6989720998531569E-2"/>
          <c:w val="0.86246828521434815"/>
          <c:h val="0.81779689433093983"/>
        </c:manualLayout>
      </c:layout>
      <c:areaChart>
        <c:grouping val="standard"/>
        <c:varyColors val="0"/>
        <c:ser>
          <c:idx val="1"/>
          <c:order val="0"/>
          <c:tx>
            <c:strRef>
              <c:f>'Izvoz, uvoz (Q)'!$A$7</c:f>
              <c:strCache>
                <c:ptCount val="1"/>
                <c:pt idx="0">
                  <c:v>Увоз</c:v>
                </c:pt>
              </c:strCache>
            </c:strRef>
          </c:tx>
          <c:spPr>
            <a:solidFill>
              <a:srgbClr val="51BBE7"/>
            </a:solidFill>
            <a:ln>
              <a:noFill/>
            </a:ln>
            <a:effectLst/>
          </c:spPr>
          <c:dLbls>
            <c:dLbl>
              <c:idx val="0"/>
              <c:layout>
                <c:manualLayout>
                  <c:x val="0"/>
                  <c:y val="-0.13011863758132414"/>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4-5697-4CCC-BFB1-28A2B1C3E287}"/>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(Q)'!$S$3:$AU$4</c:f>
              <c:multiLvlStrCache>
                <c:ptCount val="29"/>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lvl>
                <c:lvl>
                  <c:pt idx="0">
                    <c:v>2016</c:v>
                  </c:pt>
                  <c:pt idx="4">
                    <c:v>2017</c:v>
                  </c:pt>
                  <c:pt idx="8">
                    <c:v>2018</c:v>
                  </c:pt>
                  <c:pt idx="12">
                    <c:v>2019</c:v>
                  </c:pt>
                  <c:pt idx="16">
                    <c:v>2020</c:v>
                  </c:pt>
                  <c:pt idx="20">
                    <c:v>2021</c:v>
                  </c:pt>
                  <c:pt idx="24">
                    <c:v>2022</c:v>
                  </c:pt>
                  <c:pt idx="28">
                    <c:v>2023</c:v>
                  </c:pt>
                </c:lvl>
              </c:multiLvlStrCache>
            </c:multiLvlStrRef>
          </c:cat>
          <c:val>
            <c:numRef>
              <c:f>'Izvoz, uvoz (Q)'!$S$7:$AU$7</c:f>
              <c:numCache>
                <c:formatCode>##,#00</c:formatCode>
                <c:ptCount val="29"/>
                <c:pt idx="0">
                  <c:v>3898.7717211190502</c:v>
                </c:pt>
                <c:pt idx="1">
                  <c:v>4458.9206734116106</c:v>
                </c:pt>
                <c:pt idx="2">
                  <c:v>4149.7076054693389</c:v>
                </c:pt>
                <c:pt idx="3">
                  <c:v>4560.5000000000018</c:v>
                </c:pt>
                <c:pt idx="4">
                  <c:v>4508.1000000000004</c:v>
                </c:pt>
                <c:pt idx="5">
                  <c:v>4918.5</c:v>
                </c:pt>
                <c:pt idx="6">
                  <c:v>4707.2999999999993</c:v>
                </c:pt>
                <c:pt idx="7">
                  <c:v>5262.1</c:v>
                </c:pt>
                <c:pt idx="8">
                  <c:v>5075.8999999999996</c:v>
                </c:pt>
                <c:pt idx="9">
                  <c:v>5458.7000000000007</c:v>
                </c:pt>
                <c:pt idx="10">
                  <c:v>5419</c:v>
                </c:pt>
                <c:pt idx="11">
                  <c:v>5965.1</c:v>
                </c:pt>
                <c:pt idx="12">
                  <c:v>5560.6</c:v>
                </c:pt>
                <c:pt idx="13">
                  <c:v>5942</c:v>
                </c:pt>
                <c:pt idx="14">
                  <c:v>5842.9999999999982</c:v>
                </c:pt>
                <c:pt idx="15">
                  <c:v>6529.7000000000007</c:v>
                </c:pt>
                <c:pt idx="16">
                  <c:v>5986.9</c:v>
                </c:pt>
                <c:pt idx="17">
                  <c:v>4743.2000000000007</c:v>
                </c:pt>
                <c:pt idx="18">
                  <c:v>5793.9999999999982</c:v>
                </c:pt>
                <c:pt idx="19">
                  <c:v>6433.5</c:v>
                </c:pt>
                <c:pt idx="20">
                  <c:v>6016.4</c:v>
                </c:pt>
                <c:pt idx="21">
                  <c:v>7087.5</c:v>
                </c:pt>
                <c:pt idx="22">
                  <c:v>7296.6999999999989</c:v>
                </c:pt>
                <c:pt idx="23">
                  <c:v>8534.7000000000007</c:v>
                </c:pt>
                <c:pt idx="24">
                  <c:v>9350</c:v>
                </c:pt>
                <c:pt idx="25">
                  <c:v>9552.0110507755016</c:v>
                </c:pt>
                <c:pt idx="26">
                  <c:v>9013.6921647143972</c:v>
                </c:pt>
                <c:pt idx="27">
                  <c:v>11093.032059905505</c:v>
                </c:pt>
                <c:pt idx="28">
                  <c:v>9413.5</c:v>
                </c:pt>
              </c:numCache>
            </c:numRef>
          </c:val>
          <c:extLst>
            <c:ext xmlns:c16="http://schemas.microsoft.com/office/drawing/2014/chart" uri="{C3380CC4-5D6E-409C-BE32-E72D297353CC}">
              <c16:uniqueId val="{00000000-5697-4CCC-BFB1-28A2B1C3E287}"/>
            </c:ext>
          </c:extLst>
        </c:ser>
        <c:ser>
          <c:idx val="0"/>
          <c:order val="1"/>
          <c:tx>
            <c:strRef>
              <c:f>'Izvoz, uvoz (Q)'!$A$8</c:f>
              <c:strCache>
                <c:ptCount val="1"/>
                <c:pt idx="0">
                  <c:v>Извоз</c:v>
                </c:pt>
              </c:strCache>
            </c:strRef>
          </c:tx>
          <c:spPr>
            <a:solidFill>
              <a:srgbClr val="29489A"/>
            </a:solidFill>
            <a:ln>
              <a:noFill/>
            </a:ln>
            <a:effectLst/>
          </c:spPr>
          <c:dLbls>
            <c:dLbl>
              <c:idx val="0"/>
              <c:layout>
                <c:manualLayout>
                  <c:x val="0"/>
                  <c:y val="-7.6540375047839141E-3"/>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3-5697-4CCC-BFB1-28A2B1C3E287}"/>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(Q)'!$S$3:$AU$4</c:f>
              <c:multiLvlStrCache>
                <c:ptCount val="29"/>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lvl>
                <c:lvl>
                  <c:pt idx="0">
                    <c:v>2016</c:v>
                  </c:pt>
                  <c:pt idx="4">
                    <c:v>2017</c:v>
                  </c:pt>
                  <c:pt idx="8">
                    <c:v>2018</c:v>
                  </c:pt>
                  <c:pt idx="12">
                    <c:v>2019</c:v>
                  </c:pt>
                  <c:pt idx="16">
                    <c:v>2020</c:v>
                  </c:pt>
                  <c:pt idx="20">
                    <c:v>2021</c:v>
                  </c:pt>
                  <c:pt idx="24">
                    <c:v>2022</c:v>
                  </c:pt>
                  <c:pt idx="28">
                    <c:v>2023</c:v>
                  </c:pt>
                </c:lvl>
              </c:multiLvlStrCache>
            </c:multiLvlStrRef>
          </c:cat>
          <c:val>
            <c:numRef>
              <c:f>'Izvoz, uvoz (Q)'!$S$8:$AU$8</c:f>
              <c:numCache>
                <c:formatCode>##,#00</c:formatCode>
                <c:ptCount val="29"/>
                <c:pt idx="0">
                  <c:v>3093.6981629093693</c:v>
                </c:pt>
                <c:pt idx="1">
                  <c:v>3473.8402049835208</c:v>
                </c:pt>
                <c:pt idx="2">
                  <c:v>3353.2616321071091</c:v>
                </c:pt>
                <c:pt idx="3">
                  <c:v>3511.3000000000011</c:v>
                </c:pt>
                <c:pt idx="4">
                  <c:v>3516.4</c:v>
                </c:pt>
                <c:pt idx="5">
                  <c:v>3948.9999999999995</c:v>
                </c:pt>
                <c:pt idx="6">
                  <c:v>3785.7000000000007</c:v>
                </c:pt>
                <c:pt idx="7">
                  <c:v>3799.6999999999989</c:v>
                </c:pt>
                <c:pt idx="8">
                  <c:v>3829.1</c:v>
                </c:pt>
                <c:pt idx="9">
                  <c:v>4218.6000000000004</c:v>
                </c:pt>
                <c:pt idx="10">
                  <c:v>4091.0999999999995</c:v>
                </c:pt>
                <c:pt idx="11">
                  <c:v>4143.2000000000007</c:v>
                </c:pt>
                <c:pt idx="12">
                  <c:v>4102.1000000000004</c:v>
                </c:pt>
                <c:pt idx="13">
                  <c:v>4488.7999999999993</c:v>
                </c:pt>
                <c:pt idx="14">
                  <c:v>4404.1000000000004</c:v>
                </c:pt>
                <c:pt idx="15">
                  <c:v>4541.4000000000015</c:v>
                </c:pt>
                <c:pt idx="16">
                  <c:v>4237.5</c:v>
                </c:pt>
                <c:pt idx="17">
                  <c:v>3597.2</c:v>
                </c:pt>
                <c:pt idx="18">
                  <c:v>4371.2</c:v>
                </c:pt>
                <c:pt idx="19">
                  <c:v>4848.6000000000004</c:v>
                </c:pt>
                <c:pt idx="20">
                  <c:v>4837.7</c:v>
                </c:pt>
                <c:pt idx="21">
                  <c:v>5236.7</c:v>
                </c:pt>
                <c:pt idx="22">
                  <c:v>5560.6</c:v>
                </c:pt>
                <c:pt idx="23">
                  <c:v>6223</c:v>
                </c:pt>
                <c:pt idx="24">
                  <c:v>6315</c:v>
                </c:pt>
                <c:pt idx="25">
                  <c:v>6832.3102056856987</c:v>
                </c:pt>
                <c:pt idx="26">
                  <c:v>6825.6463213351017</c:v>
                </c:pt>
                <c:pt idx="27">
                  <c:v>7631.7581139032991</c:v>
                </c:pt>
                <c:pt idx="28">
                  <c:v>7309.7</c:v>
                </c:pt>
              </c:numCache>
            </c:numRef>
          </c:val>
          <c:extLst>
            <c:ext xmlns:c16="http://schemas.microsoft.com/office/drawing/2014/chart" uri="{C3380CC4-5D6E-409C-BE32-E72D297353CC}">
              <c16:uniqueId val="{00000001-5697-4CCC-BFB1-28A2B1C3E287}"/>
            </c:ext>
          </c:extLst>
        </c:ser>
        <c:ser>
          <c:idx val="2"/>
          <c:order val="2"/>
          <c:tx>
            <c:strRef>
              <c:f>'Izvoz, uvoz (Q)'!$A$9</c:f>
              <c:strCache>
                <c:ptCount val="1"/>
                <c:pt idx="0">
                  <c:v>Дефицит</c:v>
                </c:pt>
              </c:strCache>
            </c:strRef>
          </c:tx>
          <c:spPr>
            <a:solidFill>
              <a:srgbClr val="ED1C24"/>
            </a:solidFill>
            <a:ln>
              <a:noFill/>
            </a:ln>
            <a:effectLst/>
          </c:spPr>
          <c:dLbls>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(Q)'!$S$3:$AU$4</c:f>
              <c:multiLvlStrCache>
                <c:ptCount val="29"/>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lvl>
                <c:lvl>
                  <c:pt idx="0">
                    <c:v>2016</c:v>
                  </c:pt>
                  <c:pt idx="4">
                    <c:v>2017</c:v>
                  </c:pt>
                  <c:pt idx="8">
                    <c:v>2018</c:v>
                  </c:pt>
                  <c:pt idx="12">
                    <c:v>2019</c:v>
                  </c:pt>
                  <c:pt idx="16">
                    <c:v>2020</c:v>
                  </c:pt>
                  <c:pt idx="20">
                    <c:v>2021</c:v>
                  </c:pt>
                  <c:pt idx="24">
                    <c:v>2022</c:v>
                  </c:pt>
                  <c:pt idx="28">
                    <c:v>2023</c:v>
                  </c:pt>
                </c:lvl>
              </c:multiLvlStrCache>
            </c:multiLvlStrRef>
          </c:cat>
          <c:val>
            <c:numRef>
              <c:f>'Izvoz, uvoz (Q)'!$S$9:$AU$9</c:f>
              <c:numCache>
                <c:formatCode>##,#00</c:formatCode>
                <c:ptCount val="29"/>
                <c:pt idx="0">
                  <c:v>-805.07355820968087</c:v>
                </c:pt>
                <c:pt idx="1">
                  <c:v>-985.08046842808972</c:v>
                </c:pt>
                <c:pt idx="2">
                  <c:v>-796.44597336222978</c:v>
                </c:pt>
                <c:pt idx="3">
                  <c:v>-1049.2000000000007</c:v>
                </c:pt>
                <c:pt idx="4">
                  <c:v>-991.70000000000027</c:v>
                </c:pt>
                <c:pt idx="5">
                  <c:v>-969.50000000000045</c:v>
                </c:pt>
                <c:pt idx="6">
                  <c:v>-921.59999999999854</c:v>
                </c:pt>
                <c:pt idx="7">
                  <c:v>-1462.4000000000015</c:v>
                </c:pt>
                <c:pt idx="8">
                  <c:v>-1246.7999999999997</c:v>
                </c:pt>
                <c:pt idx="9">
                  <c:v>-1240.1000000000004</c:v>
                </c:pt>
                <c:pt idx="10">
                  <c:v>-1327.9000000000005</c:v>
                </c:pt>
                <c:pt idx="11">
                  <c:v>-1821.8999999999996</c:v>
                </c:pt>
                <c:pt idx="12">
                  <c:v>-1458.5</c:v>
                </c:pt>
                <c:pt idx="13">
                  <c:v>-1453.2000000000007</c:v>
                </c:pt>
                <c:pt idx="14">
                  <c:v>-1438.8999999999978</c:v>
                </c:pt>
                <c:pt idx="15">
                  <c:v>-1988.2999999999993</c:v>
                </c:pt>
                <c:pt idx="16">
                  <c:v>-1749.3999999999996</c:v>
                </c:pt>
                <c:pt idx="17">
                  <c:v>-1146.0000000000009</c:v>
                </c:pt>
                <c:pt idx="18">
                  <c:v>-1422.7999999999984</c:v>
                </c:pt>
                <c:pt idx="19">
                  <c:v>-1584.8999999999996</c:v>
                </c:pt>
                <c:pt idx="20">
                  <c:v>-1178.6999999999998</c:v>
                </c:pt>
                <c:pt idx="21">
                  <c:v>-1850.8000000000002</c:v>
                </c:pt>
                <c:pt idx="22">
                  <c:v>-1736.0999999999985</c:v>
                </c:pt>
                <c:pt idx="23">
                  <c:v>-2311.7000000000007</c:v>
                </c:pt>
                <c:pt idx="24">
                  <c:v>-3035</c:v>
                </c:pt>
                <c:pt idx="25">
                  <c:v>-2719.7008450898029</c:v>
                </c:pt>
                <c:pt idx="26">
                  <c:v>-2188.0458433792955</c:v>
                </c:pt>
                <c:pt idx="27">
                  <c:v>-3461.2739460022058</c:v>
                </c:pt>
                <c:pt idx="28">
                  <c:v>-2103.8000000000002</c:v>
                </c:pt>
              </c:numCache>
            </c:numRef>
          </c:val>
          <c:extLst>
            <c:ext xmlns:c16="http://schemas.microsoft.com/office/drawing/2014/chart" uri="{C3380CC4-5D6E-409C-BE32-E72D297353CC}">
              <c16:uniqueId val="{00000002-5697-4CCC-BFB1-28A2B1C3E287}"/>
            </c:ext>
          </c:extLst>
        </c:ser>
        <c:dLbls>
          <c:showLegendKey val="0"/>
          <c:showVal val="0"/>
          <c:showCatName val="0"/>
          <c:showSerName val="0"/>
          <c:showPercent val="0"/>
          <c:showBubbleSize val="0"/>
        </c:dLbls>
        <c:axId val="1839202064"/>
        <c:axId val="1839196624"/>
      </c:areaChart>
      <c:catAx>
        <c:axId val="18392020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510" b="0" i="0" u="none" strike="noStrike" kern="1200" baseline="0">
                <a:solidFill>
                  <a:schemeClr val="tx2"/>
                </a:solidFill>
                <a:latin typeface="+mn-lt"/>
                <a:ea typeface="+mn-ea"/>
                <a:cs typeface="+mn-cs"/>
              </a:defRPr>
            </a:pPr>
            <a:endParaRPr lang="sr-Latn-RS"/>
          </a:p>
        </c:txPr>
        <c:crossAx val="1839196624"/>
        <c:crosses val="autoZero"/>
        <c:auto val="1"/>
        <c:lblAlgn val="ctr"/>
        <c:lblOffset val="0"/>
        <c:noMultiLvlLbl val="0"/>
      </c:catAx>
      <c:valAx>
        <c:axId val="1839196624"/>
        <c:scaling>
          <c:orientation val="minMax"/>
          <c:min val="-200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202064"/>
        <c:crosses val="autoZero"/>
        <c:crossBetween val="between"/>
        <c:majorUnit val="1500"/>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539150826485673E-2"/>
          <c:y val="3.2258064516129031E-2"/>
          <c:w val="0.90409995360749396"/>
          <c:h val="0.75972906612479885"/>
        </c:manualLayout>
      </c:layout>
      <c:barChart>
        <c:barDir val="col"/>
        <c:grouping val="stacked"/>
        <c:varyColors val="0"/>
        <c:ser>
          <c:idx val="0"/>
          <c:order val="1"/>
          <c:tx>
            <c:strRef>
              <c:f>'Struktura CA i FA'!$B$10</c:f>
              <c:strCache>
                <c:ptCount val="1"/>
                <c:pt idx="0">
                  <c:v>Салдо робне размене </c:v>
                </c:pt>
              </c:strCache>
            </c:strRef>
          </c:tx>
          <c:spPr>
            <a:solidFill>
              <a:srgbClr val="10103C"/>
            </a:solidFill>
            <a:ln>
              <a:noFill/>
            </a:ln>
            <a:effectLst/>
          </c:spPr>
          <c:invertIfNegative val="0"/>
          <c:cat>
            <c:strRef>
              <c:f>'Struktura CA i FA'!$H$8:$N$8</c:f>
              <c:strCache>
                <c:ptCount val="7"/>
                <c:pt idx="0">
                  <c:v>2020</c:v>
                </c:pt>
                <c:pt idx="1">
                  <c:v>2021</c:v>
                </c:pt>
                <c:pt idx="2">
                  <c:v>2022</c:v>
                </c:pt>
                <c:pt idx="3">
                  <c:v>2023*</c:v>
                </c:pt>
                <c:pt idx="4">
                  <c:v>2024</c:v>
                </c:pt>
                <c:pt idx="5">
                  <c:v>2025</c:v>
                </c:pt>
                <c:pt idx="6">
                  <c:v>2026</c:v>
                </c:pt>
              </c:strCache>
            </c:strRef>
          </c:cat>
          <c:val>
            <c:numRef>
              <c:f>'Struktura CA i FA'!$H$10:$N$10</c:f>
              <c:numCache>
                <c:formatCode>#.#00</c:formatCode>
                <c:ptCount val="7"/>
                <c:pt idx="0">
                  <c:v>-11.109010566379723</c:v>
                </c:pt>
                <c:pt idx="1">
                  <c:v>-11.28793904591975</c:v>
                </c:pt>
                <c:pt idx="2">
                  <c:v>-15.493896465674794</c:v>
                </c:pt>
                <c:pt idx="3">
                  <c:v>-12.803452404739943</c:v>
                </c:pt>
                <c:pt idx="4">
                  <c:v>-12.355371338639278</c:v>
                </c:pt>
                <c:pt idx="5">
                  <c:v>-11.680826259405203</c:v>
                </c:pt>
                <c:pt idx="6">
                  <c:v>-10.994591151531553</c:v>
                </c:pt>
              </c:numCache>
            </c:numRef>
          </c:val>
          <c:extLst>
            <c:ext xmlns:c16="http://schemas.microsoft.com/office/drawing/2014/chart" uri="{C3380CC4-5D6E-409C-BE32-E72D297353CC}">
              <c16:uniqueId val="{00000000-9A63-48CD-886B-98DA10553A04}"/>
            </c:ext>
          </c:extLst>
        </c:ser>
        <c:ser>
          <c:idx val="1"/>
          <c:order val="2"/>
          <c:tx>
            <c:strRef>
              <c:f>'Struktura CA i FA'!$B$11</c:f>
              <c:strCache>
                <c:ptCount val="1"/>
                <c:pt idx="0">
                  <c:v>Салдо услугa</c:v>
                </c:pt>
              </c:strCache>
            </c:strRef>
          </c:tx>
          <c:spPr>
            <a:solidFill>
              <a:srgbClr val="29489A"/>
            </a:solidFill>
            <a:ln>
              <a:noFill/>
            </a:ln>
            <a:effectLst/>
          </c:spPr>
          <c:invertIfNegative val="0"/>
          <c:cat>
            <c:strRef>
              <c:f>'Struktura CA i FA'!$H$8:$N$8</c:f>
              <c:strCache>
                <c:ptCount val="7"/>
                <c:pt idx="0">
                  <c:v>2020</c:v>
                </c:pt>
                <c:pt idx="1">
                  <c:v>2021</c:v>
                </c:pt>
                <c:pt idx="2">
                  <c:v>2022</c:v>
                </c:pt>
                <c:pt idx="3">
                  <c:v>2023*</c:v>
                </c:pt>
                <c:pt idx="4">
                  <c:v>2024</c:v>
                </c:pt>
                <c:pt idx="5">
                  <c:v>2025</c:v>
                </c:pt>
                <c:pt idx="6">
                  <c:v>2026</c:v>
                </c:pt>
              </c:strCache>
            </c:strRef>
          </c:cat>
          <c:val>
            <c:numRef>
              <c:f>'Struktura CA i FA'!$H$11:$N$11</c:f>
              <c:numCache>
                <c:formatCode>#.#00</c:formatCode>
                <c:ptCount val="7"/>
                <c:pt idx="0">
                  <c:v>2.3531802586861801</c:v>
                </c:pt>
                <c:pt idx="1">
                  <c:v>2.6223421620591698</c:v>
                </c:pt>
                <c:pt idx="2">
                  <c:v>3.8364672080503328</c:v>
                </c:pt>
                <c:pt idx="3">
                  <c:v>3.7699859855406408</c:v>
                </c:pt>
                <c:pt idx="4">
                  <c:v>3.8233233784062923</c:v>
                </c:pt>
                <c:pt idx="5">
                  <c:v>3.8103230044049115</c:v>
                </c:pt>
                <c:pt idx="6">
                  <c:v>3.8013214087742075</c:v>
                </c:pt>
              </c:numCache>
            </c:numRef>
          </c:val>
          <c:extLst>
            <c:ext xmlns:c16="http://schemas.microsoft.com/office/drawing/2014/chart" uri="{C3380CC4-5D6E-409C-BE32-E72D297353CC}">
              <c16:uniqueId val="{00000001-9A63-48CD-886B-98DA10553A04}"/>
            </c:ext>
          </c:extLst>
        </c:ser>
        <c:ser>
          <c:idx val="2"/>
          <c:order val="3"/>
          <c:tx>
            <c:strRef>
              <c:f>'Struktura CA i FA'!$B$12</c:f>
              <c:strCache>
                <c:ptCount val="1"/>
                <c:pt idx="0">
                  <c:v>Салдо дохотка           </c:v>
                </c:pt>
              </c:strCache>
            </c:strRef>
          </c:tx>
          <c:spPr>
            <a:solidFill>
              <a:srgbClr val="2183C4"/>
            </a:solidFill>
            <a:ln>
              <a:noFill/>
            </a:ln>
            <a:effectLst/>
          </c:spPr>
          <c:invertIfNegative val="0"/>
          <c:cat>
            <c:strRef>
              <c:f>'Struktura CA i FA'!$H$8:$N$8</c:f>
              <c:strCache>
                <c:ptCount val="7"/>
                <c:pt idx="0">
                  <c:v>2020</c:v>
                </c:pt>
                <c:pt idx="1">
                  <c:v>2021</c:v>
                </c:pt>
                <c:pt idx="2">
                  <c:v>2022</c:v>
                </c:pt>
                <c:pt idx="3">
                  <c:v>2023*</c:v>
                </c:pt>
                <c:pt idx="4">
                  <c:v>2024</c:v>
                </c:pt>
                <c:pt idx="5">
                  <c:v>2025</c:v>
                </c:pt>
                <c:pt idx="6">
                  <c:v>2026</c:v>
                </c:pt>
              </c:strCache>
            </c:strRef>
          </c:cat>
          <c:val>
            <c:numRef>
              <c:f>'Struktura CA i FA'!$H$12:$N$12</c:f>
              <c:numCache>
                <c:formatCode>#.#00</c:formatCode>
                <c:ptCount val="7"/>
                <c:pt idx="0">
                  <c:v>-3.0429940120534491</c:v>
                </c:pt>
                <c:pt idx="1">
                  <c:v>-3.8587147300336189</c:v>
                </c:pt>
                <c:pt idx="2">
                  <c:v>-4.9918080259471891</c:v>
                </c:pt>
                <c:pt idx="3">
                  <c:v>-4.7849822124169643</c:v>
                </c:pt>
                <c:pt idx="4">
                  <c:v>-4.8026307700682533</c:v>
                </c:pt>
                <c:pt idx="5">
                  <c:v>-4.809751989166851</c:v>
                </c:pt>
                <c:pt idx="6">
                  <c:v>-4.7955131618382278</c:v>
                </c:pt>
              </c:numCache>
            </c:numRef>
          </c:val>
          <c:extLst>
            <c:ext xmlns:c16="http://schemas.microsoft.com/office/drawing/2014/chart" uri="{C3380CC4-5D6E-409C-BE32-E72D297353CC}">
              <c16:uniqueId val="{00000002-9A63-48CD-886B-98DA10553A04}"/>
            </c:ext>
          </c:extLst>
        </c:ser>
        <c:ser>
          <c:idx val="3"/>
          <c:order val="4"/>
          <c:tx>
            <c:strRef>
              <c:f>'Struktura CA i FA'!$B$13</c:f>
              <c:strCache>
                <c:ptCount val="1"/>
                <c:pt idx="0">
                  <c:v>Салдо текућих трансфера</c:v>
                </c:pt>
              </c:strCache>
            </c:strRef>
          </c:tx>
          <c:spPr>
            <a:solidFill>
              <a:srgbClr val="51BBE7"/>
            </a:solidFill>
            <a:ln>
              <a:noFill/>
            </a:ln>
            <a:effectLst/>
          </c:spPr>
          <c:invertIfNegative val="0"/>
          <c:cat>
            <c:strRef>
              <c:f>'Struktura CA i FA'!$H$8:$N$8</c:f>
              <c:strCache>
                <c:ptCount val="7"/>
                <c:pt idx="0">
                  <c:v>2020</c:v>
                </c:pt>
                <c:pt idx="1">
                  <c:v>2021</c:v>
                </c:pt>
                <c:pt idx="2">
                  <c:v>2022</c:v>
                </c:pt>
                <c:pt idx="3">
                  <c:v>2023*</c:v>
                </c:pt>
                <c:pt idx="4">
                  <c:v>2024</c:v>
                </c:pt>
                <c:pt idx="5">
                  <c:v>2025</c:v>
                </c:pt>
                <c:pt idx="6">
                  <c:v>2026</c:v>
                </c:pt>
              </c:strCache>
            </c:strRef>
          </c:cat>
          <c:val>
            <c:numRef>
              <c:f>'Struktura CA i FA'!$H$13:$N$13</c:f>
              <c:numCache>
                <c:formatCode>#.#00</c:formatCode>
                <c:ptCount val="7"/>
                <c:pt idx="0">
                  <c:v>7.6788649807282559</c:v>
                </c:pt>
                <c:pt idx="1">
                  <c:v>8.2759537419911791</c:v>
                </c:pt>
                <c:pt idx="2">
                  <c:v>9.792531425956529</c:v>
                </c:pt>
                <c:pt idx="3">
                  <c:v>8.4824684674664361</c:v>
                </c:pt>
                <c:pt idx="4">
                  <c:v>8.183253546764341</c:v>
                </c:pt>
                <c:pt idx="5">
                  <c:v>7.6206460088098158</c:v>
                </c:pt>
                <c:pt idx="6">
                  <c:v>7.2517516105846376</c:v>
                </c:pt>
              </c:numCache>
            </c:numRef>
          </c:val>
          <c:extLst>
            <c:ext xmlns:c16="http://schemas.microsoft.com/office/drawing/2014/chart" uri="{C3380CC4-5D6E-409C-BE32-E72D297353CC}">
              <c16:uniqueId val="{00000003-9A63-48CD-886B-98DA10553A04}"/>
            </c:ext>
          </c:extLst>
        </c:ser>
        <c:dLbls>
          <c:showLegendKey val="0"/>
          <c:showVal val="0"/>
          <c:showCatName val="0"/>
          <c:showSerName val="0"/>
          <c:showPercent val="0"/>
          <c:showBubbleSize val="0"/>
        </c:dLbls>
        <c:gapWidth val="50"/>
        <c:overlap val="100"/>
        <c:axId val="1763590384"/>
        <c:axId val="1763611056"/>
      </c:barChart>
      <c:lineChart>
        <c:grouping val="standard"/>
        <c:varyColors val="0"/>
        <c:ser>
          <c:idx val="4"/>
          <c:order val="0"/>
          <c:tx>
            <c:strRef>
              <c:f>'Struktura CA i FA'!$B$9</c:f>
              <c:strCache>
                <c:ptCount val="1"/>
                <c:pt idx="0">
                  <c:v>Дефицит текућег рачуна</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'Struktura CA i FA'!$H$8:$N$8</c:f>
              <c:strCache>
                <c:ptCount val="7"/>
                <c:pt idx="0">
                  <c:v>2020</c:v>
                </c:pt>
                <c:pt idx="1">
                  <c:v>2021</c:v>
                </c:pt>
                <c:pt idx="2">
                  <c:v>2022</c:v>
                </c:pt>
                <c:pt idx="3">
                  <c:v>2023*</c:v>
                </c:pt>
                <c:pt idx="4">
                  <c:v>2024</c:v>
                </c:pt>
                <c:pt idx="5">
                  <c:v>2025</c:v>
                </c:pt>
                <c:pt idx="6">
                  <c:v>2026</c:v>
                </c:pt>
              </c:strCache>
            </c:strRef>
          </c:cat>
          <c:val>
            <c:numRef>
              <c:f>'Struktura CA i FA'!$H$9:$N$9</c:f>
              <c:numCache>
                <c:formatCode>#.#00</c:formatCode>
                <c:ptCount val="7"/>
                <c:pt idx="0">
                  <c:v>-4.1199593390187337</c:v>
                </c:pt>
                <c:pt idx="1">
                  <c:v>-4.2483578719030222</c:v>
                </c:pt>
                <c:pt idx="2">
                  <c:v>-6.856705857615121</c:v>
                </c:pt>
                <c:pt idx="3">
                  <c:v>-5.3359801641498299</c:v>
                </c:pt>
                <c:pt idx="4">
                  <c:v>-5.1514251835368965</c:v>
                </c:pt>
                <c:pt idx="5">
                  <c:v>-5.0596092353573274</c:v>
                </c:pt>
                <c:pt idx="6">
                  <c:v>-4.7370312940109365</c:v>
                </c:pt>
              </c:numCache>
            </c:numRef>
          </c:val>
          <c:smooth val="0"/>
          <c:extLst>
            <c:ext xmlns:c16="http://schemas.microsoft.com/office/drawing/2014/chart" uri="{C3380CC4-5D6E-409C-BE32-E72D297353CC}">
              <c16:uniqueId val="{00000004-9A63-48CD-886B-98DA10553A04}"/>
            </c:ext>
          </c:extLst>
        </c:ser>
        <c:dLbls>
          <c:showLegendKey val="0"/>
          <c:showVal val="0"/>
          <c:showCatName val="0"/>
          <c:showSerName val="0"/>
          <c:showPercent val="0"/>
          <c:showBubbleSize val="0"/>
        </c:dLbls>
        <c:marker val="1"/>
        <c:smooth val="0"/>
        <c:axId val="1763590384"/>
        <c:axId val="1763611056"/>
      </c:lineChart>
      <c:catAx>
        <c:axId val="1763590384"/>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sr-Latn-RS"/>
          </a:p>
        </c:txPr>
        <c:crossAx val="1763611056"/>
        <c:crosses val="autoZero"/>
        <c:auto val="1"/>
        <c:lblAlgn val="ctr"/>
        <c:lblOffset val="100"/>
        <c:noMultiLvlLbl val="0"/>
      </c:catAx>
      <c:valAx>
        <c:axId val="1763611056"/>
        <c:scaling>
          <c:orientation val="minMax"/>
          <c:max val="15"/>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3590384"/>
        <c:crosses val="autoZero"/>
        <c:crossBetween val="between"/>
        <c:majorUnit val="5"/>
      </c:valAx>
      <c:spPr>
        <a:noFill/>
        <a:ln>
          <a:noFill/>
        </a:ln>
        <a:effectLst/>
      </c:spPr>
    </c:plotArea>
    <c:legend>
      <c:legendPos val="b"/>
      <c:layout>
        <c:manualLayout>
          <c:xMode val="edge"/>
          <c:yMode val="edge"/>
          <c:x val="1.14209682123068E-3"/>
          <c:y val="0.85112691558716447"/>
          <c:w val="0.99885790317876932"/>
          <c:h val="0.148873084412835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7937445319335081E-2"/>
          <c:y val="5.0925925925925923E-2"/>
          <c:w val="0.92150699912510936"/>
          <c:h val="0.70304067460317465"/>
        </c:manualLayout>
      </c:layout>
      <c:barChart>
        <c:barDir val="col"/>
        <c:grouping val="clustered"/>
        <c:varyColors val="0"/>
        <c:ser>
          <c:idx val="0"/>
          <c:order val="0"/>
          <c:tx>
            <c:strRef>
              <c:f>'Def. tek. racuna i SDI'!$B$8</c:f>
              <c:strCache>
                <c:ptCount val="1"/>
                <c:pt idx="0">
                  <c:v>Дефицит текућег рачуна, % БДП</c:v>
                </c:pt>
              </c:strCache>
            </c:strRef>
          </c:tx>
          <c:spPr>
            <a:solidFill>
              <a:srgbClr val="29489A"/>
            </a:solidFill>
            <a:ln>
              <a:noFill/>
            </a:ln>
            <a:effectLst/>
          </c:spPr>
          <c:invertIfNegative val="0"/>
          <c:cat>
            <c:strRef>
              <c:f>'Def. tek. racuna i SDI'!$G$7:$N$7</c:f>
              <c:strCache>
                <c:ptCount val="8"/>
                <c:pt idx="0">
                  <c:v>2019</c:v>
                </c:pt>
                <c:pt idx="1">
                  <c:v>2020</c:v>
                </c:pt>
                <c:pt idx="2">
                  <c:v>2021</c:v>
                </c:pt>
                <c:pt idx="3">
                  <c:v>2022</c:v>
                </c:pt>
                <c:pt idx="4">
                  <c:v>2023*</c:v>
                </c:pt>
                <c:pt idx="5">
                  <c:v>2024</c:v>
                </c:pt>
                <c:pt idx="6">
                  <c:v>2025</c:v>
                </c:pt>
                <c:pt idx="7">
                  <c:v>2026</c:v>
                </c:pt>
              </c:strCache>
            </c:strRef>
          </c:cat>
          <c:val>
            <c:numRef>
              <c:f>'Def. tek. racuna i SDI'!$G$8:$N$8</c:f>
              <c:numCache>
                <c:formatCode>#.#00</c:formatCode>
                <c:ptCount val="8"/>
                <c:pt idx="0">
                  <c:v>6.8707188213542798</c:v>
                </c:pt>
                <c:pt idx="1">
                  <c:v>4.1199593390187337</c:v>
                </c:pt>
                <c:pt idx="2">
                  <c:v>4.2483578719030222</c:v>
                </c:pt>
                <c:pt idx="3">
                  <c:v>6.856705857615121</c:v>
                </c:pt>
                <c:pt idx="4">
                  <c:v>5.3359801641498299</c:v>
                </c:pt>
                <c:pt idx="5">
                  <c:v>5.1514251835368965</c:v>
                </c:pt>
                <c:pt idx="6">
                  <c:v>5.0596092353573274</c:v>
                </c:pt>
                <c:pt idx="7">
                  <c:v>4.7370312940109365</c:v>
                </c:pt>
              </c:numCache>
            </c:numRef>
          </c:val>
          <c:extLst>
            <c:ext xmlns:c16="http://schemas.microsoft.com/office/drawing/2014/chart" uri="{C3380CC4-5D6E-409C-BE32-E72D297353CC}">
              <c16:uniqueId val="{00000000-CFA9-4060-A01D-F6ED137EA704}"/>
            </c:ext>
          </c:extLst>
        </c:ser>
        <c:ser>
          <c:idx val="1"/>
          <c:order val="1"/>
          <c:tx>
            <c:strRef>
              <c:f>'Def. tek. racuna i SDI'!$B$9</c:f>
              <c:strCache>
                <c:ptCount val="1"/>
                <c:pt idx="0">
                  <c:v>Стране директне инвестиције, нето, % БДП</c:v>
                </c:pt>
              </c:strCache>
            </c:strRef>
          </c:tx>
          <c:spPr>
            <a:solidFill>
              <a:srgbClr val="51BBE7"/>
            </a:solidFill>
            <a:ln>
              <a:noFill/>
            </a:ln>
            <a:effectLst/>
          </c:spPr>
          <c:invertIfNegative val="0"/>
          <c:cat>
            <c:strRef>
              <c:f>'Def. tek. racuna i SDI'!$G$7:$N$7</c:f>
              <c:strCache>
                <c:ptCount val="8"/>
                <c:pt idx="0">
                  <c:v>2019</c:v>
                </c:pt>
                <c:pt idx="1">
                  <c:v>2020</c:v>
                </c:pt>
                <c:pt idx="2">
                  <c:v>2021</c:v>
                </c:pt>
                <c:pt idx="3">
                  <c:v>2022</c:v>
                </c:pt>
                <c:pt idx="4">
                  <c:v>2023*</c:v>
                </c:pt>
                <c:pt idx="5">
                  <c:v>2024</c:v>
                </c:pt>
                <c:pt idx="6">
                  <c:v>2025</c:v>
                </c:pt>
                <c:pt idx="7">
                  <c:v>2026</c:v>
                </c:pt>
              </c:strCache>
            </c:strRef>
          </c:cat>
          <c:val>
            <c:numRef>
              <c:f>'Def. tek. racuna i SDI'!$G$9:$N$9</c:f>
              <c:numCache>
                <c:formatCode>#.#00</c:formatCode>
                <c:ptCount val="8"/>
                <c:pt idx="0">
                  <c:v>7.7188516246762404</c:v>
                </c:pt>
                <c:pt idx="1">
                  <c:v>6.2767610835053871</c:v>
                </c:pt>
                <c:pt idx="2">
                  <c:v>6.8572251962409165</c:v>
                </c:pt>
                <c:pt idx="3">
                  <c:v>7.1326938252139964</c:v>
                </c:pt>
                <c:pt idx="4">
                  <c:v>5.5099795173286257</c:v>
                </c:pt>
                <c:pt idx="5">
                  <c:v>5.2319162020296597</c:v>
                </c:pt>
                <c:pt idx="6">
                  <c:v>5.871645285476415</c:v>
                </c:pt>
                <c:pt idx="7">
                  <c:v>5.4972955757657722</c:v>
                </c:pt>
              </c:numCache>
            </c:numRef>
          </c:val>
          <c:extLst>
            <c:ext xmlns:c16="http://schemas.microsoft.com/office/drawing/2014/chart" uri="{C3380CC4-5D6E-409C-BE32-E72D297353CC}">
              <c16:uniqueId val="{00000001-CFA9-4060-A01D-F6ED137EA704}"/>
            </c:ext>
          </c:extLst>
        </c:ser>
        <c:dLbls>
          <c:showLegendKey val="0"/>
          <c:showVal val="0"/>
          <c:showCatName val="0"/>
          <c:showSerName val="0"/>
          <c:showPercent val="0"/>
          <c:showBubbleSize val="0"/>
        </c:dLbls>
        <c:gapWidth val="80"/>
        <c:overlap val="-11"/>
        <c:axId val="1839176496"/>
        <c:axId val="1839185744"/>
      </c:barChart>
      <c:catAx>
        <c:axId val="183917649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5744"/>
        <c:crosses val="autoZero"/>
        <c:auto val="1"/>
        <c:lblAlgn val="ctr"/>
        <c:lblOffset val="100"/>
        <c:noMultiLvlLbl val="0"/>
      </c:catAx>
      <c:valAx>
        <c:axId val="183918574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6496"/>
        <c:crosses val="autoZero"/>
        <c:crossBetween val="between"/>
      </c:valAx>
      <c:spPr>
        <a:noFill/>
        <a:ln>
          <a:noFill/>
        </a:ln>
        <a:effectLst/>
      </c:spPr>
    </c:plotArea>
    <c:legend>
      <c:legendPos val="b"/>
      <c:layout>
        <c:manualLayout>
          <c:xMode val="edge"/>
          <c:yMode val="edge"/>
          <c:x val="1.0742927967337418E-2"/>
          <c:y val="0.86493849206349194"/>
          <c:w val="0.97274511918886852"/>
          <c:h val="0.1224620951507275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0.13379192184310296"/>
          <c:y val="6.842061127661922E-2"/>
          <c:w val="0.83193387284922715"/>
          <c:h val="0.89994549266247381"/>
        </c:manualLayout>
      </c:layout>
      <c:barChart>
        <c:barDir val="col"/>
        <c:grouping val="clustered"/>
        <c:varyColors val="0"/>
        <c:ser>
          <c:idx val="0"/>
          <c:order val="0"/>
          <c:tx>
            <c:v>Фискални резултат</c:v>
          </c:tx>
          <c:spPr>
            <a:solidFill>
              <a:schemeClr val="accent1">
                <a:shade val="76000"/>
              </a:schemeClr>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700" b="1" i="0" u="none" strike="noStrike" kern="1200" baseline="0">
                    <a:solidFill>
                      <a:schemeClr val="tx1">
                        <a:lumMod val="75000"/>
                        <a:lumOff val="25000"/>
                      </a:schemeClr>
                    </a:solidFill>
                    <a:latin typeface="+mn-lt"/>
                    <a:ea typeface="+mn-ea"/>
                    <a:cs typeface="+mn-cs"/>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Yearly'!$CM$7:$CT$8,'Quaterly, Yearly'!$CU$7:$CU$8)</c:f>
              <c:strCache>
                <c:ptCount val="9"/>
                <c:pt idx="0">
                  <c:v>2015</c:v>
                </c:pt>
                <c:pt idx="1">
                  <c:v>2016</c:v>
                </c:pt>
                <c:pt idx="2">
                  <c:v>2017</c:v>
                </c:pt>
                <c:pt idx="3">
                  <c:v>2018</c:v>
                </c:pt>
                <c:pt idx="4">
                  <c:v>2019</c:v>
                </c:pt>
                <c:pt idx="5">
                  <c:v>2020</c:v>
                </c:pt>
                <c:pt idx="6">
                  <c:v>2021</c:v>
                </c:pt>
                <c:pt idx="7">
                  <c:v>2022</c:v>
                </c:pt>
                <c:pt idx="8">
                  <c:v>2023</c:v>
                </c:pt>
              </c:strCache>
            </c:strRef>
          </c:cat>
          <c:val>
            <c:numRef>
              <c:f>('Quaterly, Yearly'!$CM$78:$CS$78,'Quaterly, Yearly'!$CT$78,'Quaterly, Yearly'!$CU$78)</c:f>
              <c:numCache>
                <c:formatCode>###,000</c:formatCode>
                <c:ptCount val="9"/>
                <c:pt idx="0">
                  <c:v>-3.4561672728767112</c:v>
                </c:pt>
                <c:pt idx="1">
                  <c:v>-1.1926941660681765</c:v>
                </c:pt>
                <c:pt idx="2">
                  <c:v>1.0986349345465762</c:v>
                </c:pt>
                <c:pt idx="3">
                  <c:v>0.63523655395945411</c:v>
                </c:pt>
                <c:pt idx="4">
                  <c:v>-0.20497664525511922</c:v>
                </c:pt>
                <c:pt idx="5">
                  <c:v>-8.0441635730355401</c:v>
                </c:pt>
                <c:pt idx="6">
                  <c:v>-4.1369458955187222</c:v>
                </c:pt>
                <c:pt idx="7">
                  <c:v>-3.1709662073615501</c:v>
                </c:pt>
                <c:pt idx="8">
                  <c:v>-3</c:v>
                </c:pt>
              </c:numCache>
            </c:numRef>
          </c:val>
          <c:extLst>
            <c:ext xmlns:c16="http://schemas.microsoft.com/office/drawing/2014/chart" uri="{C3380CC4-5D6E-409C-BE32-E72D297353CC}">
              <c16:uniqueId val="{00000000-2241-4734-8764-50C6C4F1046E}"/>
            </c:ext>
          </c:extLst>
        </c:ser>
        <c:ser>
          <c:idx val="1"/>
          <c:order val="1"/>
          <c:tx>
            <c:v>Примарни фискални резултат</c:v>
          </c:tx>
          <c:spPr>
            <a:solidFill>
              <a:schemeClr val="accent1">
                <a:tint val="77000"/>
              </a:schemeClr>
            </a:solidFill>
            <a:ln>
              <a:noFill/>
            </a:ln>
            <a:effectLst/>
          </c:spPr>
          <c:invertIfNegative val="0"/>
          <c:dLbls>
            <c:dLbl>
              <c:idx val="0"/>
              <c:layout>
                <c:manualLayout>
                  <c:x val="1.132097084431951E-2"/>
                  <c:y val="-2.72338077899149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241-4734-8764-50C6C4F1046E}"/>
                </c:ext>
              </c:extLst>
            </c:dLbl>
            <c:dLbl>
              <c:idx val="1"/>
              <c:layout>
                <c:manualLayout>
                  <c:x val="-3.2073297015369011E-3"/>
                  <c:y val="-1.41424978807239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241-4734-8764-50C6C4F1046E}"/>
                </c:ext>
              </c:extLst>
            </c:dLbl>
            <c:dLbl>
              <c:idx val="2"/>
              <c:layout>
                <c:manualLayout>
                  <c:x val="-2.4176209155354405E-3"/>
                  <c:y val="-6.6515202784357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241-4734-8764-50C6C4F1046E}"/>
                </c:ext>
              </c:extLst>
            </c:dLbl>
            <c:dLbl>
              <c:idx val="3"/>
              <c:layout>
                <c:manualLayout>
                  <c:x val="2.6858041798127055E-3"/>
                  <c:y val="3.62947391256674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241-4734-8764-50C6C4F1046E}"/>
                </c:ext>
              </c:extLst>
            </c:dLbl>
            <c:dLbl>
              <c:idx val="4"/>
              <c:layout>
                <c:manualLayout>
                  <c:x val="-3.9217883120591336E-3"/>
                  <c:y val="-1.08980896450816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241-4734-8764-50C6C4F1046E}"/>
                </c:ext>
              </c:extLst>
            </c:dLbl>
            <c:dLbl>
              <c:idx val="5"/>
              <c:layout>
                <c:manualLayout>
                  <c:x val="1.8183368791494724E-3"/>
                  <c:y val="-1.34348449740702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241-4734-8764-50C6C4F1046E}"/>
                </c:ext>
              </c:extLst>
            </c:dLbl>
            <c:dLbl>
              <c:idx val="6"/>
              <c:layout>
                <c:manualLayout>
                  <c:x val="1.3735038279346209E-2"/>
                  <c:y val="-1.31188348229063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241-4734-8764-50C6C4F1046E}"/>
                </c:ext>
              </c:extLst>
            </c:dLbl>
            <c:dLbl>
              <c:idx val="7"/>
              <c:layout>
                <c:manualLayout>
                  <c:x val="1.9834639029877463E-2"/>
                  <c:y val="-8.47013624652181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241-4734-8764-50C6C4F1046E}"/>
                </c:ext>
              </c:extLst>
            </c:dLbl>
            <c:dLbl>
              <c:idx val="8"/>
              <c:layout>
                <c:manualLayout>
                  <c:x val="5.4635722476333764E-3"/>
                  <c:y val="8.776520461182104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241-4734-8764-50C6C4F1046E}"/>
                </c:ext>
              </c:extLst>
            </c:dLbl>
            <c:dLbl>
              <c:idx val="9"/>
              <c:layout>
                <c:manualLayout>
                  <c:x val="-4.7561598436538947E-2"/>
                  <c:y val="1.37998645169602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241-4734-8764-50C6C4F1046E}"/>
                </c:ext>
              </c:extLst>
            </c:dLbl>
            <c:dLbl>
              <c:idx val="10"/>
              <c:layout>
                <c:manualLayout>
                  <c:x val="-3.1357910371513177E-2"/>
                  <c:y val="-1.5058062466060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241-4734-8764-50C6C4F1046E}"/>
                </c:ext>
              </c:extLst>
            </c:dLbl>
            <c:dLbl>
              <c:idx val="11"/>
              <c:layout>
                <c:manualLayout>
                  <c:x val="-4.746385337205393E-2"/>
                  <c:y val="-2.50967707767667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241-4734-8764-50C6C4F1046E}"/>
                </c:ext>
              </c:extLst>
            </c:dLbl>
            <c:numFmt formatCode="##,#00" sourceLinked="0"/>
            <c:spPr>
              <a:noFill/>
              <a:ln>
                <a:noFill/>
              </a:ln>
              <a:effectLst/>
            </c:spPr>
            <c:txPr>
              <a:bodyPr rot="0" spcFirstLastPara="1" vertOverflow="ellipsis" vert="horz" wrap="square" anchor="ctr" anchorCtr="1"/>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Yearly'!$CM$7:$CT$8,'Quaterly, Yearly'!$CU$7:$CU$8)</c:f>
              <c:strCache>
                <c:ptCount val="9"/>
                <c:pt idx="0">
                  <c:v>2015</c:v>
                </c:pt>
                <c:pt idx="1">
                  <c:v>2016</c:v>
                </c:pt>
                <c:pt idx="2">
                  <c:v>2017</c:v>
                </c:pt>
                <c:pt idx="3">
                  <c:v>2018</c:v>
                </c:pt>
                <c:pt idx="4">
                  <c:v>2019</c:v>
                </c:pt>
                <c:pt idx="5">
                  <c:v>2020</c:v>
                </c:pt>
                <c:pt idx="6">
                  <c:v>2021</c:v>
                </c:pt>
                <c:pt idx="7">
                  <c:v>2022</c:v>
                </c:pt>
                <c:pt idx="8">
                  <c:v>2023</c:v>
                </c:pt>
              </c:strCache>
            </c:strRef>
          </c:cat>
          <c:val>
            <c:numRef>
              <c:f>('Quaterly, Yearly'!$CM$79:$CS$79,'Quaterly, Yearly'!$CT$79,'Quaterly, Yearly'!$CU$79)</c:f>
              <c:numCache>
                <c:formatCode>###,000</c:formatCode>
                <c:ptCount val="9"/>
                <c:pt idx="0">
                  <c:v>-0.47061316203530046</c:v>
                </c:pt>
                <c:pt idx="1">
                  <c:v>1.7045650732845505</c:v>
                </c:pt>
                <c:pt idx="2">
                  <c:v>3.634771068549187</c:v>
                </c:pt>
                <c:pt idx="3">
                  <c:v>2.7475533250713307</c:v>
                </c:pt>
                <c:pt idx="4">
                  <c:v>1.7916206652556272</c:v>
                </c:pt>
                <c:pt idx="5">
                  <c:v>-6.0431380560869226</c:v>
                </c:pt>
                <c:pt idx="6">
                  <c:v>-2.404213120233746</c:v>
                </c:pt>
                <c:pt idx="7">
                  <c:v>-1.6638900250618343</c:v>
                </c:pt>
                <c:pt idx="8">
                  <c:v>-1.1970753378169927</c:v>
                </c:pt>
              </c:numCache>
            </c:numRef>
          </c:val>
          <c:extLst>
            <c:ext xmlns:c16="http://schemas.microsoft.com/office/drawing/2014/chart" uri="{C3380CC4-5D6E-409C-BE32-E72D297353CC}">
              <c16:uniqueId val="{0000000D-2241-4734-8764-50C6C4F1046E}"/>
            </c:ext>
          </c:extLst>
        </c:ser>
        <c:dLbls>
          <c:showLegendKey val="0"/>
          <c:showVal val="0"/>
          <c:showCatName val="0"/>
          <c:showSerName val="0"/>
          <c:showPercent val="0"/>
          <c:showBubbleSize val="0"/>
        </c:dLbls>
        <c:gapWidth val="150"/>
        <c:axId val="522006368"/>
        <c:axId val="522006928"/>
      </c:barChart>
      <c:catAx>
        <c:axId val="522006368"/>
        <c:scaling>
          <c:orientation val="minMax"/>
        </c:scaling>
        <c:delete val="0"/>
        <c:axPos val="b"/>
        <c:numFmt formatCode="General" sourceLinked="1"/>
        <c:majorTickMark val="out"/>
        <c:minorTickMark val="none"/>
        <c:tickLblPos val="high"/>
        <c:spPr>
          <a:noFill/>
          <a:ln w="12700" cap="flat" cmpd="sng" algn="ctr">
            <a:solidFill>
              <a:schemeClr val="tx1">
                <a:lumMod val="50000"/>
                <a:lumOff val="50000"/>
              </a:schemeClr>
            </a:solidFill>
            <a:prstDash val="sysDash"/>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928"/>
        <c:crosses val="autoZero"/>
        <c:auto val="1"/>
        <c:lblAlgn val="ctr"/>
        <c:lblOffset val="100"/>
        <c:noMultiLvlLbl val="0"/>
      </c:catAx>
      <c:valAx>
        <c:axId val="522006928"/>
        <c:scaling>
          <c:orientation val="minMax"/>
          <c:max val="5"/>
          <c:min val="-10"/>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latin typeface="+mn-lt"/>
                  </a:rPr>
                  <a:t>% </a:t>
                </a:r>
                <a:r>
                  <a:rPr lang="sr-Cyrl-RS" sz="800">
                    <a:latin typeface="+mn-lt"/>
                  </a:rPr>
                  <a:t>БДП</a:t>
                </a:r>
                <a:endParaRPr lang="en-US" sz="800">
                  <a:latin typeface="+mn-lt"/>
                </a:endParaRPr>
              </a:p>
            </c:rich>
          </c:tx>
          <c:layout>
            <c:manualLayout>
              <c:xMode val="edge"/>
              <c:yMode val="edge"/>
              <c:x val="1.4466593066470506E-2"/>
              <c:y val="0.4837105111889353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368"/>
        <c:crosses val="autoZero"/>
        <c:crossBetween val="between"/>
      </c:valAx>
      <c:spPr>
        <a:noFill/>
        <a:ln>
          <a:noFill/>
        </a:ln>
        <a:effectLst/>
      </c:spPr>
    </c:plotArea>
    <c:legend>
      <c:legendPos val="b"/>
      <c:layout>
        <c:manualLayout>
          <c:xMode val="edge"/>
          <c:yMode val="edge"/>
          <c:x val="0"/>
          <c:y val="0.87350486771608704"/>
          <c:w val="0.83483955310183933"/>
          <c:h val="0.120916713949634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a:latin typeface="Georgia" panose="02040502050405020303" pitchFamily="18" charset="0"/>
        </a:defRPr>
      </a:pPr>
      <a:endParaRPr lang="sr-Latn-RS"/>
    </a:p>
  </c:txPr>
  <c:externalData r:id="rId3">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rtl="0">
              <a:defRPr sz="900" b="0" i="0" u="none" strike="noStrike" kern="1200" spc="0" baseline="0">
                <a:solidFill>
                  <a:schemeClr val="tx1">
                    <a:lumMod val="65000"/>
                    <a:lumOff val="35000"/>
                  </a:schemeClr>
                </a:solidFill>
                <a:latin typeface="+mn-lt"/>
                <a:ea typeface="+mn-ea"/>
                <a:cs typeface="+mn-cs"/>
              </a:defRPr>
            </a:pPr>
            <a:r>
              <a:rPr lang="en-US" sz="900" b="1">
                <a:solidFill>
                  <a:srgbClr val="002060"/>
                </a:solidFill>
              </a:rPr>
              <a:t>S0 </a:t>
            </a:r>
            <a:r>
              <a:rPr lang="sr-Cyrl-RS" sz="900" b="1">
                <a:solidFill>
                  <a:srgbClr val="002060"/>
                </a:solidFill>
              </a:rPr>
              <a:t>индикатор са фискалним подиндексом и подиндексом финансијске конкурентности за Србију за период 2015-20</a:t>
            </a:r>
            <a:r>
              <a:rPr lang="sr-Latn-RS" sz="900" b="1">
                <a:solidFill>
                  <a:srgbClr val="002060"/>
                </a:solidFill>
              </a:rPr>
              <a:t>22</a:t>
            </a:r>
            <a:r>
              <a:rPr lang="sr-Cyrl-RS" sz="900" b="1">
                <a:solidFill>
                  <a:srgbClr val="002060"/>
                </a:solidFill>
              </a:rPr>
              <a:t>. године </a:t>
            </a:r>
            <a:endParaRPr lang="en-US" sz="900" b="1">
              <a:solidFill>
                <a:srgbClr val="002060"/>
              </a:solidFill>
            </a:endParaRPr>
          </a:p>
        </c:rich>
      </c:tx>
      <c:layout>
        <c:manualLayout>
          <c:xMode val="edge"/>
          <c:yMode val="edge"/>
          <c:x val="0.10814122740566154"/>
          <c:y val="1.282051282051282E-2"/>
        </c:manualLayout>
      </c:layout>
      <c:overlay val="0"/>
      <c:spPr>
        <a:noFill/>
        <a:ln>
          <a:noFill/>
        </a:ln>
        <a:effectLst/>
      </c:spPr>
      <c:txPr>
        <a:bodyPr rot="0" spcFirstLastPara="1" vertOverflow="ellipsis" vert="horz" wrap="square" anchor="ctr" anchorCtr="1"/>
        <a:lstStyle/>
        <a:p>
          <a:pPr algn="ctr" rtl="0">
            <a:defRPr sz="9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manualLayout>
          <c:layoutTarget val="inner"/>
          <c:xMode val="edge"/>
          <c:yMode val="edge"/>
          <c:x val="6.3415222230767468E-2"/>
          <c:y val="8.6538461538461536E-2"/>
          <c:w val="0.89818784226795878"/>
          <c:h val="0.56116520290732885"/>
        </c:manualLayout>
      </c:layout>
      <c:barChart>
        <c:barDir val="col"/>
        <c:grouping val="clustered"/>
        <c:varyColors val="0"/>
        <c:ser>
          <c:idx val="0"/>
          <c:order val="0"/>
          <c:tx>
            <c:strRef>
              <c:f>'S0 EU Serbia'!$AG$39</c:f>
              <c:strCache>
                <c:ptCount val="1"/>
                <c:pt idx="0">
                  <c:v>Фискални подиндекс</c:v>
                </c:pt>
              </c:strCache>
            </c:strRef>
          </c:tx>
          <c:spPr>
            <a:solidFill>
              <a:srgbClr val="7030A0"/>
            </a:solidFill>
            <a:ln w="9525">
              <a:noFill/>
            </a:ln>
            <a:effectLst/>
          </c:spPr>
          <c:invertIfNegative val="0"/>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Serbia'!$AG$42:$AG$50</c:f>
              <c:numCache>
                <c:formatCode>#.000</c:formatCode>
                <c:ptCount val="8"/>
                <c:pt idx="0">
                  <c:v>0.40718562874251496</c:v>
                </c:pt>
                <c:pt idx="1">
                  <c:v>0.19161676646706588</c:v>
                </c:pt>
                <c:pt idx="2">
                  <c:v>0</c:v>
                </c:pt>
                <c:pt idx="3">
                  <c:v>0</c:v>
                </c:pt>
                <c:pt idx="4">
                  <c:v>0</c:v>
                </c:pt>
                <c:pt idx="5">
                  <c:v>0.47904191616766456</c:v>
                </c:pt>
                <c:pt idx="6">
                  <c:v>0.21560000000000001</c:v>
                </c:pt>
                <c:pt idx="7">
                  <c:v>0.21556886227544908</c:v>
                </c:pt>
              </c:numCache>
              <c:extLst/>
            </c:numRef>
          </c:val>
          <c:extLst>
            <c:ext xmlns:c16="http://schemas.microsoft.com/office/drawing/2014/chart" uri="{C3380CC4-5D6E-409C-BE32-E72D297353CC}">
              <c16:uniqueId val="{00000000-483D-41AD-8D72-CAD464FF7E39}"/>
            </c:ext>
          </c:extLst>
        </c:ser>
        <c:ser>
          <c:idx val="1"/>
          <c:order val="1"/>
          <c:tx>
            <c:strRef>
              <c:f>'S0 EU Serbia'!$AH$39</c:f>
              <c:strCache>
                <c:ptCount val="1"/>
                <c:pt idx="0">
                  <c:v>Подиндекс макро-финансијске конкурентности</c:v>
                </c:pt>
              </c:strCache>
            </c:strRef>
          </c:tx>
          <c:spPr>
            <a:solidFill>
              <a:srgbClr val="5297AC"/>
            </a:solidFill>
            <a:ln w="9525">
              <a:noFill/>
            </a:ln>
            <a:effectLst/>
          </c:spPr>
          <c:invertIfNegative val="0"/>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Serbia'!$AH$42:$AH$50</c:f>
              <c:numCache>
                <c:formatCode>#.000</c:formatCode>
                <c:ptCount val="8"/>
                <c:pt idx="0">
                  <c:v>0.27243589743589747</c:v>
                </c:pt>
                <c:pt idx="1">
                  <c:v>0.27243589743589747</c:v>
                </c:pt>
                <c:pt idx="2">
                  <c:v>0.27243589743589747</c:v>
                </c:pt>
                <c:pt idx="3">
                  <c:v>0.27243589743589747</c:v>
                </c:pt>
                <c:pt idx="4">
                  <c:v>0.27243589743589747</c:v>
                </c:pt>
                <c:pt idx="5">
                  <c:v>0.42307692307692302</c:v>
                </c:pt>
                <c:pt idx="6">
                  <c:v>0.27239999999999998</c:v>
                </c:pt>
                <c:pt idx="7">
                  <c:v>0.27243589743589747</c:v>
                </c:pt>
              </c:numCache>
              <c:extLst/>
            </c:numRef>
          </c:val>
          <c:extLst>
            <c:ext xmlns:c16="http://schemas.microsoft.com/office/drawing/2014/chart" uri="{C3380CC4-5D6E-409C-BE32-E72D297353CC}">
              <c16:uniqueId val="{00000001-483D-41AD-8D72-CAD464FF7E39}"/>
            </c:ext>
          </c:extLst>
        </c:ser>
        <c:dLbls>
          <c:showLegendKey val="0"/>
          <c:showVal val="0"/>
          <c:showCatName val="0"/>
          <c:showSerName val="0"/>
          <c:showPercent val="0"/>
          <c:showBubbleSize val="0"/>
        </c:dLbls>
        <c:gapWidth val="150"/>
        <c:axId val="-486944112"/>
        <c:axId val="-486944656"/>
      </c:barChart>
      <c:lineChart>
        <c:grouping val="standard"/>
        <c:varyColors val="0"/>
        <c:ser>
          <c:idx val="2"/>
          <c:order val="2"/>
          <c:tx>
            <c:strRef>
              <c:f>'S0 EU Serbia'!$AI$39</c:f>
              <c:strCache>
                <c:ptCount val="1"/>
                <c:pt idx="0">
                  <c:v>S0 индикатор</c:v>
                </c:pt>
              </c:strCache>
            </c:strRef>
          </c:tx>
          <c:spPr>
            <a:ln w="22225" cap="rnd">
              <a:noFill/>
              <a:prstDash val="solid"/>
              <a:round/>
            </a:ln>
            <a:effectLst/>
          </c:spPr>
          <c:marker>
            <c:symbol val="triangle"/>
            <c:size val="16"/>
            <c:spPr>
              <a:solidFill>
                <a:schemeClr val="tx1"/>
              </a:solidFill>
              <a:ln w="9525">
                <a:noFill/>
              </a:ln>
              <a:effectLst/>
            </c:spPr>
          </c:marker>
          <c:dPt>
            <c:idx val="0"/>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3-483D-41AD-8D72-CAD464FF7E39}"/>
              </c:ext>
            </c:extLst>
          </c:dPt>
          <c:dPt>
            <c:idx val="1"/>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5-483D-41AD-8D72-CAD464FF7E39}"/>
              </c:ext>
            </c:extLst>
          </c:dPt>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Serbia'!$AI$42:$AI$50</c:f>
              <c:numCache>
                <c:formatCode>#.000</c:formatCode>
                <c:ptCount val="8"/>
                <c:pt idx="0">
                  <c:v>0.31941544885177453</c:v>
                </c:pt>
                <c:pt idx="1">
                  <c:v>0.24425887265135704</c:v>
                </c:pt>
                <c:pt idx="2">
                  <c:v>0.17745302713987476</c:v>
                </c:pt>
                <c:pt idx="3">
                  <c:v>0.17745302713987476</c:v>
                </c:pt>
                <c:pt idx="4">
                  <c:v>0.17745302713987476</c:v>
                </c:pt>
                <c:pt idx="5">
                  <c:v>0.4425887265135699</c:v>
                </c:pt>
                <c:pt idx="6">
                  <c:v>0.25259999999999999</c:v>
                </c:pt>
                <c:pt idx="7">
                  <c:v>0.25260960334029231</c:v>
                </c:pt>
              </c:numCache>
              <c:extLst/>
            </c:numRef>
          </c:val>
          <c:smooth val="0"/>
          <c:extLst>
            <c:ext xmlns:c16="http://schemas.microsoft.com/office/drawing/2014/chart" uri="{C3380CC4-5D6E-409C-BE32-E72D297353CC}">
              <c16:uniqueId val="{00000006-483D-41AD-8D72-CAD464FF7E39}"/>
            </c:ext>
          </c:extLst>
        </c:ser>
        <c:ser>
          <c:idx val="3"/>
          <c:order val="3"/>
          <c:tx>
            <c:strRef>
              <c:f>'S0 EU Serbia'!$AJ$39</c:f>
              <c:strCache>
                <c:ptCount val="1"/>
                <c:pt idx="0">
                  <c:v>Праг фискалног подиндекса</c:v>
                </c:pt>
              </c:strCache>
            </c:strRef>
          </c:tx>
          <c:spPr>
            <a:ln w="22225" cap="rnd">
              <a:solidFill>
                <a:srgbClr val="7030A0"/>
              </a:solidFill>
              <a:prstDash val="dash"/>
              <a:round/>
            </a:ln>
            <a:effectLst/>
          </c:spPr>
          <c:marker>
            <c:symbol val="none"/>
          </c:marker>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Serbia'!$AJ$42:$AJ$50</c:f>
              <c:numCache>
                <c:formatCode>General</c:formatCode>
                <c:ptCount val="8"/>
                <c:pt idx="0">
                  <c:v>0.36</c:v>
                </c:pt>
                <c:pt idx="1">
                  <c:v>0.36</c:v>
                </c:pt>
                <c:pt idx="2">
                  <c:v>0.36</c:v>
                </c:pt>
                <c:pt idx="3">
                  <c:v>0.36</c:v>
                </c:pt>
                <c:pt idx="4">
                  <c:v>0.36</c:v>
                </c:pt>
                <c:pt idx="5">
                  <c:v>0.36</c:v>
                </c:pt>
                <c:pt idx="6">
                  <c:v>0.36</c:v>
                </c:pt>
                <c:pt idx="7">
                  <c:v>0.36</c:v>
                </c:pt>
              </c:numCache>
              <c:extLst/>
            </c:numRef>
          </c:val>
          <c:smooth val="0"/>
          <c:extLst>
            <c:ext xmlns:c16="http://schemas.microsoft.com/office/drawing/2014/chart" uri="{C3380CC4-5D6E-409C-BE32-E72D297353CC}">
              <c16:uniqueId val="{00000007-483D-41AD-8D72-CAD464FF7E39}"/>
            </c:ext>
          </c:extLst>
        </c:ser>
        <c:ser>
          <c:idx val="4"/>
          <c:order val="4"/>
          <c:tx>
            <c:strRef>
              <c:f>'S0 EU Serbia'!$AK$39</c:f>
              <c:strCache>
                <c:ptCount val="1"/>
                <c:pt idx="0">
                  <c:v>Праг финансијског подиндекса</c:v>
                </c:pt>
              </c:strCache>
            </c:strRef>
          </c:tx>
          <c:spPr>
            <a:ln w="22225" cap="rnd">
              <a:solidFill>
                <a:srgbClr val="5297AC"/>
              </a:solidFill>
              <a:prstDash val="dash"/>
              <a:round/>
            </a:ln>
            <a:effectLst/>
          </c:spPr>
          <c:marker>
            <c:symbol val="none"/>
          </c:marker>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Serbia'!$AK$42:$AK$50</c:f>
              <c:numCache>
                <c:formatCode>General</c:formatCode>
                <c:ptCount val="8"/>
                <c:pt idx="0">
                  <c:v>0.49</c:v>
                </c:pt>
                <c:pt idx="1">
                  <c:v>0.49</c:v>
                </c:pt>
                <c:pt idx="2">
                  <c:v>0.49</c:v>
                </c:pt>
                <c:pt idx="3">
                  <c:v>0.49</c:v>
                </c:pt>
                <c:pt idx="4">
                  <c:v>0.49</c:v>
                </c:pt>
                <c:pt idx="5">
                  <c:v>0.49</c:v>
                </c:pt>
                <c:pt idx="6">
                  <c:v>0.49</c:v>
                </c:pt>
                <c:pt idx="7">
                  <c:v>0.49</c:v>
                </c:pt>
              </c:numCache>
              <c:extLst/>
            </c:numRef>
          </c:val>
          <c:smooth val="0"/>
          <c:extLst>
            <c:ext xmlns:c16="http://schemas.microsoft.com/office/drawing/2014/chart" uri="{C3380CC4-5D6E-409C-BE32-E72D297353CC}">
              <c16:uniqueId val="{00000008-483D-41AD-8D72-CAD464FF7E39}"/>
            </c:ext>
          </c:extLst>
        </c:ser>
        <c:ser>
          <c:idx val="5"/>
          <c:order val="5"/>
          <c:tx>
            <c:strRef>
              <c:f>'S0 EU Serbia'!$AL$39</c:f>
              <c:strCache>
                <c:ptCount val="1"/>
                <c:pt idx="0">
                  <c:v>S0 праг</c:v>
                </c:pt>
              </c:strCache>
            </c:strRef>
          </c:tx>
          <c:spPr>
            <a:ln w="22225" cap="rnd">
              <a:solidFill>
                <a:schemeClr val="tx1"/>
              </a:solidFill>
              <a:prstDash val="dash"/>
              <a:round/>
            </a:ln>
            <a:effectLst/>
          </c:spPr>
          <c:marker>
            <c:symbol val="none"/>
          </c:marker>
          <c:cat>
            <c:numRef>
              <c:f>'S0 EU Serbia'!$AF$42:$AF$50</c:f>
              <c:numCache>
                <c:formatCode>General</c:formatCode>
                <c:ptCount val="8"/>
                <c:pt idx="0">
                  <c:v>2015</c:v>
                </c:pt>
                <c:pt idx="1">
                  <c:v>2016</c:v>
                </c:pt>
                <c:pt idx="2">
                  <c:v>2017</c:v>
                </c:pt>
                <c:pt idx="3">
                  <c:v>2018</c:v>
                </c:pt>
                <c:pt idx="4">
                  <c:v>2019</c:v>
                </c:pt>
                <c:pt idx="5">
                  <c:v>2020</c:v>
                </c:pt>
                <c:pt idx="6">
                  <c:v>2021</c:v>
                </c:pt>
                <c:pt idx="7">
                  <c:v>2022</c:v>
                </c:pt>
              </c:numCache>
              <c:extLst/>
            </c:numRef>
          </c:cat>
          <c:val>
            <c:numRef>
              <c:f>'S0 EU Serbia'!$AL$42:$AL$50</c:f>
              <c:numCache>
                <c:formatCode>General</c:formatCode>
                <c:ptCount val="8"/>
                <c:pt idx="0">
                  <c:v>0.46</c:v>
                </c:pt>
                <c:pt idx="1">
                  <c:v>0.46</c:v>
                </c:pt>
                <c:pt idx="2">
                  <c:v>0.46</c:v>
                </c:pt>
                <c:pt idx="3">
                  <c:v>0.46</c:v>
                </c:pt>
                <c:pt idx="4">
                  <c:v>0.46</c:v>
                </c:pt>
                <c:pt idx="5">
                  <c:v>0.46</c:v>
                </c:pt>
                <c:pt idx="6">
                  <c:v>0.46</c:v>
                </c:pt>
                <c:pt idx="7">
                  <c:v>0.46</c:v>
                </c:pt>
              </c:numCache>
              <c:extLst/>
            </c:numRef>
          </c:val>
          <c:smooth val="0"/>
          <c:extLst>
            <c:ext xmlns:c16="http://schemas.microsoft.com/office/drawing/2014/chart" uri="{C3380CC4-5D6E-409C-BE32-E72D297353CC}">
              <c16:uniqueId val="{00000009-483D-41AD-8D72-CAD464FF7E39}"/>
            </c:ext>
          </c:extLst>
        </c:ser>
        <c:dLbls>
          <c:showLegendKey val="0"/>
          <c:showVal val="0"/>
          <c:showCatName val="0"/>
          <c:showSerName val="0"/>
          <c:showPercent val="0"/>
          <c:showBubbleSize val="0"/>
        </c:dLbls>
        <c:marker val="1"/>
        <c:smooth val="0"/>
        <c:axId val="-486944112"/>
        <c:axId val="-486944656"/>
      </c:lineChart>
      <c:catAx>
        <c:axId val="-486944112"/>
        <c:scaling>
          <c:orientation val="minMax"/>
        </c:scaling>
        <c:delete val="0"/>
        <c:axPos val="b"/>
        <c:numFmt formatCode="General" sourceLinked="1"/>
        <c:majorTickMark val="none"/>
        <c:minorTickMark val="none"/>
        <c:tickLblPos val="nextTo"/>
        <c:spPr>
          <a:noFill/>
          <a:ln w="6350"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44656"/>
        <c:crosses val="autoZero"/>
        <c:auto val="1"/>
        <c:lblAlgn val="ctr"/>
        <c:lblOffset val="100"/>
        <c:noMultiLvlLbl val="0"/>
      </c:catAx>
      <c:valAx>
        <c:axId val="-486944656"/>
        <c:scaling>
          <c:orientation val="minMax"/>
          <c:max val="0.70000000000000007"/>
        </c:scaling>
        <c:delete val="0"/>
        <c:axPos val="l"/>
        <c:numFmt formatCode="##,#00" sourceLinked="0"/>
        <c:majorTickMark val="out"/>
        <c:minorTickMark val="none"/>
        <c:tickLblPos val="nextTo"/>
        <c:spPr>
          <a:noFill/>
          <a:ln w="6350">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44112"/>
        <c:crossesAt val="1"/>
        <c:crossBetween val="between"/>
      </c:valAx>
      <c:spPr>
        <a:noFill/>
        <a:ln>
          <a:noFill/>
        </a:ln>
        <a:effectLst/>
      </c:spPr>
    </c:plotArea>
    <c:legend>
      <c:legendPos val="b"/>
      <c:legendEntry>
        <c:idx val="3"/>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Entry>
      <c:layout>
        <c:manualLayout>
          <c:xMode val="edge"/>
          <c:yMode val="edge"/>
          <c:x val="2.930789712720251E-4"/>
          <c:y val="0.70762012921461737"/>
          <c:w val="0.99970692102872794"/>
          <c:h val="0.26440616797900257"/>
        </c:manualLayout>
      </c:layout>
      <c:overlay val="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4">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00" b="1" i="0" u="none" strike="noStrike" kern="1200" spc="0" baseline="0">
                <a:solidFill>
                  <a:srgbClr val="002060"/>
                </a:solidFill>
                <a:latin typeface="+mn-lt"/>
                <a:ea typeface="+mn-ea"/>
                <a:cs typeface="+mn-cs"/>
              </a:defRPr>
            </a:pPr>
            <a:r>
              <a:rPr lang="en-US" sz="900" b="1">
                <a:solidFill>
                  <a:srgbClr val="002060"/>
                </a:solidFill>
              </a:rPr>
              <a:t>S0 </a:t>
            </a:r>
            <a:r>
              <a:rPr lang="sr-Cyrl-RS" sz="900" b="1">
                <a:solidFill>
                  <a:srgbClr val="002060"/>
                </a:solidFill>
              </a:rPr>
              <a:t>индикатор -</a:t>
            </a:r>
            <a:r>
              <a:rPr lang="sr-Cyrl-RS" sz="900" b="1" baseline="0">
                <a:solidFill>
                  <a:srgbClr val="002060"/>
                </a:solidFill>
              </a:rPr>
              <a:t> </a:t>
            </a:r>
            <a:r>
              <a:rPr lang="sr-Cyrl-RS" sz="900" b="1">
                <a:solidFill>
                  <a:srgbClr val="002060"/>
                </a:solidFill>
              </a:rPr>
              <a:t>земље ЕУ и Србија</a:t>
            </a:r>
          </a:p>
        </c:rich>
      </c:tx>
      <c:overlay val="0"/>
      <c:spPr>
        <a:noFill/>
        <a:ln>
          <a:noFill/>
        </a:ln>
        <a:effectLst/>
      </c:spPr>
      <c:txPr>
        <a:bodyPr rot="0" spcFirstLastPara="1" vertOverflow="ellipsis" vert="horz" wrap="square" anchor="ctr" anchorCtr="1"/>
        <a:lstStyle/>
        <a:p>
          <a:pPr>
            <a:defRPr sz="900" b="1" i="0" u="none" strike="noStrike" kern="1200" spc="0" baseline="0">
              <a:solidFill>
                <a:srgbClr val="002060"/>
              </a:solidFill>
              <a:latin typeface="+mn-lt"/>
              <a:ea typeface="+mn-ea"/>
              <a:cs typeface="+mn-cs"/>
            </a:defRPr>
          </a:pPr>
          <a:endParaRPr lang="sr-Latn-RS"/>
        </a:p>
      </c:txPr>
    </c:title>
    <c:autoTitleDeleted val="0"/>
    <c:plotArea>
      <c:layout>
        <c:manualLayout>
          <c:layoutTarget val="inner"/>
          <c:xMode val="edge"/>
          <c:yMode val="edge"/>
          <c:x val="7.0140553174856415E-2"/>
          <c:y val="0.13775301764159703"/>
          <c:w val="0.89795062064282105"/>
          <c:h val="0.4716665570007092"/>
        </c:manualLayout>
      </c:layout>
      <c:barChart>
        <c:barDir val="col"/>
        <c:grouping val="clustered"/>
        <c:varyColors val="0"/>
        <c:ser>
          <c:idx val="3"/>
          <c:order val="1"/>
          <c:tx>
            <c:strRef>
              <c:f>'S0 EU Serbia'!$F$2</c:f>
              <c:strCache>
                <c:ptCount val="1"/>
                <c:pt idx="0">
                  <c:v>S0
2014</c:v>
                </c:pt>
              </c:strCache>
            </c:strRef>
          </c:tx>
          <c:spPr>
            <a:solidFill>
              <a:schemeClr val="tx1"/>
            </a:solidFill>
            <a:ln w="6350">
              <a:solidFill>
                <a:schemeClr val="tx1"/>
              </a:solidFill>
            </a:ln>
            <a:effectLst/>
          </c:spPr>
          <c:invertIfNegative val="0"/>
          <c:cat>
            <c:strRef>
              <c:f>'S0 EU Serbia'!$A$3:$A$31</c:f>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f>'S0 EU Serbia'!$F$3:$F$31</c:f>
            </c:numRef>
          </c:val>
          <c:extLst>
            <c:ext xmlns:c16="http://schemas.microsoft.com/office/drawing/2014/chart" uri="{C3380CC4-5D6E-409C-BE32-E72D297353CC}">
              <c16:uniqueId val="{00000000-A2D0-492E-9952-40FE8A46C7A0}"/>
            </c:ext>
          </c:extLst>
        </c:ser>
        <c:dLbls>
          <c:showLegendKey val="0"/>
          <c:showVal val="0"/>
          <c:showCatName val="0"/>
          <c:showSerName val="0"/>
          <c:showPercent val="0"/>
          <c:showBubbleSize val="0"/>
        </c:dLbls>
        <c:gapWidth val="150"/>
        <c:axId val="-486950096"/>
        <c:axId val="-486949552"/>
      </c:barChart>
      <c:barChart>
        <c:barDir val="col"/>
        <c:grouping val="clustered"/>
        <c:varyColors val="0"/>
        <c:ser>
          <c:idx val="5"/>
          <c:order val="7"/>
          <c:tx>
            <c:strRef>
              <c:f>'S0 EU Serbia'!$AA$2</c:f>
              <c:strCache>
                <c:ptCount val="1"/>
                <c:pt idx="0">
                  <c:v>S0 2021</c:v>
                </c:pt>
              </c:strCache>
            </c:strRef>
          </c:tx>
          <c:spPr>
            <a:solidFill>
              <a:srgbClr val="7030A0"/>
            </a:solidFill>
            <a:ln>
              <a:noFill/>
            </a:ln>
            <a:effectLst/>
          </c:spPr>
          <c:invertIfNegative val="0"/>
          <c:val>
            <c:numRef>
              <c:f>'S0 EU Serbia'!$AA$3:$AA$29</c:f>
              <c:numCache>
                <c:formatCode>#.000</c:formatCode>
                <c:ptCount val="27"/>
                <c:pt idx="0">
                  <c:v>0.18</c:v>
                </c:pt>
                <c:pt idx="1">
                  <c:v>0.31</c:v>
                </c:pt>
                <c:pt idx="2">
                  <c:v>0.32</c:v>
                </c:pt>
                <c:pt idx="3">
                  <c:v>0.24</c:v>
                </c:pt>
                <c:pt idx="4">
                  <c:v>0.38</c:v>
                </c:pt>
                <c:pt idx="5">
                  <c:v>0.47</c:v>
                </c:pt>
                <c:pt idx="6">
                  <c:v>0.18</c:v>
                </c:pt>
                <c:pt idx="7">
                  <c:v>0.22</c:v>
                </c:pt>
                <c:pt idx="8">
                  <c:v>0.26</c:v>
                </c:pt>
                <c:pt idx="9">
                  <c:v>0.45</c:v>
                </c:pt>
                <c:pt idx="10">
                  <c:v>0.31</c:v>
                </c:pt>
                <c:pt idx="11">
                  <c:v>0.34</c:v>
                </c:pt>
                <c:pt idx="12">
                  <c:v>0.36</c:v>
                </c:pt>
                <c:pt idx="13">
                  <c:v>0.28000000000000003</c:v>
                </c:pt>
                <c:pt idx="14">
                  <c:v>0.26</c:v>
                </c:pt>
                <c:pt idx="15">
                  <c:v>0.17</c:v>
                </c:pt>
                <c:pt idx="16">
                  <c:v>0.3</c:v>
                </c:pt>
                <c:pt idx="17">
                  <c:v>0.31</c:v>
                </c:pt>
                <c:pt idx="18">
                  <c:v>0.32</c:v>
                </c:pt>
                <c:pt idx="19">
                  <c:v>0.22</c:v>
                </c:pt>
                <c:pt idx="20">
                  <c:v>0.4</c:v>
                </c:pt>
                <c:pt idx="21">
                  <c:v>0.31</c:v>
                </c:pt>
                <c:pt idx="22">
                  <c:v>0.25259999999999999</c:v>
                </c:pt>
                <c:pt idx="23">
                  <c:v>0.24</c:v>
                </c:pt>
                <c:pt idx="24">
                  <c:v>0.18</c:v>
                </c:pt>
                <c:pt idx="25">
                  <c:v>0.34</c:v>
                </c:pt>
                <c:pt idx="26">
                  <c:v>0.27</c:v>
                </c:pt>
              </c:numCache>
            </c:numRef>
          </c:val>
          <c:extLst>
            <c:ext xmlns:c16="http://schemas.microsoft.com/office/drawing/2014/chart" uri="{C3380CC4-5D6E-409C-BE32-E72D297353CC}">
              <c16:uniqueId val="{00000001-A2D0-492E-9952-40FE8A46C7A0}"/>
            </c:ext>
          </c:extLst>
        </c:ser>
        <c:ser>
          <c:idx val="7"/>
          <c:order val="8"/>
          <c:tx>
            <c:strRef>
              <c:f>'S0 EU Serbia'!$AD$2</c:f>
              <c:strCache>
                <c:ptCount val="1"/>
                <c:pt idx="0">
                  <c:v>S0 2022</c:v>
                </c:pt>
              </c:strCache>
            </c:strRef>
          </c:tx>
          <c:spPr>
            <a:solidFill>
              <a:srgbClr val="00B0F0"/>
            </a:solidFill>
            <a:ln>
              <a:noFill/>
            </a:ln>
            <a:effectLst/>
          </c:spPr>
          <c:invertIfNegative val="0"/>
          <c:val>
            <c:numRef>
              <c:f>'S0 EU Serbia'!$AD$3:$AD$29</c:f>
              <c:numCache>
                <c:formatCode>#.000</c:formatCode>
                <c:ptCount val="27"/>
                <c:pt idx="0">
                  <c:v>0.2</c:v>
                </c:pt>
                <c:pt idx="1">
                  <c:v>0.3</c:v>
                </c:pt>
                <c:pt idx="2">
                  <c:v>0.3</c:v>
                </c:pt>
                <c:pt idx="3">
                  <c:v>0.2</c:v>
                </c:pt>
                <c:pt idx="4">
                  <c:v>0.3</c:v>
                </c:pt>
                <c:pt idx="5">
                  <c:v>0.3</c:v>
                </c:pt>
                <c:pt idx="6">
                  <c:v>0.2</c:v>
                </c:pt>
                <c:pt idx="7">
                  <c:v>0.1</c:v>
                </c:pt>
                <c:pt idx="8">
                  <c:v>0.2</c:v>
                </c:pt>
                <c:pt idx="9">
                  <c:v>0.3</c:v>
                </c:pt>
                <c:pt idx="10">
                  <c:v>0.2</c:v>
                </c:pt>
                <c:pt idx="11">
                  <c:v>0.4</c:v>
                </c:pt>
                <c:pt idx="12">
                  <c:v>0.2</c:v>
                </c:pt>
                <c:pt idx="13">
                  <c:v>0.3</c:v>
                </c:pt>
                <c:pt idx="14">
                  <c:v>0.2</c:v>
                </c:pt>
                <c:pt idx="15">
                  <c:v>0.3</c:v>
                </c:pt>
                <c:pt idx="16">
                  <c:v>0.2</c:v>
                </c:pt>
                <c:pt idx="17">
                  <c:v>0.2</c:v>
                </c:pt>
                <c:pt idx="18">
                  <c:v>0.2</c:v>
                </c:pt>
                <c:pt idx="19">
                  <c:v>0.3</c:v>
                </c:pt>
                <c:pt idx="20">
                  <c:v>0.4</c:v>
                </c:pt>
                <c:pt idx="21">
                  <c:v>0.3</c:v>
                </c:pt>
                <c:pt idx="22">
                  <c:v>0.25260960334029231</c:v>
                </c:pt>
                <c:pt idx="23">
                  <c:v>0.3</c:v>
                </c:pt>
                <c:pt idx="24">
                  <c:v>0.2</c:v>
                </c:pt>
                <c:pt idx="25">
                  <c:v>0.3</c:v>
                </c:pt>
                <c:pt idx="26">
                  <c:v>0.2</c:v>
                </c:pt>
              </c:numCache>
            </c:numRef>
          </c:val>
          <c:extLst>
            <c:ext xmlns:c16="http://schemas.microsoft.com/office/drawing/2014/chart" uri="{C3380CC4-5D6E-409C-BE32-E72D297353CC}">
              <c16:uniqueId val="{00000002-A2D0-492E-9952-40FE8A46C7A0}"/>
            </c:ext>
          </c:extLst>
        </c:ser>
        <c:dLbls>
          <c:showLegendKey val="0"/>
          <c:showVal val="0"/>
          <c:showCatName val="0"/>
          <c:showSerName val="0"/>
          <c:showPercent val="0"/>
          <c:showBubbleSize val="0"/>
        </c:dLbls>
        <c:gapWidth val="150"/>
        <c:axId val="-486950096"/>
        <c:axId val="-486949552"/>
        <c:extLst>
          <c:ext xmlns:c15="http://schemas.microsoft.com/office/drawing/2012/chart" uri="{02D57815-91ED-43cb-92C2-25804820EDAC}">
            <c15:filteredBarSeries>
              <c15:ser>
                <c:idx val="6"/>
                <c:order val="2"/>
                <c:tx>
                  <c:strRef>
                    <c:extLst>
                      <c:ext uri="{02D57815-91ED-43cb-92C2-25804820EDAC}">
                        <c15:formulaRef>
                          <c15:sqref>'S0 EU Serbia'!$I$2</c15:sqref>
                        </c15:formulaRef>
                      </c:ext>
                    </c:extLst>
                    <c:strCache>
                      <c:ptCount val="1"/>
                      <c:pt idx="0">
                        <c:v>S0
2015</c:v>
                      </c:pt>
                    </c:strCache>
                  </c:strRef>
                </c:tx>
                <c:spPr>
                  <a:solidFill>
                    <a:schemeClr val="accent2"/>
                  </a:solidFill>
                  <a:ln>
                    <a:noFill/>
                  </a:ln>
                  <a:effectLst/>
                </c:spPr>
                <c:invertIfNegative val="0"/>
                <c:cat>
                  <c:strRef>
                    <c:extLst>
                      <c:ex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c:ext uri="{02D57815-91ED-43cb-92C2-25804820EDAC}">
                        <c15:formulaRef>
                          <c15:sqref>'S0 EU Serbia'!$I$3:$I$31</c15:sqref>
                        </c15:formulaRef>
                      </c:ext>
                    </c:extLst>
                    <c:numCache>
                      <c:formatCode>#.000</c:formatCode>
                      <c:ptCount val="29"/>
                      <c:pt idx="0">
                        <c:v>7.0000000000000007E-2</c:v>
                      </c:pt>
                      <c:pt idx="1">
                        <c:v>0.1</c:v>
                      </c:pt>
                      <c:pt idx="2">
                        <c:v>0.21</c:v>
                      </c:pt>
                      <c:pt idx="3">
                        <c:v>0.11</c:v>
                      </c:pt>
                      <c:pt idx="4">
                        <c:v>0.26</c:v>
                      </c:pt>
                      <c:pt idx="6">
                        <c:v>0.25</c:v>
                      </c:pt>
                      <c:pt idx="7">
                        <c:v>0.19</c:v>
                      </c:pt>
                      <c:pt idx="8">
                        <c:v>0.22</c:v>
                      </c:pt>
                      <c:pt idx="9">
                        <c:v>0.17</c:v>
                      </c:pt>
                      <c:pt idx="10">
                        <c:v>0.02</c:v>
                      </c:pt>
                      <c:pt idx="11">
                        <c:v>0.16</c:v>
                      </c:pt>
                      <c:pt idx="12">
                        <c:v>0.38</c:v>
                      </c:pt>
                      <c:pt idx="13">
                        <c:v>0.21</c:v>
                      </c:pt>
                      <c:pt idx="14">
                        <c:v>0.34</c:v>
                      </c:pt>
                      <c:pt idx="15">
                        <c:v>0.18</c:v>
                      </c:pt>
                      <c:pt idx="16">
                        <c:v>0.09</c:v>
                      </c:pt>
                      <c:pt idx="17">
                        <c:v>0.13</c:v>
                      </c:pt>
                      <c:pt idx="18">
                        <c:v>0.19</c:v>
                      </c:pt>
                      <c:pt idx="19">
                        <c:v>0.27</c:v>
                      </c:pt>
                      <c:pt idx="20">
                        <c:v>0.24</c:v>
                      </c:pt>
                      <c:pt idx="21">
                        <c:v>0.14000000000000001</c:v>
                      </c:pt>
                      <c:pt idx="22">
                        <c:v>0.36</c:v>
                      </c:pt>
                      <c:pt idx="23">
                        <c:v>0.21</c:v>
                      </c:pt>
                      <c:pt idx="24">
                        <c:v>0.08</c:v>
                      </c:pt>
                      <c:pt idx="25">
                        <c:v>0.21</c:v>
                      </c:pt>
                      <c:pt idx="26">
                        <c:v>0.15</c:v>
                      </c:pt>
                      <c:pt idx="27">
                        <c:v>0.36</c:v>
                      </c:pt>
                    </c:numCache>
                  </c:numRef>
                </c:val>
                <c:extLst>
                  <c:ext xmlns:c16="http://schemas.microsoft.com/office/drawing/2014/chart" uri="{C3380CC4-5D6E-409C-BE32-E72D297353CC}">
                    <c16:uniqueId val="{00000005-A2D0-492E-9952-40FE8A46C7A0}"/>
                  </c:ext>
                </c:extLst>
              </c15:ser>
            </c15:filteredBarSeries>
            <c15:filteredBarSeries>
              <c15:ser>
                <c:idx val="9"/>
                <c:order val="3"/>
                <c:tx>
                  <c:strRef>
                    <c:extLst xmlns:c15="http://schemas.microsoft.com/office/drawing/2012/chart">
                      <c:ext xmlns:c15="http://schemas.microsoft.com/office/drawing/2012/chart" uri="{02D57815-91ED-43cb-92C2-25804820EDAC}">
                        <c15:formulaRef>
                          <c15:sqref>'S0 EU Serbia'!$L$2</c15:sqref>
                        </c15:formulaRef>
                      </c:ext>
                    </c:extLst>
                    <c:strCache>
                      <c:ptCount val="1"/>
                      <c:pt idx="0">
                        <c:v>S0
 2016</c:v>
                      </c:pt>
                    </c:strCache>
                  </c:strRef>
                </c:tx>
                <c:spPr>
                  <a:solidFill>
                    <a:srgbClr val="7030A0"/>
                  </a:solidFill>
                  <a:ln>
                    <a:noFill/>
                  </a:ln>
                  <a:effectLst/>
                </c:spPr>
                <c:invertIfNegative val="0"/>
                <c:dPt>
                  <c:idx val="16"/>
                  <c:invertIfNegative val="0"/>
                  <c:bubble3D val="0"/>
                  <c:spPr>
                    <a:solidFill>
                      <a:srgbClr val="7F7F7F"/>
                    </a:solidFill>
                    <a:ln>
                      <a:noFill/>
                    </a:ln>
                    <a:effectLst/>
                  </c:spPr>
                  <c:extLst xmlns:c15="http://schemas.microsoft.com/office/drawing/2012/chart">
                    <c:ext xmlns:c16="http://schemas.microsoft.com/office/drawing/2014/chart" uri="{C3380CC4-5D6E-409C-BE32-E72D297353CC}">
                      <c16:uniqueId val="{00000007-A2D0-492E-9952-40FE8A46C7A0}"/>
                    </c:ext>
                  </c:extLst>
                </c:dPt>
                <c:cat>
                  <c:strRef>
                    <c:extLst xmlns:c15="http://schemas.microsoft.com/office/drawing/2012/chart">
                      <c:ext xmlns:c15="http://schemas.microsoft.com/office/drawing/2012/char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Serbia'!$L$3:$L$31</c15:sqref>
                        </c15:formulaRef>
                      </c:ext>
                    </c:extLst>
                    <c:numCache>
                      <c:formatCode>#.000</c:formatCode>
                      <c:ptCount val="29"/>
                      <c:pt idx="0">
                        <c:v>0.15</c:v>
                      </c:pt>
                      <c:pt idx="1">
                        <c:v>0.42</c:v>
                      </c:pt>
                      <c:pt idx="2">
                        <c:v>0.28000000000000003</c:v>
                      </c:pt>
                      <c:pt idx="3">
                        <c:v>0.19</c:v>
                      </c:pt>
                      <c:pt idx="4">
                        <c:v>0.18</c:v>
                      </c:pt>
                      <c:pt idx="5">
                        <c:v>0.41</c:v>
                      </c:pt>
                      <c:pt idx="6">
                        <c:v>0.19</c:v>
                      </c:pt>
                      <c:pt idx="7">
                        <c:v>0.25</c:v>
                      </c:pt>
                      <c:pt idx="8">
                        <c:v>0.22</c:v>
                      </c:pt>
                      <c:pt idx="9">
                        <c:v>0.31</c:v>
                      </c:pt>
                      <c:pt idx="10">
                        <c:v>0.08</c:v>
                      </c:pt>
                      <c:pt idx="11">
                        <c:v>0.31</c:v>
                      </c:pt>
                      <c:pt idx="12">
                        <c:v>0.28000000000000003</c:v>
                      </c:pt>
                      <c:pt idx="13">
                        <c:v>0.42</c:v>
                      </c:pt>
                      <c:pt idx="14">
                        <c:v>0.28999999999999998</c:v>
                      </c:pt>
                      <c:pt idx="15">
                        <c:v>0.21</c:v>
                      </c:pt>
                      <c:pt idx="16">
                        <c:v>0.28999999999999998</c:v>
                      </c:pt>
                      <c:pt idx="17">
                        <c:v>0.15</c:v>
                      </c:pt>
                      <c:pt idx="18">
                        <c:v>0.2</c:v>
                      </c:pt>
                      <c:pt idx="19">
                        <c:v>0.28999999999999998</c:v>
                      </c:pt>
                      <c:pt idx="20">
                        <c:v>0.41</c:v>
                      </c:pt>
                      <c:pt idx="21">
                        <c:v>0.26</c:v>
                      </c:pt>
                      <c:pt idx="22">
                        <c:v>0.19161676646706588</c:v>
                      </c:pt>
                      <c:pt idx="23">
                        <c:v>0.34</c:v>
                      </c:pt>
                      <c:pt idx="24">
                        <c:v>0.14000000000000001</c:v>
                      </c:pt>
                      <c:pt idx="25">
                        <c:v>0.37</c:v>
                      </c:pt>
                      <c:pt idx="26">
                        <c:v>0.12</c:v>
                      </c:pt>
                      <c:pt idx="27">
                        <c:v>0.41</c:v>
                      </c:pt>
                    </c:numCache>
                  </c:numRef>
                </c:val>
                <c:extLst xmlns:c15="http://schemas.microsoft.com/office/drawing/2012/chart">
                  <c:ext xmlns:c16="http://schemas.microsoft.com/office/drawing/2014/chart" uri="{C3380CC4-5D6E-409C-BE32-E72D297353CC}">
                    <c16:uniqueId val="{00000008-A2D0-492E-9952-40FE8A46C7A0}"/>
                  </c:ext>
                </c:extLst>
              </c15:ser>
            </c15:filteredBarSeries>
            <c15:filteredBarSeries>
              <c15:ser>
                <c:idx val="0"/>
                <c:order val="4"/>
                <c:tx>
                  <c:strRef>
                    <c:extLst xmlns:c15="http://schemas.microsoft.com/office/drawing/2012/chart">
                      <c:ext xmlns:c15="http://schemas.microsoft.com/office/drawing/2012/chart" uri="{02D57815-91ED-43cb-92C2-25804820EDAC}">
                        <c15:formulaRef>
                          <c15:sqref>'S0 EU Serbia'!$O$2</c15:sqref>
                        </c15:formulaRef>
                      </c:ext>
                    </c:extLst>
                    <c:strCache>
                      <c:ptCount val="1"/>
                      <c:pt idx="0">
                        <c:v>S0 2017</c:v>
                      </c:pt>
                    </c:strCache>
                  </c:strRef>
                </c:tx>
                <c:spPr>
                  <a:solidFill>
                    <a:schemeClr val="accent1"/>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Serbia'!$O$3:$O$30</c15:sqref>
                        </c15:formulaRef>
                      </c:ext>
                    </c:extLst>
                    <c:numCache>
                      <c:formatCode>#.000</c:formatCode>
                      <c:ptCount val="28"/>
                      <c:pt idx="0">
                        <c:v>7.0000000000000007E-2</c:v>
                      </c:pt>
                      <c:pt idx="1">
                        <c:v>0.35</c:v>
                      </c:pt>
                      <c:pt idx="2">
                        <c:v>0.25</c:v>
                      </c:pt>
                      <c:pt idx="3">
                        <c:v>0.19</c:v>
                      </c:pt>
                      <c:pt idx="4">
                        <c:v>0.2</c:v>
                      </c:pt>
                      <c:pt idx="5">
                        <c:v>0.44</c:v>
                      </c:pt>
                      <c:pt idx="6">
                        <c:v>0.3</c:v>
                      </c:pt>
                      <c:pt idx="7">
                        <c:v>0.2</c:v>
                      </c:pt>
                      <c:pt idx="8">
                        <c:v>0.1</c:v>
                      </c:pt>
                      <c:pt idx="9">
                        <c:v>0.24</c:v>
                      </c:pt>
                      <c:pt idx="10">
                        <c:v>0.08</c:v>
                      </c:pt>
                      <c:pt idx="11">
                        <c:v>0.39</c:v>
                      </c:pt>
                      <c:pt idx="12">
                        <c:v>0.28000000000000003</c:v>
                      </c:pt>
                      <c:pt idx="13">
                        <c:v>0.36</c:v>
                      </c:pt>
                      <c:pt idx="14">
                        <c:v>0.24</c:v>
                      </c:pt>
                      <c:pt idx="15">
                        <c:v>0.21</c:v>
                      </c:pt>
                      <c:pt idx="16">
                        <c:v>0.12</c:v>
                      </c:pt>
                      <c:pt idx="17">
                        <c:v>0.05</c:v>
                      </c:pt>
                      <c:pt idx="18">
                        <c:v>0.2</c:v>
                      </c:pt>
                      <c:pt idx="19">
                        <c:v>0.25</c:v>
                      </c:pt>
                      <c:pt idx="20">
                        <c:v>0.36</c:v>
                      </c:pt>
                      <c:pt idx="21">
                        <c:v>0.2</c:v>
                      </c:pt>
                      <c:pt idx="22">
                        <c:v>0.17745302713987476</c:v>
                      </c:pt>
                      <c:pt idx="23">
                        <c:v>0.3</c:v>
                      </c:pt>
                      <c:pt idx="24">
                        <c:v>0.13</c:v>
                      </c:pt>
                      <c:pt idx="25">
                        <c:v>0.37</c:v>
                      </c:pt>
                      <c:pt idx="26">
                        <c:v>0.12</c:v>
                      </c:pt>
                      <c:pt idx="27">
                        <c:v>0.42</c:v>
                      </c:pt>
                    </c:numCache>
                  </c:numRef>
                </c:val>
                <c:extLst xmlns:c15="http://schemas.microsoft.com/office/drawing/2012/chart">
                  <c:ext xmlns:c16="http://schemas.microsoft.com/office/drawing/2014/chart" uri="{C3380CC4-5D6E-409C-BE32-E72D297353CC}">
                    <c16:uniqueId val="{00000009-A2D0-492E-9952-40FE8A46C7A0}"/>
                  </c:ext>
                </c:extLst>
              </c15:ser>
            </c15:filteredBarSeries>
            <c15:filteredBarSeries>
              <c15:ser>
                <c:idx val="1"/>
                <c:order val="5"/>
                <c:tx>
                  <c:strRef>
                    <c:extLst xmlns:c15="http://schemas.microsoft.com/office/drawing/2012/chart">
                      <c:ext xmlns:c15="http://schemas.microsoft.com/office/drawing/2012/chart" uri="{02D57815-91ED-43cb-92C2-25804820EDAC}">
                        <c15:formulaRef>
                          <c15:sqref>'S0 EU Serbia'!$R$2</c15:sqref>
                        </c15:formulaRef>
                      </c:ext>
                    </c:extLst>
                    <c:strCache>
                      <c:ptCount val="1"/>
                      <c:pt idx="0">
                        <c:v>S0 2018</c:v>
                      </c:pt>
                    </c:strCache>
                  </c:strRef>
                </c:tx>
                <c:spPr>
                  <a:solidFill>
                    <a:srgbClr val="7030A0"/>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Serbia'!$R$3:$R$30</c15:sqref>
                        </c15:formulaRef>
                      </c:ext>
                    </c:extLst>
                    <c:numCache>
                      <c:formatCode>#.000</c:formatCode>
                      <c:ptCount val="28"/>
                      <c:pt idx="0">
                        <c:v>0.03</c:v>
                      </c:pt>
                      <c:pt idx="1">
                        <c:v>0.22</c:v>
                      </c:pt>
                      <c:pt idx="2">
                        <c:v>0.19</c:v>
                      </c:pt>
                      <c:pt idx="3">
                        <c:v>0.18</c:v>
                      </c:pt>
                      <c:pt idx="4">
                        <c:v>0.24</c:v>
                      </c:pt>
                      <c:pt idx="5">
                        <c:v>0.46</c:v>
                      </c:pt>
                      <c:pt idx="6">
                        <c:v>0.12</c:v>
                      </c:pt>
                      <c:pt idx="7">
                        <c:v>0.17</c:v>
                      </c:pt>
                      <c:pt idx="8">
                        <c:v>0.14000000000000001</c:v>
                      </c:pt>
                      <c:pt idx="9">
                        <c:v>0.28999999999999998</c:v>
                      </c:pt>
                      <c:pt idx="10">
                        <c:v>0</c:v>
                      </c:pt>
                      <c:pt idx="11">
                        <c:v>0.34</c:v>
                      </c:pt>
                      <c:pt idx="12">
                        <c:v>0.21</c:v>
                      </c:pt>
                      <c:pt idx="13">
                        <c:v>0.36</c:v>
                      </c:pt>
                      <c:pt idx="14">
                        <c:v>0.24</c:v>
                      </c:pt>
                      <c:pt idx="15">
                        <c:v>0.21</c:v>
                      </c:pt>
                      <c:pt idx="16">
                        <c:v>0.12</c:v>
                      </c:pt>
                      <c:pt idx="17">
                        <c:v>0.06</c:v>
                      </c:pt>
                      <c:pt idx="18">
                        <c:v>0.08</c:v>
                      </c:pt>
                      <c:pt idx="19">
                        <c:v>0.18</c:v>
                      </c:pt>
                      <c:pt idx="20">
                        <c:v>0.33</c:v>
                      </c:pt>
                      <c:pt idx="21">
                        <c:v>0.3</c:v>
                      </c:pt>
                      <c:pt idx="22">
                        <c:v>0.17745302713987476</c:v>
                      </c:pt>
                      <c:pt idx="23">
                        <c:v>0.27</c:v>
                      </c:pt>
                      <c:pt idx="24">
                        <c:v>0.13</c:v>
                      </c:pt>
                      <c:pt idx="25">
                        <c:v>0.37</c:v>
                      </c:pt>
                      <c:pt idx="26">
                        <c:v>0.2</c:v>
                      </c:pt>
                      <c:pt idx="27">
                        <c:v>0.42</c:v>
                      </c:pt>
                    </c:numCache>
                  </c:numRef>
                </c:val>
                <c:extLst xmlns:c15="http://schemas.microsoft.com/office/drawing/2012/chart">
                  <c:ext xmlns:c16="http://schemas.microsoft.com/office/drawing/2014/chart" uri="{C3380CC4-5D6E-409C-BE32-E72D297353CC}">
                    <c16:uniqueId val="{0000000A-A2D0-492E-9952-40FE8A46C7A0}"/>
                  </c:ext>
                </c:extLst>
              </c15:ser>
            </c15:filteredBarSeries>
            <c15:filteredBarSeries>
              <c15:ser>
                <c:idx val="4"/>
                <c:order val="6"/>
                <c:tx>
                  <c:strRef>
                    <c:extLst xmlns:c15="http://schemas.microsoft.com/office/drawing/2012/chart">
                      <c:ext xmlns:c15="http://schemas.microsoft.com/office/drawing/2012/chart" uri="{02D57815-91ED-43cb-92C2-25804820EDAC}">
                        <c15:formulaRef>
                          <c15:sqref>'S0 EU Serbia'!$U$2</c15:sqref>
                        </c15:formulaRef>
                      </c:ext>
                    </c:extLst>
                    <c:strCache>
                      <c:ptCount val="1"/>
                      <c:pt idx="0">
                        <c:v>S0 2019</c:v>
                      </c:pt>
                    </c:strCache>
                  </c:strRef>
                </c:tx>
                <c:spPr>
                  <a:solidFill>
                    <a:schemeClr val="accent5"/>
                  </a:solidFill>
                  <a:ln>
                    <a:noFill/>
                  </a:ln>
                  <a:effectLst/>
                </c:spPr>
                <c:invertIfNegative val="0"/>
                <c:val>
                  <c:numRef>
                    <c:extLst xmlns:c15="http://schemas.microsoft.com/office/drawing/2012/chart">
                      <c:ext xmlns:c15="http://schemas.microsoft.com/office/drawing/2012/chart" uri="{02D57815-91ED-43cb-92C2-25804820EDAC}">
                        <c15:formulaRef>
                          <c15:sqref>'S0 EU Serbia'!$U$3:$U$29</c15:sqref>
                        </c15:formulaRef>
                      </c:ext>
                    </c:extLst>
                    <c:numCache>
                      <c:formatCode>#.000</c:formatCode>
                      <c:ptCount val="27"/>
                      <c:pt idx="0">
                        <c:v>0.1</c:v>
                      </c:pt>
                      <c:pt idx="1">
                        <c:v>0.17</c:v>
                      </c:pt>
                      <c:pt idx="2">
                        <c:v>0.21</c:v>
                      </c:pt>
                      <c:pt idx="3">
                        <c:v>0.22</c:v>
                      </c:pt>
                      <c:pt idx="4">
                        <c:v>0.24</c:v>
                      </c:pt>
                      <c:pt idx="5">
                        <c:v>0.45</c:v>
                      </c:pt>
                      <c:pt idx="6">
                        <c:v>0.2</c:v>
                      </c:pt>
                      <c:pt idx="7">
                        <c:v>0.2</c:v>
                      </c:pt>
                      <c:pt idx="8">
                        <c:v>0.26</c:v>
                      </c:pt>
                      <c:pt idx="9">
                        <c:v>0.36</c:v>
                      </c:pt>
                      <c:pt idx="10">
                        <c:v>0.08</c:v>
                      </c:pt>
                      <c:pt idx="11">
                        <c:v>0.28999999999999998</c:v>
                      </c:pt>
                      <c:pt idx="12">
                        <c:v>0.14000000000000001</c:v>
                      </c:pt>
                      <c:pt idx="13">
                        <c:v>0.33</c:v>
                      </c:pt>
                      <c:pt idx="14">
                        <c:v>0.24</c:v>
                      </c:pt>
                      <c:pt idx="15">
                        <c:v>0.21</c:v>
                      </c:pt>
                      <c:pt idx="16">
                        <c:v>0.19</c:v>
                      </c:pt>
                      <c:pt idx="17">
                        <c:v>0.06</c:v>
                      </c:pt>
                      <c:pt idx="18">
                        <c:v>0.16</c:v>
                      </c:pt>
                      <c:pt idx="19">
                        <c:v>0.26</c:v>
                      </c:pt>
                      <c:pt idx="20">
                        <c:v>0.33</c:v>
                      </c:pt>
                      <c:pt idx="21">
                        <c:v>0.37</c:v>
                      </c:pt>
                      <c:pt idx="22">
                        <c:v>0.17745302713987476</c:v>
                      </c:pt>
                      <c:pt idx="23">
                        <c:v>0.27</c:v>
                      </c:pt>
                      <c:pt idx="24">
                        <c:v>0.05</c:v>
                      </c:pt>
                      <c:pt idx="25">
                        <c:v>0.37</c:v>
                      </c:pt>
                      <c:pt idx="26">
                        <c:v>0.24</c:v>
                      </c:pt>
                    </c:numCache>
                  </c:numRef>
                </c:val>
                <c:extLst xmlns:c15="http://schemas.microsoft.com/office/drawing/2012/chart">
                  <c:ext xmlns:c16="http://schemas.microsoft.com/office/drawing/2014/chart" uri="{C3380CC4-5D6E-409C-BE32-E72D297353CC}">
                    <c16:uniqueId val="{0000000B-A2D0-492E-9952-40FE8A46C7A0}"/>
                  </c:ext>
                </c:extLst>
              </c15:ser>
            </c15:filteredBarSeries>
          </c:ext>
        </c:extLst>
      </c:barChart>
      <c:lineChart>
        <c:grouping val="standard"/>
        <c:varyColors val="0"/>
        <c:ser>
          <c:idx val="2"/>
          <c:order val="0"/>
          <c:tx>
            <c:strRef>
              <c:f>'S0 EU Serbia'!$E$1</c:f>
              <c:strCache>
                <c:ptCount val="1"/>
                <c:pt idx="0">
                  <c:v>S0 праг</c:v>
                </c:pt>
              </c:strCache>
            </c:strRef>
          </c:tx>
          <c:spPr>
            <a:ln w="22225" cap="rnd">
              <a:solidFill>
                <a:schemeClr val="tx1"/>
              </a:solidFill>
              <a:prstDash val="dash"/>
              <a:round/>
            </a:ln>
            <a:effectLst/>
          </c:spPr>
          <c:marker>
            <c:symbol val="none"/>
          </c:marker>
          <c:dLbls>
            <c:dLbl>
              <c:idx val="15"/>
              <c:layout>
                <c:manualLayout>
                  <c:x val="-2.5343339842620423E-3"/>
                  <c:y val="-9.65645311049210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2D0-492E-9952-40FE8A46C7A0}"/>
                </c:ext>
              </c:extLst>
            </c:dLbl>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'S0 EU Serbia'!$A$3:$A$29</c:f>
              <c:strCache>
                <c:ptCount val="27"/>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strCache>
            </c:strRef>
          </c:cat>
          <c:val>
            <c:numRef>
              <c:f>'S0 EU Serbia'!$E$3:$E$29</c:f>
              <c:numCache>
                <c:formatCode>#.000</c:formatCode>
                <c:ptCount val="27"/>
                <c:pt idx="0">
                  <c:v>0.46</c:v>
                </c:pt>
                <c:pt idx="1">
                  <c:v>0.46</c:v>
                </c:pt>
                <c:pt idx="2">
                  <c:v>0.46</c:v>
                </c:pt>
                <c:pt idx="3">
                  <c:v>0.46</c:v>
                </c:pt>
                <c:pt idx="4">
                  <c:v>0.46</c:v>
                </c:pt>
                <c:pt idx="5">
                  <c:v>0.46</c:v>
                </c:pt>
                <c:pt idx="6">
                  <c:v>0.46</c:v>
                </c:pt>
                <c:pt idx="7">
                  <c:v>0.46</c:v>
                </c:pt>
                <c:pt idx="8">
                  <c:v>0.46</c:v>
                </c:pt>
                <c:pt idx="9">
                  <c:v>0.46</c:v>
                </c:pt>
                <c:pt idx="10">
                  <c:v>0.46</c:v>
                </c:pt>
                <c:pt idx="11">
                  <c:v>0.46</c:v>
                </c:pt>
                <c:pt idx="12">
                  <c:v>0.46</c:v>
                </c:pt>
                <c:pt idx="13">
                  <c:v>0.46</c:v>
                </c:pt>
                <c:pt idx="14">
                  <c:v>0.46</c:v>
                </c:pt>
                <c:pt idx="15">
                  <c:v>0.46</c:v>
                </c:pt>
                <c:pt idx="16">
                  <c:v>0.46</c:v>
                </c:pt>
                <c:pt idx="17">
                  <c:v>0.46</c:v>
                </c:pt>
                <c:pt idx="18">
                  <c:v>0.46</c:v>
                </c:pt>
                <c:pt idx="19">
                  <c:v>0.46</c:v>
                </c:pt>
                <c:pt idx="20">
                  <c:v>0.46</c:v>
                </c:pt>
                <c:pt idx="21">
                  <c:v>0.46</c:v>
                </c:pt>
                <c:pt idx="22">
                  <c:v>0.46</c:v>
                </c:pt>
                <c:pt idx="23">
                  <c:v>0.46</c:v>
                </c:pt>
                <c:pt idx="24">
                  <c:v>0.46</c:v>
                </c:pt>
                <c:pt idx="25">
                  <c:v>0.46</c:v>
                </c:pt>
                <c:pt idx="26">
                  <c:v>0.46</c:v>
                </c:pt>
              </c:numCache>
            </c:numRef>
          </c:val>
          <c:smooth val="0"/>
          <c:extLst>
            <c:ext xmlns:c16="http://schemas.microsoft.com/office/drawing/2014/chart" uri="{C3380CC4-5D6E-409C-BE32-E72D297353CC}">
              <c16:uniqueId val="{00000004-A2D0-492E-9952-40FE8A46C7A0}"/>
            </c:ext>
          </c:extLst>
        </c:ser>
        <c:dLbls>
          <c:showLegendKey val="0"/>
          <c:showVal val="0"/>
          <c:showCatName val="0"/>
          <c:showSerName val="0"/>
          <c:showPercent val="0"/>
          <c:showBubbleSize val="0"/>
        </c:dLbls>
        <c:marker val="1"/>
        <c:smooth val="0"/>
        <c:axId val="-486950096"/>
        <c:axId val="-486949552"/>
      </c:lineChart>
      <c:catAx>
        <c:axId val="-486950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crossAx val="-486949552"/>
        <c:crosses val="autoZero"/>
        <c:auto val="1"/>
        <c:lblAlgn val="ctr"/>
        <c:lblOffset val="100"/>
        <c:noMultiLvlLbl val="0"/>
      </c:catAx>
      <c:valAx>
        <c:axId val="-486949552"/>
        <c:scaling>
          <c:orientation val="minMax"/>
          <c:max val="0.9"/>
          <c:min val="0"/>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50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4">
    <c:autoUpdate val="0"/>
  </c:externalData>
  <c:userShapes r:id="rId5"/>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00" b="1" i="0" u="none" strike="noStrike" kern="1200" spc="0" baseline="0">
                <a:solidFill>
                  <a:srgbClr val="002060"/>
                </a:solidFill>
                <a:latin typeface="+mn-lt"/>
                <a:ea typeface="+mn-ea"/>
                <a:cs typeface="+mn-cs"/>
              </a:defRPr>
            </a:pPr>
            <a:r>
              <a:rPr lang="sr-Cyrl-RS" sz="900" b="1" i="0" u="none" strike="noStrike" baseline="0">
                <a:solidFill>
                  <a:srgbClr val="002060"/>
                </a:solidFill>
                <a:effectLst/>
                <a:latin typeface="+mn-lt"/>
              </a:rPr>
              <a:t>Фискални подиндекс и подиндекс макро-финансијске конкурентности за земље ЕУ и Србију за 20</a:t>
            </a:r>
            <a:r>
              <a:rPr lang="sr-Latn-RS" sz="900" b="1" i="0" u="none" strike="noStrike" baseline="0">
                <a:solidFill>
                  <a:srgbClr val="002060"/>
                </a:solidFill>
                <a:effectLst/>
                <a:latin typeface="+mn-lt"/>
              </a:rPr>
              <a:t>22.</a:t>
            </a:r>
            <a:r>
              <a:rPr lang="sr-Cyrl-RS" sz="900" b="1" i="0" u="none" strike="noStrike" baseline="0">
                <a:solidFill>
                  <a:srgbClr val="002060"/>
                </a:solidFill>
                <a:effectLst/>
                <a:latin typeface="+mn-lt"/>
              </a:rPr>
              <a:t> годину</a:t>
            </a:r>
            <a:endParaRPr lang="en-US" sz="900" b="1">
              <a:solidFill>
                <a:srgbClr val="002060"/>
              </a:solidFill>
              <a:latin typeface="+mn-lt"/>
            </a:endParaRPr>
          </a:p>
        </c:rich>
      </c:tx>
      <c:layout>
        <c:manualLayout>
          <c:xMode val="edge"/>
          <c:yMode val="edge"/>
          <c:x val="0.13292435361879323"/>
          <c:y val="0"/>
        </c:manualLayout>
      </c:layout>
      <c:overlay val="0"/>
      <c:spPr>
        <a:noFill/>
        <a:ln>
          <a:noFill/>
        </a:ln>
        <a:effectLst/>
      </c:spPr>
      <c:txPr>
        <a:bodyPr rot="0" spcFirstLastPara="1" vertOverflow="ellipsis" vert="horz" wrap="square" anchor="ctr" anchorCtr="1"/>
        <a:lstStyle/>
        <a:p>
          <a:pPr>
            <a:defRPr sz="900" b="1" i="0" u="none" strike="noStrike" kern="1200" spc="0" baseline="0">
              <a:solidFill>
                <a:srgbClr val="002060"/>
              </a:solidFill>
              <a:latin typeface="+mn-lt"/>
              <a:ea typeface="+mn-ea"/>
              <a:cs typeface="+mn-cs"/>
            </a:defRPr>
          </a:pPr>
          <a:endParaRPr lang="sr-Latn-RS"/>
        </a:p>
      </c:txPr>
    </c:title>
    <c:autoTitleDeleted val="0"/>
    <c:plotArea>
      <c:layout>
        <c:manualLayout>
          <c:layoutTarget val="inner"/>
          <c:xMode val="edge"/>
          <c:yMode val="edge"/>
          <c:x val="0.13516977778658723"/>
          <c:y val="0.1075637224820004"/>
          <c:w val="0.80990041443057503"/>
          <c:h val="0.81333285058353966"/>
        </c:manualLayout>
      </c:layout>
      <c:scatterChart>
        <c:scatterStyle val="smoothMarker"/>
        <c:varyColors val="0"/>
        <c:ser>
          <c:idx val="1"/>
          <c:order val="1"/>
          <c:tx>
            <c:v>Prag fiskalnog podindeksa</c:v>
          </c:tx>
          <c:spPr>
            <a:ln w="12700" cap="rnd">
              <a:solidFill>
                <a:srgbClr val="7030A0"/>
              </a:solidFill>
              <a:round/>
            </a:ln>
            <a:effectLst/>
          </c:spPr>
          <c:marker>
            <c:symbol val="none"/>
          </c:marker>
          <c:xVal>
            <c:numRef>
              <c:f>'2022'!$F$4:$F$31</c:f>
              <c:numCache>
                <c:formatCode>#.000</c:formatCode>
                <c:ptCount val="28"/>
                <c:pt idx="0">
                  <c:v>0.36</c:v>
                </c:pt>
                <c:pt idx="1">
                  <c:v>0.36</c:v>
                </c:pt>
                <c:pt idx="2">
                  <c:v>0.36</c:v>
                </c:pt>
                <c:pt idx="3">
                  <c:v>0.36</c:v>
                </c:pt>
                <c:pt idx="4">
                  <c:v>0.36</c:v>
                </c:pt>
                <c:pt idx="5">
                  <c:v>0.36</c:v>
                </c:pt>
                <c:pt idx="6">
                  <c:v>0.36</c:v>
                </c:pt>
                <c:pt idx="7">
                  <c:v>0.36</c:v>
                </c:pt>
                <c:pt idx="8">
                  <c:v>0.36</c:v>
                </c:pt>
                <c:pt idx="9">
                  <c:v>0.36</c:v>
                </c:pt>
                <c:pt idx="10">
                  <c:v>0.36</c:v>
                </c:pt>
                <c:pt idx="11">
                  <c:v>0.36</c:v>
                </c:pt>
                <c:pt idx="12">
                  <c:v>0.36</c:v>
                </c:pt>
                <c:pt idx="13">
                  <c:v>0.36</c:v>
                </c:pt>
                <c:pt idx="14">
                  <c:v>0.36</c:v>
                </c:pt>
                <c:pt idx="15">
                  <c:v>0.36</c:v>
                </c:pt>
                <c:pt idx="16">
                  <c:v>0.36</c:v>
                </c:pt>
                <c:pt idx="17">
                  <c:v>0.36</c:v>
                </c:pt>
                <c:pt idx="18">
                  <c:v>0.36</c:v>
                </c:pt>
                <c:pt idx="19">
                  <c:v>0.36</c:v>
                </c:pt>
                <c:pt idx="20">
                  <c:v>0.36</c:v>
                </c:pt>
                <c:pt idx="21">
                  <c:v>0.36</c:v>
                </c:pt>
                <c:pt idx="22">
                  <c:v>0.36</c:v>
                </c:pt>
                <c:pt idx="23">
                  <c:v>0.36</c:v>
                </c:pt>
                <c:pt idx="24">
                  <c:v>0.36</c:v>
                </c:pt>
                <c:pt idx="25">
                  <c:v>0.36</c:v>
                </c:pt>
                <c:pt idx="26">
                  <c:v>0.36</c:v>
                </c:pt>
                <c:pt idx="27">
                  <c:v>0.36</c:v>
                </c:pt>
              </c:numCache>
            </c:numRef>
          </c:xVal>
          <c:yVal>
            <c:numRef>
              <c:f>'2022'!$G$4:$G$31</c:f>
              <c:numCache>
                <c:formatCode>#.000</c:formatCode>
                <c:ptCount val="28"/>
                <c:pt idx="0">
                  <c:v>0</c:v>
                </c:pt>
                <c:pt idx="1">
                  <c:v>2.2222222222222223E-2</c:v>
                </c:pt>
                <c:pt idx="2">
                  <c:v>4.4444444444444446E-2</c:v>
                </c:pt>
                <c:pt idx="3">
                  <c:v>6.6666666666666666E-2</c:v>
                </c:pt>
                <c:pt idx="4">
                  <c:v>8.8888888888888892E-2</c:v>
                </c:pt>
                <c:pt idx="5">
                  <c:v>0.11111111111111112</c:v>
                </c:pt>
                <c:pt idx="6">
                  <c:v>0.13333333333333333</c:v>
                </c:pt>
                <c:pt idx="7">
                  <c:v>0.15555555555555556</c:v>
                </c:pt>
                <c:pt idx="8">
                  <c:v>0.17777777777777778</c:v>
                </c:pt>
                <c:pt idx="9">
                  <c:v>0.2</c:v>
                </c:pt>
                <c:pt idx="10">
                  <c:v>0.22222222222222224</c:v>
                </c:pt>
                <c:pt idx="11">
                  <c:v>0.24444444444444446</c:v>
                </c:pt>
                <c:pt idx="12">
                  <c:v>0.26666666666666666</c:v>
                </c:pt>
                <c:pt idx="13">
                  <c:v>0.28888888888888886</c:v>
                </c:pt>
                <c:pt idx="14">
                  <c:v>0.31111111111111106</c:v>
                </c:pt>
                <c:pt idx="15">
                  <c:v>0.33333333333333326</c:v>
                </c:pt>
                <c:pt idx="16">
                  <c:v>0.35555555555555546</c:v>
                </c:pt>
                <c:pt idx="17">
                  <c:v>0.37777777777777766</c:v>
                </c:pt>
                <c:pt idx="18">
                  <c:v>0.39999999999999986</c:v>
                </c:pt>
                <c:pt idx="19">
                  <c:v>0.42222222222222205</c:v>
                </c:pt>
                <c:pt idx="20">
                  <c:v>0.44444444444444425</c:v>
                </c:pt>
                <c:pt idx="21">
                  <c:v>0.46666666666666645</c:v>
                </c:pt>
                <c:pt idx="22">
                  <c:v>0.48888888888888865</c:v>
                </c:pt>
                <c:pt idx="23">
                  <c:v>0.51111111111111085</c:v>
                </c:pt>
                <c:pt idx="24">
                  <c:v>0.5333333333333331</c:v>
                </c:pt>
                <c:pt idx="25">
                  <c:v>0.55555555555555536</c:v>
                </c:pt>
                <c:pt idx="26">
                  <c:v>0.57777777777777761</c:v>
                </c:pt>
                <c:pt idx="27">
                  <c:v>0.59999999999999987</c:v>
                </c:pt>
              </c:numCache>
            </c:numRef>
          </c:yVal>
          <c:smooth val="1"/>
          <c:extLst>
            <c:ext xmlns:c16="http://schemas.microsoft.com/office/drawing/2014/chart" uri="{C3380CC4-5D6E-409C-BE32-E72D297353CC}">
              <c16:uniqueId val="{00000000-4550-407C-8E56-A3906B81264C}"/>
            </c:ext>
          </c:extLst>
        </c:ser>
        <c:ser>
          <c:idx val="2"/>
          <c:order val="2"/>
          <c:tx>
            <c:v>Prag finansijskog podindeksa</c:v>
          </c:tx>
          <c:spPr>
            <a:ln w="12700" cap="rnd">
              <a:solidFill>
                <a:srgbClr val="7030A0"/>
              </a:solidFill>
              <a:round/>
            </a:ln>
            <a:effectLst/>
          </c:spPr>
          <c:marker>
            <c:symbol val="none"/>
          </c:marker>
          <c:xVal>
            <c:numRef>
              <c:f>'2022'!$H$4:$H$31</c:f>
              <c:numCache>
                <c:formatCode>#.000</c:formatCode>
                <c:ptCount val="28"/>
                <c:pt idx="0">
                  <c:v>0</c:v>
                </c:pt>
                <c:pt idx="1">
                  <c:v>2.9629629629629631E-2</c:v>
                </c:pt>
                <c:pt idx="2">
                  <c:v>5.9259259259259262E-2</c:v>
                </c:pt>
                <c:pt idx="3">
                  <c:v>8.8888888888888892E-2</c:v>
                </c:pt>
                <c:pt idx="4">
                  <c:v>0.11851851851851852</c:v>
                </c:pt>
                <c:pt idx="5">
                  <c:v>0.14814814814814814</c:v>
                </c:pt>
                <c:pt idx="6">
                  <c:v>0.17777777777777776</c:v>
                </c:pt>
                <c:pt idx="7">
                  <c:v>0.20740740740740737</c:v>
                </c:pt>
                <c:pt idx="8">
                  <c:v>0.23703703703703699</c:v>
                </c:pt>
                <c:pt idx="9">
                  <c:v>0.26666666666666661</c:v>
                </c:pt>
                <c:pt idx="10">
                  <c:v>0.29629629629629622</c:v>
                </c:pt>
                <c:pt idx="11">
                  <c:v>0.32592592592592584</c:v>
                </c:pt>
                <c:pt idx="12">
                  <c:v>0.35555555555555546</c:v>
                </c:pt>
                <c:pt idx="13">
                  <c:v>0.38518518518518507</c:v>
                </c:pt>
                <c:pt idx="14">
                  <c:v>0.41481481481481469</c:v>
                </c:pt>
                <c:pt idx="15">
                  <c:v>0.44444444444444431</c:v>
                </c:pt>
                <c:pt idx="16">
                  <c:v>0.47407407407407393</c:v>
                </c:pt>
                <c:pt idx="17">
                  <c:v>0.50370370370370354</c:v>
                </c:pt>
                <c:pt idx="18">
                  <c:v>0.53333333333333321</c:v>
                </c:pt>
                <c:pt idx="19">
                  <c:v>0.56296296296296289</c:v>
                </c:pt>
                <c:pt idx="20">
                  <c:v>0.59259259259259256</c:v>
                </c:pt>
                <c:pt idx="21">
                  <c:v>0.62222222222222223</c:v>
                </c:pt>
                <c:pt idx="22">
                  <c:v>0.6518518518518519</c:v>
                </c:pt>
                <c:pt idx="23">
                  <c:v>0.68148148148148158</c:v>
                </c:pt>
                <c:pt idx="24">
                  <c:v>0.71111111111111125</c:v>
                </c:pt>
                <c:pt idx="25">
                  <c:v>0.74074074074074092</c:v>
                </c:pt>
                <c:pt idx="26">
                  <c:v>0.77037037037037059</c:v>
                </c:pt>
                <c:pt idx="27">
                  <c:v>0.80000000000000027</c:v>
                </c:pt>
              </c:numCache>
            </c:numRef>
          </c:xVal>
          <c:yVal>
            <c:numRef>
              <c:f>'2022'!$I$4:$I$31</c:f>
              <c:numCache>
                <c:formatCode>#.000</c:formatCode>
                <c:ptCount val="28"/>
                <c:pt idx="0">
                  <c:v>0.49</c:v>
                </c:pt>
                <c:pt idx="1">
                  <c:v>0.49</c:v>
                </c:pt>
                <c:pt idx="2">
                  <c:v>0.49</c:v>
                </c:pt>
                <c:pt idx="3">
                  <c:v>0.49</c:v>
                </c:pt>
                <c:pt idx="4">
                  <c:v>0.49</c:v>
                </c:pt>
                <c:pt idx="5">
                  <c:v>0.49</c:v>
                </c:pt>
                <c:pt idx="6">
                  <c:v>0.49</c:v>
                </c:pt>
                <c:pt idx="7">
                  <c:v>0.49</c:v>
                </c:pt>
                <c:pt idx="8">
                  <c:v>0.49</c:v>
                </c:pt>
                <c:pt idx="9">
                  <c:v>0.49</c:v>
                </c:pt>
                <c:pt idx="10">
                  <c:v>0.49</c:v>
                </c:pt>
                <c:pt idx="11">
                  <c:v>0.49</c:v>
                </c:pt>
                <c:pt idx="12">
                  <c:v>0.49</c:v>
                </c:pt>
                <c:pt idx="13">
                  <c:v>0.49</c:v>
                </c:pt>
                <c:pt idx="14">
                  <c:v>0.49</c:v>
                </c:pt>
                <c:pt idx="15">
                  <c:v>0.49</c:v>
                </c:pt>
                <c:pt idx="16">
                  <c:v>0.49</c:v>
                </c:pt>
                <c:pt idx="17">
                  <c:v>0.49</c:v>
                </c:pt>
                <c:pt idx="18">
                  <c:v>0.49</c:v>
                </c:pt>
                <c:pt idx="19">
                  <c:v>0.49</c:v>
                </c:pt>
                <c:pt idx="20">
                  <c:v>0.49</c:v>
                </c:pt>
                <c:pt idx="21">
                  <c:v>0.49</c:v>
                </c:pt>
                <c:pt idx="22">
                  <c:v>0.49</c:v>
                </c:pt>
                <c:pt idx="23">
                  <c:v>0.49</c:v>
                </c:pt>
                <c:pt idx="24">
                  <c:v>0.49</c:v>
                </c:pt>
                <c:pt idx="25">
                  <c:v>0.49</c:v>
                </c:pt>
                <c:pt idx="26">
                  <c:v>0.49</c:v>
                </c:pt>
                <c:pt idx="27">
                  <c:v>0.49</c:v>
                </c:pt>
              </c:numCache>
            </c:numRef>
          </c:yVal>
          <c:smooth val="1"/>
          <c:extLst>
            <c:ext xmlns:c16="http://schemas.microsoft.com/office/drawing/2014/chart" uri="{C3380CC4-5D6E-409C-BE32-E72D297353CC}">
              <c16:uniqueId val="{00000001-4550-407C-8E56-A3906B81264C}"/>
            </c:ext>
          </c:extLst>
        </c:ser>
        <c:dLbls>
          <c:showLegendKey val="0"/>
          <c:showVal val="0"/>
          <c:showCatName val="0"/>
          <c:showSerName val="0"/>
          <c:showPercent val="0"/>
          <c:showBubbleSize val="0"/>
        </c:dLbls>
        <c:axId val="-262788736"/>
        <c:axId val="-262793088"/>
      </c:scatterChart>
      <c:scatterChart>
        <c:scatterStyle val="lineMarker"/>
        <c:varyColors val="0"/>
        <c:ser>
          <c:idx val="0"/>
          <c:order val="0"/>
          <c:spPr>
            <a:ln w="25400" cap="rnd">
              <a:noFill/>
              <a:round/>
            </a:ln>
            <a:effectLst/>
          </c:spPr>
          <c:marker>
            <c:symbol val="circle"/>
            <c:size val="5"/>
            <c:spPr>
              <a:solidFill>
                <a:srgbClr val="5297AC"/>
              </a:solidFill>
              <a:ln w="9525">
                <a:noFill/>
              </a:ln>
              <a:effectLst/>
            </c:spPr>
          </c:marker>
          <c:dLbls>
            <c:dLbl>
              <c:idx val="0"/>
              <c:layout>
                <c:manualLayout>
                  <c:x val="-3.5948417288263687E-2"/>
                  <c:y val="3.2900160952131545E-2"/>
                </c:manualLayout>
              </c:layout>
              <c:tx>
                <c:rich>
                  <a:bodyPr/>
                  <a:lstStyle/>
                  <a:p>
                    <a:fld id="{70732D85-73BF-4E80-93AB-49055FFFDA60}"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4550-407C-8E56-A3906B81264C}"/>
                </c:ext>
              </c:extLst>
            </c:dLbl>
            <c:dLbl>
              <c:idx val="1"/>
              <c:layout>
                <c:manualLayout>
                  <c:x val="3.5938394891456365E-3"/>
                  <c:y val="3.0580750586474564E-2"/>
                </c:manualLayout>
              </c:layout>
              <c:tx>
                <c:rich>
                  <a:bodyPr/>
                  <a:lstStyle/>
                  <a:p>
                    <a:fld id="{BD12F06F-FAA9-4E52-807B-CA072D803F9B}"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4550-407C-8E56-A3906B81264C}"/>
                </c:ext>
              </c:extLst>
            </c:dLbl>
            <c:dLbl>
              <c:idx val="2"/>
              <c:layout>
                <c:manualLayout>
                  <c:x val="1.0809429674157153E-2"/>
                  <c:y val="9.6898709679296511E-3"/>
                </c:manualLayout>
              </c:layout>
              <c:tx>
                <c:rich>
                  <a:bodyPr/>
                  <a:lstStyle/>
                  <a:p>
                    <a:fld id="{54982951-4DAE-445B-9648-DB7185E63980}"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4550-407C-8E56-A3906B81264C}"/>
                </c:ext>
              </c:extLst>
            </c:dLbl>
            <c:dLbl>
              <c:idx val="3"/>
              <c:layout>
                <c:manualLayout>
                  <c:x val="6.3333549712019637E-3"/>
                  <c:y val="1.2874617493600062E-2"/>
                </c:manualLayout>
              </c:layout>
              <c:tx>
                <c:rich>
                  <a:bodyPr/>
                  <a:lstStyle/>
                  <a:p>
                    <a:fld id="{38133EDB-A8BE-480F-90E8-13EDB0AAD941}"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4550-407C-8E56-A3906B81264C}"/>
                </c:ext>
              </c:extLst>
            </c:dLbl>
            <c:dLbl>
              <c:idx val="4"/>
              <c:layout>
                <c:manualLayout>
                  <c:x val="1.4810813846507072E-2"/>
                  <c:y val="4.2057146808350383E-2"/>
                </c:manualLayout>
              </c:layout>
              <c:tx>
                <c:rich>
                  <a:bodyPr/>
                  <a:lstStyle/>
                  <a:p>
                    <a:fld id="{3310AD2F-BDD7-4083-B404-EDD5582E1F0E}"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4550-407C-8E56-A3906B81264C}"/>
                </c:ext>
              </c:extLst>
            </c:dLbl>
            <c:dLbl>
              <c:idx val="5"/>
              <c:layout>
                <c:manualLayout>
                  <c:x val="-9.2290666309883071E-2"/>
                  <c:y val="-2.9653071631688191E-2"/>
                </c:manualLayout>
              </c:layout>
              <c:tx>
                <c:rich>
                  <a:bodyPr/>
                  <a:lstStyle/>
                  <a:p>
                    <a:fld id="{50BFD3CA-FCC2-470B-A131-3FF644F4F635}"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4550-407C-8E56-A3906B81264C}"/>
                </c:ext>
              </c:extLst>
            </c:dLbl>
            <c:dLbl>
              <c:idx val="6"/>
              <c:layout>
                <c:manualLayout>
                  <c:x val="-0.11183811274691988"/>
                  <c:y val="3.7915293519155333E-2"/>
                </c:manualLayout>
              </c:layout>
              <c:tx>
                <c:rich>
                  <a:bodyPr/>
                  <a:lstStyle/>
                  <a:p>
                    <a:fld id="{26A4F0FB-A09E-41E7-A7E0-636758763A94}"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4550-407C-8E56-A3906B81264C}"/>
                </c:ext>
              </c:extLst>
            </c:dLbl>
            <c:dLbl>
              <c:idx val="7"/>
              <c:layout>
                <c:manualLayout>
                  <c:x val="-8.4762532436749374E-2"/>
                  <c:y val="3.7396697531359623E-2"/>
                </c:manualLayout>
              </c:layout>
              <c:tx>
                <c:rich>
                  <a:bodyPr/>
                  <a:lstStyle/>
                  <a:p>
                    <a:fld id="{3D14974B-2EF1-4F44-BC19-302E490E3DEE}"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4550-407C-8E56-A3906B81264C}"/>
                </c:ext>
              </c:extLst>
            </c:dLbl>
            <c:dLbl>
              <c:idx val="8"/>
              <c:layout>
                <c:manualLayout>
                  <c:x val="1.282501062222628E-2"/>
                  <c:y val="2.0553185351589367E-2"/>
                </c:manualLayout>
              </c:layout>
              <c:tx>
                <c:rich>
                  <a:bodyPr/>
                  <a:lstStyle/>
                  <a:p>
                    <a:fld id="{F89CD567-FF97-4A1C-B19A-FCC8106AB038}"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4550-407C-8E56-A3906B81264C}"/>
                </c:ext>
              </c:extLst>
            </c:dLbl>
            <c:dLbl>
              <c:idx val="9"/>
              <c:layout>
                <c:manualLayout>
                  <c:x val="1.995639888890369E-2"/>
                  <c:y val="1.2672324895787668E-2"/>
                </c:manualLayout>
              </c:layout>
              <c:tx>
                <c:rich>
                  <a:bodyPr/>
                  <a:lstStyle/>
                  <a:p>
                    <a:fld id="{D2492206-AE37-4D99-BD0B-A656A317BDF8}"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4550-407C-8E56-A3906B81264C}"/>
                </c:ext>
              </c:extLst>
            </c:dLbl>
            <c:dLbl>
              <c:idx val="10"/>
              <c:layout>
                <c:manualLayout>
                  <c:x val="3.3415426595904394E-3"/>
                  <c:y val="6.2301899419542978E-2"/>
                </c:manualLayout>
              </c:layout>
              <c:tx>
                <c:rich>
                  <a:bodyPr/>
                  <a:lstStyle/>
                  <a:p>
                    <a:fld id="{106489C4-7A3E-4A8B-9290-DE2AB0E93533}"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4550-407C-8E56-A3906B81264C}"/>
                </c:ext>
              </c:extLst>
            </c:dLbl>
            <c:dLbl>
              <c:idx val="11"/>
              <c:layout>
                <c:manualLayout>
                  <c:x val="2.4016558870739307E-3"/>
                  <c:y val="3.6893194836719295E-2"/>
                </c:manualLayout>
              </c:layout>
              <c:tx>
                <c:rich>
                  <a:bodyPr/>
                  <a:lstStyle/>
                  <a:p>
                    <a:fld id="{052FDA9E-DCFA-4EBC-B7E7-17FB792D8DF3}"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4550-407C-8E56-A3906B81264C}"/>
                </c:ext>
              </c:extLst>
            </c:dLbl>
            <c:dLbl>
              <c:idx val="12"/>
              <c:layout>
                <c:manualLayout>
                  <c:x val="-6.3611541949326861E-2"/>
                  <c:y val="4.1550157492662484E-2"/>
                </c:manualLayout>
              </c:layout>
              <c:tx>
                <c:rich>
                  <a:bodyPr/>
                  <a:lstStyle/>
                  <a:p>
                    <a:fld id="{F1AC5CD9-96FC-4284-AD26-896D906F1BB6}"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4550-407C-8E56-A3906B81264C}"/>
                </c:ext>
              </c:extLst>
            </c:dLbl>
            <c:dLbl>
              <c:idx val="13"/>
              <c:layout>
                <c:manualLayout>
                  <c:x val="-0.10656167979002629"/>
                  <c:y val="3.5582352425485783E-2"/>
                </c:manualLayout>
              </c:layout>
              <c:tx>
                <c:rich>
                  <a:bodyPr/>
                  <a:lstStyle/>
                  <a:p>
                    <a:fld id="{6070DE38-05F1-49C5-94D0-4A58356185D3}"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4550-407C-8E56-A3906B81264C}"/>
                </c:ext>
              </c:extLst>
            </c:dLbl>
            <c:dLbl>
              <c:idx val="14"/>
              <c:layout>
                <c:manualLayout>
                  <c:x val="-7.5284642283150724E-2"/>
                  <c:y val="-3.8708498430012388E-2"/>
                </c:manualLayout>
              </c:layout>
              <c:tx>
                <c:rich>
                  <a:bodyPr/>
                  <a:lstStyle/>
                  <a:p>
                    <a:fld id="{B48A823F-1387-45D1-8A26-166F9D3B69B8}"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4550-407C-8E56-A3906B81264C}"/>
                </c:ext>
              </c:extLst>
            </c:dLbl>
            <c:dLbl>
              <c:idx val="15"/>
              <c:layout>
                <c:manualLayout>
                  <c:x val="-1.7416325161997922E-3"/>
                  <c:y val="-2.0820641108116152E-2"/>
                </c:manualLayout>
              </c:layout>
              <c:tx>
                <c:rich>
                  <a:bodyPr/>
                  <a:lstStyle/>
                  <a:p>
                    <a:fld id="{63E2A67E-8A8D-4F6B-BD79-AA88FB20A41C}"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4550-407C-8E56-A3906B81264C}"/>
                </c:ext>
              </c:extLst>
            </c:dLbl>
            <c:dLbl>
              <c:idx val="16"/>
              <c:layout>
                <c:manualLayout>
                  <c:x val="-0.16033788727950857"/>
                  <c:y val="-2.5364035862147423E-2"/>
                </c:manualLayout>
              </c:layout>
              <c:tx>
                <c:rich>
                  <a:bodyPr/>
                  <a:lstStyle/>
                  <a:p>
                    <a:fld id="{35302648-3B75-4777-88E5-C71032B1CA26}"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4550-407C-8E56-A3906B81264C}"/>
                </c:ext>
              </c:extLst>
            </c:dLbl>
            <c:dLbl>
              <c:idx val="17"/>
              <c:layout>
                <c:manualLayout>
                  <c:x val="-9.3399999008934462E-2"/>
                  <c:y val="-4.9207103777230976E-2"/>
                </c:manualLayout>
              </c:layout>
              <c:tx>
                <c:rich>
                  <a:bodyPr/>
                  <a:lstStyle/>
                  <a:p>
                    <a:fld id="{132175EF-4E81-41AA-B34F-770B287C6E8F}"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4550-407C-8E56-A3906B81264C}"/>
                </c:ext>
              </c:extLst>
            </c:dLbl>
            <c:dLbl>
              <c:idx val="18"/>
              <c:layout>
                <c:manualLayout>
                  <c:x val="-0.13813834944640729"/>
                  <c:y val="-3.6335304409671046E-2"/>
                </c:manualLayout>
              </c:layout>
              <c:tx>
                <c:rich>
                  <a:bodyPr/>
                  <a:lstStyle/>
                  <a:p>
                    <a:fld id="{8A65BB0F-CF28-4E33-9C4D-92E7B0D06E00}"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4550-407C-8E56-A3906B81264C}"/>
                </c:ext>
              </c:extLst>
            </c:dLbl>
            <c:dLbl>
              <c:idx val="19"/>
              <c:layout>
                <c:manualLayout>
                  <c:x val="1.8193320548587813E-2"/>
                  <c:y val="-1.8101469478773991E-2"/>
                </c:manualLayout>
              </c:layout>
              <c:tx>
                <c:rich>
                  <a:bodyPr/>
                  <a:lstStyle/>
                  <a:p>
                    <a:fld id="{9D90B90A-52B4-4971-AE96-0169E920754B}"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4550-407C-8E56-A3906B81264C}"/>
                </c:ext>
              </c:extLst>
            </c:dLbl>
            <c:dLbl>
              <c:idx val="20"/>
              <c:layout>
                <c:manualLayout>
                  <c:x val="2.1777013556124866E-2"/>
                  <c:y val="-1.8884302469875131E-2"/>
                </c:manualLayout>
              </c:layout>
              <c:tx>
                <c:rich>
                  <a:bodyPr/>
                  <a:lstStyle/>
                  <a:p>
                    <a:fld id="{BB009CEA-3CA4-4620-8623-77CEA101C1E4}"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4550-407C-8E56-A3906B81264C}"/>
                </c:ext>
              </c:extLst>
            </c:dLbl>
            <c:dLbl>
              <c:idx val="21"/>
              <c:layout>
                <c:manualLayout>
                  <c:x val="-4.5538664904163979E-2"/>
                  <c:y val="-3.5392385611100745E-2"/>
                </c:manualLayout>
              </c:layout>
              <c:tx>
                <c:rich>
                  <a:bodyPr/>
                  <a:lstStyle/>
                  <a:p>
                    <a:fld id="{25BC6E21-A613-4C99-B178-4575D4E24133}" type="CELLRANGE">
                      <a:rPr lang="sr-Cyrl-RS"/>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4550-407C-8E56-A3906B81264C}"/>
                </c:ext>
              </c:extLst>
            </c:dLbl>
            <c:dLbl>
              <c:idx val="22"/>
              <c:layout>
                <c:manualLayout>
                  <c:x val="-6.6857611961500488E-2"/>
                  <c:y val="-4.2213219505629972E-2"/>
                </c:manualLayout>
              </c:layout>
              <c:tx>
                <c:rich>
                  <a:bodyPr/>
                  <a:lstStyle/>
                  <a:p>
                    <a:fld id="{01AA4F0E-F632-4A99-9AFE-F3573492C6BB}" type="CELLRANGE">
                      <a:rPr lang="sr-Cyrl-RS">
                        <a:solidFill>
                          <a:schemeClr val="tx1">
                            <a:lumMod val="50000"/>
                            <a:lumOff val="50000"/>
                          </a:schemeClr>
                        </a:solidFill>
                      </a:rPr>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4550-407C-8E56-A3906B81264C}"/>
                </c:ext>
              </c:extLst>
            </c:dLbl>
            <c:dLbl>
              <c:idx val="23"/>
              <c:layout>
                <c:manualLayout>
                  <c:x val="-0.10717944397919422"/>
                  <c:y val="8.7669639538745917E-2"/>
                </c:manualLayout>
              </c:layout>
              <c:tx>
                <c:rich>
                  <a:bodyPr/>
                  <a:lstStyle/>
                  <a:p>
                    <a:fld id="{9E754691-3CF2-4FE7-BA9A-1C76531E36EE}" type="CELLRANGE">
                      <a:rPr lang="sr-Cyrl-RS">
                        <a:solidFill>
                          <a:schemeClr val="tx1">
                            <a:lumMod val="50000"/>
                            <a:lumOff val="50000"/>
                          </a:schemeClr>
                        </a:solidFill>
                      </a:rPr>
                      <a:pPr/>
                      <a:t>[CELLRANGE]</a:t>
                    </a:fld>
                    <a:endParaRPr lang="sr-Cyrl-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4550-407C-8E56-A3906B81264C}"/>
                </c:ext>
              </c:extLst>
            </c:dLbl>
            <c:dLbl>
              <c:idx val="24"/>
              <c:layout>
                <c:manualLayout>
                  <c:x val="-8.3391411339816826E-2"/>
                  <c:y val="-3.411424204086759E-2"/>
                </c:manualLayout>
              </c:layout>
              <c:tx>
                <c:rich>
                  <a:bodyPr rot="0" spcFirstLastPara="1" vertOverflow="ellipsis" vert="horz" wrap="square" lIns="38100" tIns="19050" rIns="38100" bIns="19050" anchor="ctr" anchorCtr="1">
                    <a:noAutofit/>
                  </a:bodyPr>
                  <a:lstStyle/>
                  <a:p>
                    <a:pPr>
                      <a:defRPr sz="800" b="0" i="0" u="none" strike="noStrike" kern="1200" baseline="0">
                        <a:solidFill>
                          <a:schemeClr val="tx1">
                            <a:lumMod val="50000"/>
                            <a:lumOff val="50000"/>
                          </a:schemeClr>
                        </a:solidFill>
                        <a:latin typeface="+mn-lt"/>
                        <a:ea typeface="+mn-ea"/>
                        <a:cs typeface="+mn-cs"/>
                      </a:defRPr>
                    </a:pPr>
                    <a:r>
                      <a:rPr lang="sr-Cyrl-RS" sz="800">
                        <a:solidFill>
                          <a:schemeClr val="tx1">
                            <a:lumMod val="50000"/>
                            <a:lumOff val="50000"/>
                          </a:schemeClr>
                        </a:solidFill>
                      </a:rPr>
                      <a:t>Кипар</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layout>
                    <c:manualLayout>
                      <c:w val="0.13100275293998009"/>
                      <c:h val="3.706857368218909E-2"/>
                    </c:manualLayout>
                  </c15:layout>
                  <c15:showDataLabelsRange val="0"/>
                </c:ext>
                <c:ext xmlns:c16="http://schemas.microsoft.com/office/drawing/2014/chart" uri="{C3380CC4-5D6E-409C-BE32-E72D297353CC}">
                  <c16:uniqueId val="{0000001A-4550-407C-8E56-A3906B81264C}"/>
                </c:ext>
              </c:extLst>
            </c:dLbl>
            <c:dLbl>
              <c:idx val="25"/>
              <c:layout>
                <c:manualLayout>
                  <c:x val="-0.10887846067699687"/>
                  <c:y val="-3.5036591885948397E-2"/>
                </c:manualLayout>
              </c:layout>
              <c:tx>
                <c:rich>
                  <a:bodyPr/>
                  <a:lstStyle/>
                  <a:p>
                    <a:r>
                      <a:rPr lang="sr-Cyrl-RS"/>
                      <a:t>Грчка</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4550-407C-8E56-A3906B81264C}"/>
                </c:ext>
              </c:extLst>
            </c:dLbl>
            <c:dLbl>
              <c:idx val="26"/>
              <c:layout>
                <c:manualLayout>
                  <c:x val="3.3692806736734943E-2"/>
                  <c:y val="-4.0155249137337701E-2"/>
                </c:manualLayout>
              </c:layout>
              <c:tx>
                <c:rich>
                  <a:bodyPr/>
                  <a:lstStyle/>
                  <a:p>
                    <a:r>
                      <a:rPr lang="sr-Cyrl-RS" baseline="0"/>
                      <a:t>Португал </a:t>
                    </a:r>
                    <a:endParaRPr lang="sr-Cyrl-RS"/>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4550-407C-8E56-A3906B81264C}"/>
                </c:ext>
              </c:extLst>
            </c:dLbl>
            <c:dLbl>
              <c:idx val="27"/>
              <c:layout>
                <c:manualLayout>
                  <c:x val="0"/>
                  <c:y val="-3.2036337084359663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FF0000"/>
                        </a:solidFill>
                        <a:latin typeface="+mn-lt"/>
                        <a:ea typeface="+mn-ea"/>
                        <a:cs typeface="+mn-cs"/>
                      </a:defRPr>
                    </a:pPr>
                    <a:r>
                      <a:rPr lang="sr-Cyrl-RS">
                        <a:solidFill>
                          <a:srgbClr val="FF0000"/>
                        </a:solidFill>
                      </a:rPr>
                      <a:t>Србија</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4550-407C-8E56-A3906B81264C}"/>
                </c:ext>
              </c:extLst>
            </c:dLbl>
            <c:dLbl>
              <c:idx val="2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4550-407C-8E56-A3906B81264C}"/>
                </c:ext>
              </c:extLst>
            </c:dLbl>
            <c:dLbl>
              <c:idx val="29"/>
              <c:layout>
                <c:manualLayout>
                  <c:x val="0.27121180204981443"/>
                  <c:y val="-0.10981647825182873"/>
                </c:manualLayout>
              </c:layout>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layout>
                    <c:manualLayout>
                      <c:w val="6.4583536111454121E-2"/>
                      <c:h val="3.6566409796610792E-2"/>
                    </c:manualLayout>
                  </c15:layout>
                  <c15:showDataLabelsRange val="0"/>
                </c:ext>
                <c:ext xmlns:c16="http://schemas.microsoft.com/office/drawing/2014/chart" uri="{C3380CC4-5D6E-409C-BE32-E72D297353CC}">
                  <c16:uniqueId val="{0000001F-4550-407C-8E56-A3906B81264C}"/>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'2022'!$D$4:$D$31</c:f>
              <c:numCache>
                <c:formatCode>#.000</c:formatCode>
                <c:ptCount val="28"/>
                <c:pt idx="0">
                  <c:v>0.45</c:v>
                </c:pt>
                <c:pt idx="1">
                  <c:v>0.56999999999999995</c:v>
                </c:pt>
                <c:pt idx="2">
                  <c:v>0.28000000000000003</c:v>
                </c:pt>
                <c:pt idx="3">
                  <c:v>0.22</c:v>
                </c:pt>
                <c:pt idx="4">
                  <c:v>0.33</c:v>
                </c:pt>
                <c:pt idx="5">
                  <c:v>0</c:v>
                </c:pt>
                <c:pt idx="6">
                  <c:v>0.08</c:v>
                </c:pt>
                <c:pt idx="7">
                  <c:v>0.15</c:v>
                </c:pt>
                <c:pt idx="8">
                  <c:v>0.56999999999999995</c:v>
                </c:pt>
                <c:pt idx="9">
                  <c:v>0.41</c:v>
                </c:pt>
                <c:pt idx="10">
                  <c:v>0</c:v>
                </c:pt>
                <c:pt idx="11">
                  <c:v>0.69</c:v>
                </c:pt>
                <c:pt idx="12">
                  <c:v>0.22</c:v>
                </c:pt>
                <c:pt idx="13">
                  <c:v>0.23</c:v>
                </c:pt>
                <c:pt idx="14">
                  <c:v>0.08</c:v>
                </c:pt>
                <c:pt idx="15">
                  <c:v>0.08</c:v>
                </c:pt>
                <c:pt idx="16">
                  <c:v>0.22</c:v>
                </c:pt>
                <c:pt idx="17">
                  <c:v>0.08</c:v>
                </c:pt>
                <c:pt idx="18">
                  <c:v>0.22</c:v>
                </c:pt>
                <c:pt idx="19">
                  <c:v>0.22</c:v>
                </c:pt>
                <c:pt idx="20">
                  <c:v>0.22</c:v>
                </c:pt>
                <c:pt idx="21">
                  <c:v>0.28999999999999998</c:v>
                </c:pt>
                <c:pt idx="22">
                  <c:v>0.56999999999999995</c:v>
                </c:pt>
                <c:pt idx="23">
                  <c:v>0</c:v>
                </c:pt>
                <c:pt idx="24">
                  <c:v>7.0000000000000007E-2</c:v>
                </c:pt>
                <c:pt idx="25">
                  <c:v>0.33</c:v>
                </c:pt>
                <c:pt idx="26">
                  <c:v>0.53</c:v>
                </c:pt>
                <c:pt idx="27">
                  <c:v>0.21556886227544908</c:v>
                </c:pt>
              </c:numCache>
            </c:numRef>
          </c:xVal>
          <c:yVal>
            <c:numRef>
              <c:f>'2022'!$E$4:$E$31</c:f>
              <c:numCache>
                <c:formatCode>#.000</c:formatCode>
                <c:ptCount val="28"/>
                <c:pt idx="0">
                  <c:v>0.06</c:v>
                </c:pt>
                <c:pt idx="1">
                  <c:v>0.12</c:v>
                </c:pt>
                <c:pt idx="2">
                  <c:v>0.28000000000000003</c:v>
                </c:pt>
                <c:pt idx="3">
                  <c:v>0.25</c:v>
                </c:pt>
                <c:pt idx="4">
                  <c:v>0.22</c:v>
                </c:pt>
                <c:pt idx="5">
                  <c:v>0.34</c:v>
                </c:pt>
                <c:pt idx="6">
                  <c:v>0.13</c:v>
                </c:pt>
                <c:pt idx="7">
                  <c:v>0.24</c:v>
                </c:pt>
                <c:pt idx="8">
                  <c:v>0.21</c:v>
                </c:pt>
                <c:pt idx="9">
                  <c:v>0.46</c:v>
                </c:pt>
                <c:pt idx="10">
                  <c:v>0.32</c:v>
                </c:pt>
                <c:pt idx="11">
                  <c:v>7.0000000000000007E-2</c:v>
                </c:pt>
                <c:pt idx="12">
                  <c:v>0.22</c:v>
                </c:pt>
                <c:pt idx="13">
                  <c:v>0.12</c:v>
                </c:pt>
                <c:pt idx="14">
                  <c:v>0.35</c:v>
                </c:pt>
                <c:pt idx="15">
                  <c:v>0.3</c:v>
                </c:pt>
                <c:pt idx="16">
                  <c:v>0.14000000000000001</c:v>
                </c:pt>
                <c:pt idx="17">
                  <c:v>0.3</c:v>
                </c:pt>
                <c:pt idx="18">
                  <c:v>0.45</c:v>
                </c:pt>
                <c:pt idx="19">
                  <c:v>0.37</c:v>
                </c:pt>
                <c:pt idx="20">
                  <c:v>0.33</c:v>
                </c:pt>
                <c:pt idx="21">
                  <c:v>0.13</c:v>
                </c:pt>
                <c:pt idx="22">
                  <c:v>0.22</c:v>
                </c:pt>
                <c:pt idx="23">
                  <c:v>0.31</c:v>
                </c:pt>
                <c:pt idx="24">
                  <c:v>0.4</c:v>
                </c:pt>
                <c:pt idx="25">
                  <c:v>0.45</c:v>
                </c:pt>
                <c:pt idx="26">
                  <c:v>0.33</c:v>
                </c:pt>
                <c:pt idx="27">
                  <c:v>0.27243589743589747</c:v>
                </c:pt>
              </c:numCache>
            </c:numRef>
          </c:yVal>
          <c:smooth val="0"/>
          <c:extLst>
            <c:ext xmlns:c15="http://schemas.microsoft.com/office/drawing/2012/chart" uri="{02D57815-91ED-43cb-92C2-25804820EDAC}">
              <c15:datalabelsRange>
                <c15:f>'2022'!$B$4:$B$34</c15:f>
                <c15:dlblRangeCache>
                  <c:ptCount val="31"/>
                  <c:pt idx="0">
                    <c:v>Аустрија</c:v>
                  </c:pt>
                  <c:pt idx="1">
                    <c:v>Белгија</c:v>
                  </c:pt>
                  <c:pt idx="2">
                    <c:v>Бугарска</c:v>
                  </c:pt>
                  <c:pt idx="3">
                    <c:v>Чешка</c:v>
                  </c:pt>
                  <c:pt idx="4">
                    <c:v>Хрватска</c:v>
                  </c:pt>
                  <c:pt idx="5">
                    <c:v>Данска</c:v>
                  </c:pt>
                  <c:pt idx="6">
                    <c:v>Естонија</c:v>
                  </c:pt>
                  <c:pt idx="7">
                    <c:v>Финска</c:v>
                  </c:pt>
                  <c:pt idx="8">
                    <c:v>Француска</c:v>
                  </c:pt>
                  <c:pt idx="9">
                    <c:v>Мађарска</c:v>
                  </c:pt>
                  <c:pt idx="10">
                    <c:v>Ирска</c:v>
                  </c:pt>
                  <c:pt idx="11">
                    <c:v>Италија</c:v>
                  </c:pt>
                  <c:pt idx="12">
                    <c:v>Летонија</c:v>
                  </c:pt>
                  <c:pt idx="13">
                    <c:v>Немачка</c:v>
                  </c:pt>
                  <c:pt idx="14">
                    <c:v>Литванија</c:v>
                  </c:pt>
                  <c:pt idx="15">
                    <c:v>Луксембург</c:v>
                  </c:pt>
                  <c:pt idx="16">
                    <c:v>Малта</c:v>
                  </c:pt>
                  <c:pt idx="17">
                    <c:v>Холандија</c:v>
                  </c:pt>
                  <c:pt idx="18">
                    <c:v>Пољска</c:v>
                  </c:pt>
                  <c:pt idx="19">
                    <c:v>Румунија</c:v>
                  </c:pt>
                  <c:pt idx="20">
                    <c:v>Словачка</c:v>
                  </c:pt>
                  <c:pt idx="21">
                    <c:v>Словенија</c:v>
                  </c:pt>
                  <c:pt idx="22">
                    <c:v>Шпанија</c:v>
                  </c:pt>
                  <c:pt idx="23">
                    <c:v>Шведска</c:v>
                  </c:pt>
                  <c:pt idx="24">
                    <c:v>Кипар</c:v>
                  </c:pt>
                  <c:pt idx="25">
                    <c:v>Грчка</c:v>
                  </c:pt>
                  <c:pt idx="26">
                    <c:v>Португал</c:v>
                  </c:pt>
                  <c:pt idx="27">
                    <c:v>Србија</c:v>
                  </c:pt>
                  <c:pt idx="29">
                    <c:v>Србија 2020</c:v>
                  </c:pt>
                  <c:pt idx="30">
                    <c:v>Србија 2019,2018,2017</c:v>
                  </c:pt>
                </c15:dlblRangeCache>
              </c15:datalabelsRange>
            </c:ext>
            <c:ext xmlns:c16="http://schemas.microsoft.com/office/drawing/2014/chart" uri="{C3380CC4-5D6E-409C-BE32-E72D297353CC}">
              <c16:uniqueId val="{00000020-4550-407C-8E56-A3906B81264C}"/>
            </c:ext>
          </c:extLst>
        </c:ser>
        <c:dLbls>
          <c:showLegendKey val="0"/>
          <c:showVal val="0"/>
          <c:showCatName val="0"/>
          <c:showSerName val="0"/>
          <c:showPercent val="0"/>
          <c:showBubbleSize val="0"/>
        </c:dLbls>
        <c:axId val="2099147520"/>
        <c:axId val="2099146272"/>
      </c:scatterChart>
      <c:valAx>
        <c:axId val="-262788736"/>
        <c:scaling>
          <c:orientation val="minMax"/>
          <c:max val="0.8"/>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sz="800">
                    <a:latin typeface="+mn-lt"/>
                  </a:rPr>
                  <a:t>Фискални подиндекс</a:t>
                </a:r>
                <a:endParaRPr lang="en-US" sz="800">
                  <a:latin typeface="+mn-lt"/>
                </a:endParaRPr>
              </a:p>
            </c:rich>
          </c:tx>
          <c:layout>
            <c:manualLayout>
              <c:xMode val="edge"/>
              <c:yMode val="edge"/>
              <c:x val="0.32836644318138641"/>
              <c:y val="0.9597125002623849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00" sourceLinked="1"/>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62793088"/>
        <c:crosses val="autoZero"/>
        <c:crossBetween val="midCat"/>
      </c:valAx>
      <c:valAx>
        <c:axId val="-262793088"/>
        <c:scaling>
          <c:orientation val="minMax"/>
          <c:max val="0.60000000000000009"/>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sz="800">
                    <a:latin typeface="+mn-lt"/>
                  </a:rPr>
                  <a:t>Подиндекс макро-финансијске конкурентности</a:t>
                </a:r>
                <a:endParaRPr lang="en-US" sz="800">
                  <a:latin typeface="+mn-lt"/>
                </a:endParaRPr>
              </a:p>
            </c:rich>
          </c:tx>
          <c:layout>
            <c:manualLayout>
              <c:xMode val="edge"/>
              <c:yMode val="edge"/>
              <c:x val="7.5251868585250346E-3"/>
              <c:y val="0.15476829195481337"/>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0" sourceLinked="0"/>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62788736"/>
        <c:crosses val="autoZero"/>
        <c:crossBetween val="midCat"/>
      </c:valAx>
      <c:valAx>
        <c:axId val="2099146272"/>
        <c:scaling>
          <c:orientation val="minMax"/>
        </c:scaling>
        <c:delete val="1"/>
        <c:axPos val="r"/>
        <c:numFmt formatCode="#.000" sourceLinked="1"/>
        <c:majorTickMark val="out"/>
        <c:minorTickMark val="none"/>
        <c:tickLblPos val="nextTo"/>
        <c:crossAx val="2099147520"/>
        <c:crosses val="max"/>
        <c:crossBetween val="midCat"/>
      </c:valAx>
      <c:valAx>
        <c:axId val="2099147520"/>
        <c:scaling>
          <c:orientation val="minMax"/>
        </c:scaling>
        <c:delete val="1"/>
        <c:axPos val="t"/>
        <c:numFmt formatCode="#.000" sourceLinked="1"/>
        <c:majorTickMark val="out"/>
        <c:minorTickMark val="none"/>
        <c:tickLblPos val="nextTo"/>
        <c:crossAx val="2099146272"/>
        <c:crosses val="max"/>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plotArea>
      <c:layout>
        <c:manualLayout>
          <c:layoutTarget val="inner"/>
          <c:xMode val="edge"/>
          <c:yMode val="edge"/>
          <c:x val="7.9033714179804967E-2"/>
          <c:y val="5.895698222907321E-2"/>
          <c:w val="0.86085801063022016"/>
          <c:h val="0.67911788804177253"/>
        </c:manualLayout>
      </c:layout>
      <c:barChart>
        <c:barDir val="col"/>
        <c:grouping val="clustered"/>
        <c:varyColors val="0"/>
        <c:ser>
          <c:idx val="0"/>
          <c:order val="0"/>
          <c:tx>
            <c:strRef>
              <c:f>'мемо 2011-2016'!$D$50</c:f>
              <c:strCache>
                <c:ptCount val="1"/>
                <c:pt idx="0">
                  <c:v>дуг</c:v>
                </c:pt>
              </c:strCache>
            </c:strRef>
          </c:tx>
          <c:spPr>
            <a:solidFill>
              <a:schemeClr val="tx2"/>
            </a:solidFill>
          </c:spPr>
          <c:invertIfNegative val="0"/>
          <c:dLbls>
            <c:numFmt formatCode="##,#00" sourceLinked="0"/>
            <c:spPr>
              <a:noFill/>
              <a:ln>
                <a:noFill/>
              </a:ln>
              <a:effectLst/>
            </c:spPr>
            <c:txPr>
              <a:bodyPr/>
              <a:lstStyle/>
              <a:p>
                <a:pPr>
                  <a:defRPr sz="740" b="0" baseline="0">
                    <a:solidFill>
                      <a:schemeClr val="bg1"/>
                    </a:solidFill>
                    <a:latin typeface="Calibri" panose="020F0502020204030204" pitchFamily="34" charset="0"/>
                    <a:cs typeface="Calibri" panose="020F0502020204030204" pitchFamily="34" charset="0"/>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2011-2016'!$J$48:$U$48</c:f>
              <c:numCache>
                <c:formatCode>General</c:formatCode>
                <c:ptCount val="12"/>
                <c:pt idx="0">
                  <c:v>2015</c:v>
                </c:pt>
                <c:pt idx="1">
                  <c:v>2016</c:v>
                </c:pt>
                <c:pt idx="2">
                  <c:v>2017</c:v>
                </c:pt>
                <c:pt idx="3">
                  <c:v>2018</c:v>
                </c:pt>
                <c:pt idx="4">
                  <c:v>2019</c:v>
                </c:pt>
                <c:pt idx="5">
                  <c:v>2020</c:v>
                </c:pt>
                <c:pt idx="6">
                  <c:v>2021</c:v>
                </c:pt>
                <c:pt idx="7">
                  <c:v>2022</c:v>
                </c:pt>
                <c:pt idx="8">
                  <c:v>2023</c:v>
                </c:pt>
                <c:pt idx="9">
                  <c:v>2024</c:v>
                </c:pt>
                <c:pt idx="10">
                  <c:v>2025</c:v>
                </c:pt>
                <c:pt idx="11">
                  <c:v>2026</c:v>
                </c:pt>
              </c:numCache>
            </c:numRef>
          </c:cat>
          <c:val>
            <c:numRef>
              <c:f>'мемо 2011-2016'!$J$50:$U$50</c:f>
              <c:numCache>
                <c:formatCode>##,#00</c:formatCode>
                <c:ptCount val="12"/>
                <c:pt idx="0">
                  <c:v>71.199826125969352</c:v>
                </c:pt>
                <c:pt idx="1">
                  <c:v>68.7</c:v>
                </c:pt>
                <c:pt idx="2">
                  <c:v>58.6</c:v>
                </c:pt>
                <c:pt idx="3" formatCode="#.#00">
                  <c:v>54.353090578805471</c:v>
                </c:pt>
                <c:pt idx="4" formatCode="General">
                  <c:v>52.8</c:v>
                </c:pt>
                <c:pt idx="5" formatCode="General">
                  <c:v>57.8</c:v>
                </c:pt>
                <c:pt idx="6" formatCode="General">
                  <c:v>57.1</c:v>
                </c:pt>
                <c:pt idx="7" formatCode="General">
                  <c:v>55.6</c:v>
                </c:pt>
                <c:pt idx="8" formatCode="General">
                  <c:v>54.3</c:v>
                </c:pt>
                <c:pt idx="9" formatCode="General">
                  <c:v>54</c:v>
                </c:pt>
                <c:pt idx="10" formatCode="General">
                  <c:v>53</c:v>
                </c:pt>
                <c:pt idx="11" formatCode="General">
                  <c:v>51.9</c:v>
                </c:pt>
              </c:numCache>
            </c:numRef>
          </c:val>
          <c:extLst>
            <c:ext xmlns:c16="http://schemas.microsoft.com/office/drawing/2014/chart" uri="{C3380CC4-5D6E-409C-BE32-E72D297353CC}">
              <c16:uniqueId val="{00000000-4D81-49DD-96F1-89CE89E2E5D7}"/>
            </c:ext>
          </c:extLst>
        </c:ser>
        <c:dLbls>
          <c:showLegendKey val="0"/>
          <c:showVal val="0"/>
          <c:showCatName val="0"/>
          <c:showSerName val="0"/>
          <c:showPercent val="0"/>
          <c:showBubbleSize val="0"/>
        </c:dLbls>
        <c:gapWidth val="24"/>
        <c:overlap val="50"/>
        <c:axId val="430644800"/>
        <c:axId val="430645584"/>
      </c:barChart>
      <c:lineChart>
        <c:grouping val="standard"/>
        <c:varyColors val="0"/>
        <c:ser>
          <c:idx val="2"/>
          <c:order val="1"/>
          <c:tx>
            <c:strRef>
              <c:f>'мемо 2011-2016'!$D$49</c:f>
              <c:strCache>
                <c:ptCount val="1"/>
                <c:pt idx="0">
                  <c:v>резултат (десна скала)</c:v>
                </c:pt>
              </c:strCache>
            </c:strRef>
          </c:tx>
          <c:spPr>
            <a:ln>
              <a:solidFill>
                <a:srgbClr val="FF0000"/>
              </a:solidFill>
            </a:ln>
          </c:spPr>
          <c:marker>
            <c:symbol val="none"/>
          </c:marker>
          <c:dLbls>
            <c:dLbl>
              <c:idx val="0"/>
              <c:layout>
                <c:manualLayout>
                  <c:x val="-7.2847769028871398E-2"/>
                  <c:y val="-0.2475398908469774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D81-49DD-96F1-89CE89E2E5D7}"/>
                </c:ext>
              </c:extLst>
            </c:dLbl>
            <c:dLbl>
              <c:idx val="1"/>
              <c:layout>
                <c:manualLayout>
                  <c:x val="9.9363021839251227E-3"/>
                  <c:y val="1.5835084857420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D81-49DD-96F1-89CE89E2E5D7}"/>
                </c:ext>
              </c:extLst>
            </c:dLbl>
            <c:dLbl>
              <c:idx val="2"/>
              <c:layout>
                <c:manualLayout>
                  <c:x val="-4.4832677165354329E-2"/>
                  <c:y val="-6.75142459044471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D81-49DD-96F1-89CE89E2E5D7}"/>
                </c:ext>
              </c:extLst>
            </c:dLbl>
            <c:dLbl>
              <c:idx val="3"/>
              <c:layout>
                <c:manualLayout>
                  <c:x val="7.1653768988248785E-3"/>
                  <c:y val="-1.99203187250996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D81-49DD-96F1-89CE89E2E5D7}"/>
                </c:ext>
              </c:extLst>
            </c:dLbl>
            <c:dLbl>
              <c:idx val="4"/>
              <c:layout>
                <c:manualLayout>
                  <c:x val="-5.6208078156897053E-3"/>
                  <c:y val="3.984085322667999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D81-49DD-96F1-89CE89E2E5D7}"/>
                </c:ext>
              </c:extLst>
            </c:dLbl>
            <c:dLbl>
              <c:idx val="5"/>
              <c:layout>
                <c:manualLayout>
                  <c:x val="-4.5967847769028958E-2"/>
                  <c:y val="-0.246127567387409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D81-49DD-96F1-89CE89E2E5D7}"/>
                </c:ext>
              </c:extLst>
            </c:dLbl>
            <c:dLbl>
              <c:idx val="6"/>
              <c:layout>
                <c:manualLayout>
                  <c:x val="-5.6712233887430741E-2"/>
                  <c:y val="-8.556013831604387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D81-49DD-96F1-89CE89E2E5D7}"/>
                </c:ext>
              </c:extLst>
            </c:dLbl>
            <c:dLbl>
              <c:idx val="7"/>
              <c:layout>
                <c:manualLayout>
                  <c:x val="-5.5885826771653546E-2"/>
                  <c:y val="4.93146689997083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D81-49DD-96F1-89CE89E2E5D7}"/>
                </c:ext>
              </c:extLst>
            </c:dLbl>
            <c:dLbl>
              <c:idx val="8"/>
              <c:layout>
                <c:manualLayout>
                  <c:x val="-5.0925925925926013E-2"/>
                  <c:y val="5.51148699005216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D81-49DD-96F1-89CE89E2E5D7}"/>
                </c:ext>
              </c:extLst>
            </c:dLbl>
            <c:dLbl>
              <c:idx val="9"/>
              <c:layout>
                <c:manualLayout>
                  <c:x val="-7.1177456984543599E-2"/>
                  <c:y val="-4.8500881834215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D81-49DD-96F1-89CE89E2E5D7}"/>
                </c:ext>
              </c:extLst>
            </c:dLbl>
            <c:dLbl>
              <c:idx val="10"/>
              <c:layout>
                <c:manualLayout>
                  <c:x val="-5.4676837747560297E-2"/>
                  <c:y val="-4.46428571428571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D81-49DD-96F1-89CE89E2E5D7}"/>
                </c:ext>
              </c:extLst>
            </c:dLbl>
            <c:dLbl>
              <c:idx val="11"/>
              <c:layout>
                <c:manualLayout>
                  <c:x val="-4.1666666666666664E-2"/>
                  <c:y val="3.52733686067019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4D81-49DD-96F1-89CE89E2E5D7}"/>
                </c:ext>
              </c:extLst>
            </c:dLbl>
            <c:numFmt formatCode="##,#00" sourceLinked="0"/>
            <c:spPr>
              <a:noFill/>
              <a:ln>
                <a:noFill/>
              </a:ln>
              <a:effectLst/>
            </c:spPr>
            <c:txPr>
              <a:bodyPr wrap="square" lIns="38100" tIns="19050" rIns="38100" bIns="19050" anchor="ctr">
                <a:spAutoFit/>
              </a:bodyPr>
              <a:lstStyle/>
              <a:p>
                <a:pPr>
                  <a:defRPr sz="800" baseline="0">
                    <a:solidFill>
                      <a:sysClr val="windowText" lastClr="000000"/>
                    </a:solidFill>
                    <a:latin typeface="Calibri" panose="020F0502020204030204" pitchFamily="34" charset="0"/>
                    <a:cs typeface="Calibri" panose="020F0502020204030204"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2011-2016'!$J$49:$U$49</c:f>
              <c:numCache>
                <c:formatCode>##,#00</c:formatCode>
                <c:ptCount val="12"/>
                <c:pt idx="0">
                  <c:v>-3.4574923786243579</c:v>
                </c:pt>
                <c:pt idx="1">
                  <c:v>-1.1977763417297731</c:v>
                </c:pt>
                <c:pt idx="2">
                  <c:v>1.099509271415023</c:v>
                </c:pt>
                <c:pt idx="3" formatCode="#.#00">
                  <c:v>0.63691314414627054</c:v>
                </c:pt>
                <c:pt idx="4">
                  <c:v>-0.2</c:v>
                </c:pt>
                <c:pt idx="5">
                  <c:v>-8</c:v>
                </c:pt>
                <c:pt idx="6">
                  <c:v>-4.0999999999999996</c:v>
                </c:pt>
                <c:pt idx="7">
                  <c:v>-3.2</c:v>
                </c:pt>
                <c:pt idx="8" formatCode="General">
                  <c:v>-3</c:v>
                </c:pt>
                <c:pt idx="9" formatCode="General">
                  <c:v>-2.2000000000000002</c:v>
                </c:pt>
                <c:pt idx="10" formatCode="General">
                  <c:v>-1.5</c:v>
                </c:pt>
                <c:pt idx="11" formatCode="General">
                  <c:v>-1.5</c:v>
                </c:pt>
              </c:numCache>
            </c:numRef>
          </c:val>
          <c:smooth val="1"/>
          <c:extLst>
            <c:ext xmlns:c16="http://schemas.microsoft.com/office/drawing/2014/chart" uri="{C3380CC4-5D6E-409C-BE32-E72D297353CC}">
              <c16:uniqueId val="{0000000C-4D81-49DD-96F1-89CE89E2E5D7}"/>
            </c:ext>
          </c:extLst>
        </c:ser>
        <c:ser>
          <c:idx val="1"/>
          <c:order val="2"/>
          <c:tx>
            <c:strRef>
              <c:f>'мемо 2011-2016'!$D$51</c:f>
              <c:strCache>
                <c:ptCount val="1"/>
                <c:pt idx="0">
                  <c:v>баланс</c:v>
                </c:pt>
              </c:strCache>
            </c:strRef>
          </c:tx>
          <c:spPr>
            <a:ln w="22225">
              <a:solidFill>
                <a:schemeClr val="tx1"/>
              </a:solidFill>
            </a:ln>
          </c:spPr>
          <c:marker>
            <c:symbol val="none"/>
          </c:marker>
          <c:val>
            <c:numRef>
              <c:f>'мемо 2011-2016'!$J$51:$U$51</c:f>
              <c:numCache>
                <c:formatCode>##,#00</c:formatCode>
                <c:ptCount val="12"/>
                <c:pt idx="0">
                  <c:v>0</c:v>
                </c:pt>
                <c:pt idx="1">
                  <c:v>0</c:v>
                </c:pt>
                <c:pt idx="2">
                  <c:v>0</c:v>
                </c:pt>
                <c:pt idx="3">
                  <c:v>0</c:v>
                </c:pt>
                <c:pt idx="4">
                  <c:v>0</c:v>
                </c:pt>
                <c:pt idx="5">
                  <c:v>0</c:v>
                </c:pt>
                <c:pt idx="6">
                  <c:v>0</c:v>
                </c:pt>
                <c:pt idx="7">
                  <c:v>0</c:v>
                </c:pt>
                <c:pt idx="8" formatCode="General">
                  <c:v>0</c:v>
                </c:pt>
                <c:pt idx="9" formatCode="General">
                  <c:v>0</c:v>
                </c:pt>
                <c:pt idx="10" formatCode="General">
                  <c:v>0</c:v>
                </c:pt>
                <c:pt idx="11" formatCode="General">
                  <c:v>0</c:v>
                </c:pt>
              </c:numCache>
            </c:numRef>
          </c:val>
          <c:smooth val="0"/>
          <c:extLst>
            <c:ext xmlns:c16="http://schemas.microsoft.com/office/drawing/2014/chart" uri="{C3380CC4-5D6E-409C-BE32-E72D297353CC}">
              <c16:uniqueId val="{0000000D-4D81-49DD-96F1-89CE89E2E5D7}"/>
            </c:ext>
          </c:extLst>
        </c:ser>
        <c:dLbls>
          <c:showLegendKey val="0"/>
          <c:showVal val="0"/>
          <c:showCatName val="0"/>
          <c:showSerName val="0"/>
          <c:showPercent val="0"/>
          <c:showBubbleSize val="0"/>
        </c:dLbls>
        <c:marker val="1"/>
        <c:smooth val="0"/>
        <c:axId val="426079336"/>
        <c:axId val="426078160"/>
      </c:lineChart>
      <c:catAx>
        <c:axId val="430644800"/>
        <c:scaling>
          <c:orientation val="minMax"/>
        </c:scaling>
        <c:delete val="0"/>
        <c:axPos val="b"/>
        <c:numFmt formatCode="General" sourceLinked="1"/>
        <c:majorTickMark val="out"/>
        <c:minorTickMark val="none"/>
        <c:tickLblPos val="nextTo"/>
        <c:spPr>
          <a:ln>
            <a:noFill/>
          </a:ln>
        </c:spPr>
        <c:txPr>
          <a:bodyPr/>
          <a:lstStyle/>
          <a:p>
            <a:pPr>
              <a:defRPr sz="800" baseline="0">
                <a:latin typeface="+mn-lt"/>
              </a:defRPr>
            </a:pPr>
            <a:endParaRPr lang="sr-Latn-RS"/>
          </a:p>
        </c:txPr>
        <c:crossAx val="430645584"/>
        <c:crossesAt val="0"/>
        <c:auto val="1"/>
        <c:lblAlgn val="ctr"/>
        <c:lblOffset val="100"/>
        <c:noMultiLvlLbl val="0"/>
      </c:catAx>
      <c:valAx>
        <c:axId val="430645584"/>
        <c:scaling>
          <c:orientation val="minMax"/>
          <c:max val="80"/>
          <c:min val="40"/>
        </c:scaling>
        <c:delete val="0"/>
        <c:axPos val="l"/>
        <c:majorGridlines>
          <c:spPr>
            <a:ln>
              <a:noFill/>
            </a:ln>
          </c:spPr>
        </c:majorGridlines>
        <c:numFmt formatCode="#,##0" sourceLinked="0"/>
        <c:majorTickMark val="out"/>
        <c:minorTickMark val="none"/>
        <c:tickLblPos val="nextTo"/>
        <c:spPr>
          <a:ln>
            <a:noFill/>
          </a:ln>
        </c:spPr>
        <c:txPr>
          <a:bodyPr/>
          <a:lstStyle/>
          <a:p>
            <a:pPr>
              <a:defRPr sz="800" baseline="0">
                <a:solidFill>
                  <a:sysClr val="windowText" lastClr="000000"/>
                </a:solidFill>
                <a:latin typeface="+mn-lt"/>
              </a:defRPr>
            </a:pPr>
            <a:endParaRPr lang="sr-Latn-RS"/>
          </a:p>
        </c:txPr>
        <c:crossAx val="430644800"/>
        <c:crosses val="autoZero"/>
        <c:crossBetween val="between"/>
        <c:majorUnit val="5"/>
      </c:valAx>
      <c:valAx>
        <c:axId val="426078160"/>
        <c:scaling>
          <c:orientation val="minMax"/>
        </c:scaling>
        <c:delete val="0"/>
        <c:axPos val="r"/>
        <c:numFmt formatCode="#,##0" sourceLinked="0"/>
        <c:majorTickMark val="out"/>
        <c:minorTickMark val="none"/>
        <c:tickLblPos val="nextTo"/>
        <c:spPr>
          <a:ln>
            <a:noFill/>
          </a:ln>
        </c:spPr>
        <c:txPr>
          <a:bodyPr/>
          <a:lstStyle/>
          <a:p>
            <a:pPr>
              <a:defRPr sz="800" baseline="0">
                <a:latin typeface="Calibri" panose="020F0502020204030204" pitchFamily="34" charset="0"/>
                <a:cs typeface="Calibri" panose="020F0502020204030204" pitchFamily="34" charset="0"/>
              </a:defRPr>
            </a:pPr>
            <a:endParaRPr lang="sr-Latn-RS"/>
          </a:p>
        </c:txPr>
        <c:crossAx val="426079336"/>
        <c:crosses val="max"/>
        <c:crossBetween val="between"/>
      </c:valAx>
      <c:catAx>
        <c:axId val="426079336"/>
        <c:scaling>
          <c:orientation val="minMax"/>
        </c:scaling>
        <c:delete val="1"/>
        <c:axPos val="b"/>
        <c:majorTickMark val="out"/>
        <c:minorTickMark val="none"/>
        <c:tickLblPos val="nextTo"/>
        <c:crossAx val="426078160"/>
        <c:crosses val="autoZero"/>
        <c:auto val="1"/>
        <c:lblAlgn val="ctr"/>
        <c:lblOffset val="100"/>
        <c:noMultiLvlLbl val="0"/>
      </c:catAx>
      <c:spPr>
        <a:noFill/>
        <a:ln>
          <a:noFill/>
        </a:ln>
      </c:spPr>
    </c:plotArea>
    <c:legend>
      <c:legendPos val="b"/>
      <c:overlay val="0"/>
      <c:txPr>
        <a:bodyPr/>
        <a:lstStyle/>
        <a:p>
          <a:pPr>
            <a:defRPr sz="800" baseline="0">
              <a:latin typeface="Calibri" panose="020F0502020204030204" pitchFamily="34" charset="0"/>
            </a:defRPr>
          </a:pPr>
          <a:endParaRPr lang="sr-Latn-RS"/>
        </a:p>
      </c:txPr>
    </c:legend>
    <c:plotVisOnly val="1"/>
    <c:dispBlanksAs val="gap"/>
    <c:showDLblsOverMax val="0"/>
  </c:chart>
  <c:spPr>
    <a:ln>
      <a:noFill/>
    </a:ln>
  </c:spPr>
  <c:txPr>
    <a:bodyPr/>
    <a:lstStyle/>
    <a:p>
      <a:pPr>
        <a:defRPr sz="900" baseline="0">
          <a:latin typeface="Cambria Math" pitchFamily="18" charset="0"/>
        </a:defRPr>
      </a:pPr>
      <a:endParaRPr lang="sr-Latn-RS"/>
    </a:p>
  </c:txPr>
  <c:externalData r:id="rId1">
    <c:autoUpdate val="0"/>
  </c:externalData>
  <c:userShapes r:id="rId2"/>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720" b="0" i="0" u="none" strike="noStrike" kern="1200" spc="0" baseline="0">
                <a:solidFill>
                  <a:schemeClr val="tx2"/>
                </a:solidFill>
                <a:latin typeface="+mn-lt"/>
                <a:ea typeface="+mn-ea"/>
                <a:cs typeface="+mn-cs"/>
              </a:defRPr>
            </a:pPr>
            <a:endParaRPr lang="sr-Cyrl-RS"/>
          </a:p>
        </c:rich>
      </c:tx>
      <c:overlay val="0"/>
      <c:spPr>
        <a:noFill/>
        <a:ln>
          <a:noFill/>
        </a:ln>
        <a:effectLst/>
      </c:spPr>
      <c:txPr>
        <a:bodyPr rot="0" spcFirstLastPara="1" vertOverflow="ellipsis" vert="horz" wrap="square" anchor="ctr" anchorCtr="1"/>
        <a:lstStyle/>
        <a:p>
          <a:pPr>
            <a:defRPr sz="720" b="0" i="0" u="none" strike="noStrike" kern="1200" spc="0" baseline="0">
              <a:solidFill>
                <a:schemeClr val="tx2"/>
              </a:solidFill>
              <a:latin typeface="+mn-lt"/>
              <a:ea typeface="+mn-ea"/>
              <a:cs typeface="+mn-cs"/>
            </a:defRPr>
          </a:pPr>
          <a:endParaRPr lang="sr-Latn-RS"/>
        </a:p>
      </c:txPr>
    </c:title>
    <c:autoTitleDeleted val="0"/>
    <c:plotArea>
      <c:layout>
        <c:manualLayout>
          <c:layoutTarget val="inner"/>
          <c:xMode val="edge"/>
          <c:yMode val="edge"/>
          <c:x val="0.11182636685339706"/>
          <c:y val="0.11412037037037037"/>
          <c:w val="0.84256832634726631"/>
          <c:h val="0.61658829104695245"/>
        </c:manualLayout>
      </c:layout>
      <c:lineChart>
        <c:grouping val="standard"/>
        <c:varyColors val="0"/>
        <c:ser>
          <c:idx val="2"/>
          <c:order val="2"/>
          <c:tx>
            <c:strRef>
              <c:f>'Графикон 1а'!$E$3</c:f>
              <c:strCache>
                <c:ptCount val="1"/>
                <c:pt idx="0">
                  <c:v>Учешће индиректног дуга у укупном јавном дугу (%)</c:v>
                </c:pt>
              </c:strCache>
            </c:strRef>
          </c:tx>
          <c:spPr>
            <a:ln w="15875" cap="rnd">
              <a:solidFill>
                <a:schemeClr val="accent5"/>
              </a:solidFill>
              <a:round/>
            </a:ln>
            <a:effectLst/>
          </c:spPr>
          <c:marker>
            <c:symbol val="circle"/>
            <c:size val="3"/>
            <c:spPr>
              <a:solidFill>
                <a:schemeClr val="accent5"/>
              </a:solidFill>
              <a:ln w="3175">
                <a:solidFill>
                  <a:schemeClr val="accent5"/>
                </a:solidFill>
              </a:ln>
              <a:effectLst/>
            </c:spPr>
          </c:marker>
          <c:dLbls>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'Графикон 1а'!$B$4:$B$12</c:f>
              <c:strCache>
                <c:ptCount val="9"/>
                <c:pt idx="0">
                  <c:v>2015</c:v>
                </c:pt>
                <c:pt idx="1">
                  <c:v>2016</c:v>
                </c:pt>
                <c:pt idx="2">
                  <c:v>2017</c:v>
                </c:pt>
                <c:pt idx="3">
                  <c:v>2018</c:v>
                </c:pt>
                <c:pt idx="4">
                  <c:v>2019</c:v>
                </c:pt>
                <c:pt idx="5">
                  <c:v>2020</c:v>
                </c:pt>
                <c:pt idx="6">
                  <c:v>2021</c:v>
                </c:pt>
                <c:pt idx="7">
                  <c:v>2022</c:v>
                </c:pt>
                <c:pt idx="8">
                  <c:v>31.03.2023.</c:v>
                </c:pt>
              </c:strCache>
            </c:strRef>
          </c:cat>
          <c:val>
            <c:numRef>
              <c:f>'Графикон 1а'!$E$4:$E$12</c:f>
              <c:numCache>
                <c:formatCode>#.#00%</c:formatCode>
                <c:ptCount val="9"/>
                <c:pt idx="0">
                  <c:v>9.4899104808064988E-2</c:v>
                </c:pt>
                <c:pt idx="1">
                  <c:v>8.511191075345316E-2</c:v>
                </c:pt>
                <c:pt idx="2">
                  <c:v>7.4846461106681306E-2</c:v>
                </c:pt>
                <c:pt idx="3">
                  <c:v>6.5330701538416705E-2</c:v>
                </c:pt>
                <c:pt idx="4">
                  <c:v>6.1105887896482892E-2</c:v>
                </c:pt>
                <c:pt idx="5">
                  <c:v>5.2600687469211274E-2</c:v>
                </c:pt>
                <c:pt idx="6">
                  <c:v>4.5373884107775889E-2</c:v>
                </c:pt>
                <c:pt idx="7">
                  <c:v>4.5966213255720076E-2</c:v>
                </c:pt>
                <c:pt idx="8">
                  <c:v>4.5985173186093735E-2</c:v>
                </c:pt>
              </c:numCache>
            </c:numRef>
          </c:val>
          <c:smooth val="0"/>
          <c:extLst>
            <c:ext xmlns:c16="http://schemas.microsoft.com/office/drawing/2014/chart" uri="{C3380CC4-5D6E-409C-BE32-E72D297353CC}">
              <c16:uniqueId val="{00000000-7989-4176-96F7-06934FBE8CAD}"/>
            </c:ext>
          </c:extLst>
        </c:ser>
        <c:dLbls>
          <c:dLblPos val="t"/>
          <c:showLegendKey val="0"/>
          <c:showVal val="1"/>
          <c:showCatName val="0"/>
          <c:showSerName val="0"/>
          <c:showPercent val="0"/>
          <c:showBubbleSize val="0"/>
        </c:dLbls>
        <c:marker val="1"/>
        <c:smooth val="0"/>
        <c:axId val="640768464"/>
        <c:axId val="640765552"/>
        <c:extLst>
          <c:ext xmlns:c15="http://schemas.microsoft.com/office/drawing/2012/chart" uri="{02D57815-91ED-43cb-92C2-25804820EDAC}">
            <c15:filteredLineSeries>
              <c15:ser>
                <c:idx val="0"/>
                <c:order val="0"/>
                <c:tx>
                  <c:strRef>
                    <c:extLst>
                      <c:ext uri="{02D57815-91ED-43cb-92C2-25804820EDAC}">
                        <c15:formulaRef>
                          <c15:sqref>'Графикон 1а'!$C$3</c15:sqref>
                        </c15:formulaRef>
                      </c:ext>
                    </c:extLst>
                    <c:strCache>
                      <c:ptCount val="1"/>
                      <c:pt idx="0">
                        <c:v>Укупне индиректне обавезе</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2"/>
                          </a:solidFill>
                          <a:latin typeface="+mn-lt"/>
                          <a:ea typeface="+mn-ea"/>
                          <a:cs typeface="+mn-cs"/>
                        </a:defRPr>
                      </a:pPr>
                      <a:endParaRPr lang="sr-Latn-RS"/>
                    </a:p>
                  </c:txPr>
                  <c:dLblPos val="t"/>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'Графикон 1а'!$B$4:$B$12</c15:sqref>
                        </c15:formulaRef>
                      </c:ext>
                    </c:extLst>
                    <c:strCache>
                      <c:ptCount val="9"/>
                      <c:pt idx="0">
                        <c:v>2015</c:v>
                      </c:pt>
                      <c:pt idx="1">
                        <c:v>2016</c:v>
                      </c:pt>
                      <c:pt idx="2">
                        <c:v>2017</c:v>
                      </c:pt>
                      <c:pt idx="3">
                        <c:v>2018</c:v>
                      </c:pt>
                      <c:pt idx="4">
                        <c:v>2019</c:v>
                      </c:pt>
                      <c:pt idx="5">
                        <c:v>2020</c:v>
                      </c:pt>
                      <c:pt idx="6">
                        <c:v>2021</c:v>
                      </c:pt>
                      <c:pt idx="7">
                        <c:v>2022</c:v>
                      </c:pt>
                      <c:pt idx="8">
                        <c:v>31.03.2023.</c:v>
                      </c:pt>
                    </c:strCache>
                  </c:strRef>
                </c:cat>
                <c:val>
                  <c:numRef>
                    <c:extLst>
                      <c:ext uri="{02D57815-91ED-43cb-92C2-25804820EDAC}">
                        <c15:formulaRef>
                          <c15:sqref>'Графикон 1а'!$C$4:$C$12</c15:sqref>
                        </c15:formulaRef>
                      </c:ext>
                    </c:extLst>
                    <c:numCache>
                      <c:formatCode>#,##0</c:formatCode>
                      <c:ptCount val="9"/>
                      <c:pt idx="0">
                        <c:v>2397160544.5766659</c:v>
                      </c:pt>
                      <c:pt idx="1">
                        <c:v>2144334522</c:v>
                      </c:pt>
                      <c:pt idx="2">
                        <c:v>1762930209</c:v>
                      </c:pt>
                      <c:pt idx="3">
                        <c:v>1524063240</c:v>
                      </c:pt>
                      <c:pt idx="4">
                        <c:v>1488224891</c:v>
                      </c:pt>
                      <c:pt idx="5">
                        <c:v>1423153551</c:v>
                      </c:pt>
                      <c:pt idx="6">
                        <c:v>1382171362</c:v>
                      </c:pt>
                      <c:pt idx="7">
                        <c:v>1545943015</c:v>
                      </c:pt>
                      <c:pt idx="8">
                        <c:v>1634680258</c:v>
                      </c:pt>
                    </c:numCache>
                  </c:numRef>
                </c:val>
                <c:smooth val="0"/>
                <c:extLst>
                  <c:ext xmlns:c16="http://schemas.microsoft.com/office/drawing/2014/chart" uri="{C3380CC4-5D6E-409C-BE32-E72D297353CC}">
                    <c16:uniqueId val="{00000001-7989-4176-96F7-06934FBE8CAD}"/>
                  </c:ext>
                </c:extLst>
              </c15:ser>
            </c15:filteredLineSeries>
            <c15:filteredLineSeries>
              <c15:ser>
                <c:idx val="1"/>
                <c:order val="1"/>
                <c:tx>
                  <c:strRef>
                    <c:extLst xmlns:c15="http://schemas.microsoft.com/office/drawing/2012/chart">
                      <c:ext xmlns:c15="http://schemas.microsoft.com/office/drawing/2012/chart" uri="{02D57815-91ED-43cb-92C2-25804820EDAC}">
                        <c15:formulaRef>
                          <c15:sqref>'Графикон 1а'!$D$3</c15:sqref>
                        </c15:formulaRef>
                      </c:ext>
                    </c:extLst>
                    <c:strCache>
                      <c:ptCount val="1"/>
                      <c:pt idx="0">
                        <c:v>Стање јавног дуга општег нивоа државе</c:v>
                      </c:pt>
                    </c:strCache>
                  </c:strRef>
                </c:tx>
                <c:spPr>
                  <a:ln w="28575"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2"/>
                          </a:solidFill>
                          <a:latin typeface="+mn-lt"/>
                          <a:ea typeface="+mn-ea"/>
                          <a:cs typeface="+mn-cs"/>
                        </a:defRPr>
                      </a:pPr>
                      <a:endParaRPr lang="sr-Latn-RS"/>
                    </a:p>
                  </c:txPr>
                  <c:dLblPos val="t"/>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'Графикон 1а'!$B$4:$B$12</c15:sqref>
                        </c15:formulaRef>
                      </c:ext>
                    </c:extLst>
                    <c:strCache>
                      <c:ptCount val="9"/>
                      <c:pt idx="0">
                        <c:v>2015</c:v>
                      </c:pt>
                      <c:pt idx="1">
                        <c:v>2016</c:v>
                      </c:pt>
                      <c:pt idx="2">
                        <c:v>2017</c:v>
                      </c:pt>
                      <c:pt idx="3">
                        <c:v>2018</c:v>
                      </c:pt>
                      <c:pt idx="4">
                        <c:v>2019</c:v>
                      </c:pt>
                      <c:pt idx="5">
                        <c:v>2020</c:v>
                      </c:pt>
                      <c:pt idx="6">
                        <c:v>2021</c:v>
                      </c:pt>
                      <c:pt idx="7">
                        <c:v>2022</c:v>
                      </c:pt>
                      <c:pt idx="8">
                        <c:v>31.03.2023.</c:v>
                      </c:pt>
                    </c:strCache>
                  </c:strRef>
                </c:cat>
                <c:val>
                  <c:numRef>
                    <c:extLst xmlns:c15="http://schemas.microsoft.com/office/drawing/2012/chart">
                      <c:ext xmlns:c15="http://schemas.microsoft.com/office/drawing/2012/chart" uri="{02D57815-91ED-43cb-92C2-25804820EDAC}">
                        <c15:formulaRef>
                          <c15:sqref>'Графикон 1а'!$D$4:$D$12</c15:sqref>
                        </c15:formulaRef>
                      </c:ext>
                    </c:extLst>
                    <c:numCache>
                      <c:formatCode>##,#00</c:formatCode>
                      <c:ptCount val="9"/>
                      <c:pt idx="0">
                        <c:v>25260096493.270012</c:v>
                      </c:pt>
                      <c:pt idx="1">
                        <c:v>25194294230</c:v>
                      </c:pt>
                      <c:pt idx="2">
                        <c:v>23553955430</c:v>
                      </c:pt>
                      <c:pt idx="3">
                        <c:v>23328438301</c:v>
                      </c:pt>
                      <c:pt idx="4">
                        <c:v>24354852572</c:v>
                      </c:pt>
                      <c:pt idx="5" formatCode="#,##0">
                        <c:v>27055797547</c:v>
                      </c:pt>
                      <c:pt idx="6" formatCode="#,##0">
                        <c:v>30461825986</c:v>
                      </c:pt>
                      <c:pt idx="7">
                        <c:v>33632159482</c:v>
                      </c:pt>
                      <c:pt idx="8">
                        <c:v>35547985247</c:v>
                      </c:pt>
                    </c:numCache>
                  </c:numRef>
                </c:val>
                <c:smooth val="0"/>
                <c:extLst xmlns:c15="http://schemas.microsoft.com/office/drawing/2012/chart">
                  <c:ext xmlns:c16="http://schemas.microsoft.com/office/drawing/2014/chart" uri="{C3380CC4-5D6E-409C-BE32-E72D297353CC}">
                    <c16:uniqueId val="{00000002-7989-4176-96F7-06934FBE8CAD}"/>
                  </c:ext>
                </c:extLst>
              </c15:ser>
            </c15:filteredLineSeries>
          </c:ext>
        </c:extLst>
      </c:lineChart>
      <c:catAx>
        <c:axId val="640768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crossAx val="640765552"/>
        <c:crosses val="autoZero"/>
        <c:auto val="1"/>
        <c:lblAlgn val="ctr"/>
        <c:lblOffset val="100"/>
        <c:noMultiLvlLbl val="0"/>
      </c:catAx>
      <c:valAx>
        <c:axId val="64076555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crossAx val="6407684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600" baseline="0">
          <a:solidFill>
            <a:schemeClr val="tx2"/>
          </a:solidFill>
        </a:defRPr>
      </a:pPr>
      <a:endParaRPr lang="sr-Latn-RS"/>
    </a:p>
  </c:txPr>
  <c:externalData r:id="rId3">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8.5694963929646942E-2"/>
          <c:y val="5.8459775861350663E-2"/>
          <c:w val="0.89742630688838176"/>
          <c:h val="0.72252618511373012"/>
        </c:manualLayout>
      </c:layout>
      <c:areaChart>
        <c:grouping val="stacked"/>
        <c:varyColors val="0"/>
        <c:ser>
          <c:idx val="2"/>
          <c:order val="2"/>
          <c:tx>
            <c:strRef>
              <c:f>'Grafikoni, CAB, Karakter'!$G$10</c:f>
              <c:strCache>
                <c:ptCount val="1"/>
                <c:pt idx="0">
                  <c:v>Производни јаз </c:v>
                </c:pt>
              </c:strCache>
            </c:strRef>
          </c:tx>
          <c:spPr>
            <a:solidFill>
              <a:srgbClr val="29489A"/>
            </a:solidFill>
            <a:ln w="9525" cap="rnd" cmpd="sng" algn="ctr">
              <a:solidFill>
                <a:srgbClr val="29489A"/>
              </a:solidFill>
              <a:prstDash val="solid"/>
              <a:round/>
            </a:ln>
            <a:effectLst/>
          </c:spPr>
          <c:cat>
            <c:numRef>
              <c:f>'Grafikoni, CAB, Karakter'!$F$11:$F$23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Karakter'!$G$11:$G$29,'Grafikoni, CAB, Karakter'!$G$30,'Grafikoni, CAB, Karakter'!$G$31,'Grafikoni, CAB, Karakter'!$G$32)</c:f>
              <c:numCache>
                <c:formatCode>##,#00</c:formatCode>
                <c:ptCount val="22"/>
                <c:pt idx="0">
                  <c:v>3.4939700056136114E-2</c:v>
                </c:pt>
                <c:pt idx="1">
                  <c:v>-2.6619053793972429</c:v>
                </c:pt>
                <c:pt idx="2">
                  <c:v>0.76812862294504969</c:v>
                </c:pt>
                <c:pt idx="3">
                  <c:v>4.0526986593397076</c:v>
                </c:pt>
                <c:pt idx="4">
                  <c:v>-0.38424097524819123</c:v>
                </c:pt>
                <c:pt idx="5">
                  <c:v>-0.71564661276400632</c:v>
                </c:pt>
                <c:pt idx="6">
                  <c:v>0.51942012705998486</c:v>
                </c:pt>
                <c:pt idx="7">
                  <c:v>-0.84768853901090824</c:v>
                </c:pt>
                <c:pt idx="8">
                  <c:v>1.218732135422478</c:v>
                </c:pt>
                <c:pt idx="9">
                  <c:v>-1.4453968611448935</c:v>
                </c:pt>
                <c:pt idx="10">
                  <c:v>-1.2148203099030777</c:v>
                </c:pt>
                <c:pt idx="11">
                  <c:v>-7.5925919408159126E-2</c:v>
                </c:pt>
                <c:pt idx="12">
                  <c:v>-0.63438597309396705</c:v>
                </c:pt>
                <c:pt idx="13">
                  <c:v>0.77314207033720339</c:v>
                </c:pt>
                <c:pt idx="14">
                  <c:v>1.8693712852330144</c:v>
                </c:pt>
                <c:pt idx="15">
                  <c:v>-2.2641513799372359</c:v>
                </c:pt>
                <c:pt idx="16">
                  <c:v>1.6664405616076201</c:v>
                </c:pt>
                <c:pt idx="17">
                  <c:v>0.53149033122091038</c:v>
                </c:pt>
                <c:pt idx="18">
                  <c:v>-0.38258667446345612</c:v>
                </c:pt>
                <c:pt idx="19">
                  <c:v>-0.52513086112005314</c:v>
                </c:pt>
                <c:pt idx="20">
                  <c:v>-0.27063652537719057</c:v>
                </c:pt>
                <c:pt idx="21">
                  <c:v>0.10926246852034414</c:v>
                </c:pt>
              </c:numCache>
            </c:numRef>
          </c:val>
          <c:extLst>
            <c:ext xmlns:c16="http://schemas.microsoft.com/office/drawing/2014/chart" uri="{C3380CC4-5D6E-409C-BE32-E72D297353CC}">
              <c16:uniqueId val="{00000000-1FC1-455C-B3F0-FA6A33C51B5D}"/>
            </c:ext>
          </c:extLst>
        </c:ser>
        <c:dLbls>
          <c:showLegendKey val="0"/>
          <c:showVal val="0"/>
          <c:showCatName val="0"/>
          <c:showSerName val="0"/>
          <c:showPercent val="0"/>
          <c:showBubbleSize val="0"/>
        </c:dLbls>
        <c:axId val="342946768"/>
        <c:axId val="410610880"/>
      </c:areaChart>
      <c:lineChart>
        <c:grouping val="standard"/>
        <c:varyColors val="0"/>
        <c:ser>
          <c:idx val="0"/>
          <c:order val="0"/>
          <c:tx>
            <c:strRef>
              <c:f>'Grafikoni, CAB, Karakter'!$H$10</c:f>
              <c:strCache>
                <c:ptCount val="1"/>
                <c:pt idx="0">
                  <c:v>Фискални 
биланс</c:v>
                </c:pt>
              </c:strCache>
            </c:strRef>
          </c:tx>
          <c:spPr>
            <a:ln w="19050" cap="rnd" cmpd="sng" algn="ctr">
              <a:solidFill>
                <a:schemeClr val="accent3">
                  <a:shade val="53000"/>
                  <a:shade val="95000"/>
                  <a:satMod val="105000"/>
                </a:schemeClr>
              </a:solidFill>
              <a:prstDash val="solid"/>
              <a:round/>
            </a:ln>
            <a:effectLst/>
          </c:spPr>
          <c:marker>
            <c:symbol val="none"/>
          </c:marker>
          <c:cat>
            <c:numRef>
              <c:f>('Grafikoni, CAB, Karakter'!$F$11:$F$29,'Grafikoni, CAB, Karakter'!$F$30,'Grafikoni, CAB, Karakter'!$F$31,'Grafikoni, CAB, Karakter'!$F$32)</c:f>
              <c:numCache>
                <c:formatCode>General</c:formatCode>
                <c:ptCount val="22"/>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numCache>
            </c:numRef>
          </c:cat>
          <c:val>
            <c:numRef>
              <c:f>('Grafikoni, CAB, Karakter'!$H$11:$H$29,'Grafikoni, CAB, Karakter'!$H$30,'Grafikoni, CAB, Karakter'!$H$31,'Grafikoni, CAB, Karakter'!$H$32)</c:f>
              <c:numCache>
                <c:formatCode>##,#00</c:formatCode>
                <c:ptCount val="22"/>
                <c:pt idx="0">
                  <c:v>1.1229513642911615</c:v>
                </c:pt>
                <c:pt idx="1">
                  <c:v>-1.3968057642647593</c:v>
                </c:pt>
                <c:pt idx="2">
                  <c:v>-1.7846058996685674</c:v>
                </c:pt>
                <c:pt idx="3">
                  <c:v>-2.4768975856092812</c:v>
                </c:pt>
                <c:pt idx="4">
                  <c:v>-4.1655024905891214</c:v>
                </c:pt>
                <c:pt idx="5">
                  <c:v>-4.3381740101726747</c:v>
                </c:pt>
                <c:pt idx="6">
                  <c:v>-4.5257988775356361</c:v>
                </c:pt>
                <c:pt idx="7">
                  <c:v>-6.4352841344073424</c:v>
                </c:pt>
                <c:pt idx="8">
                  <c:v>-5.1464767188637195</c:v>
                </c:pt>
                <c:pt idx="9">
                  <c:v>-6.2041437165115507</c:v>
                </c:pt>
                <c:pt idx="10">
                  <c:v>-3.4561672728767112</c:v>
                </c:pt>
                <c:pt idx="11">
                  <c:v>-1.1926941660681765</c:v>
                </c:pt>
                <c:pt idx="12">
                  <c:v>1.0986349345465762</c:v>
                </c:pt>
                <c:pt idx="13">
                  <c:v>0.63523655395945411</c:v>
                </c:pt>
                <c:pt idx="14">
                  <c:v>-0.20497664525511922</c:v>
                </c:pt>
                <c:pt idx="15">
                  <c:v>-8.0441635730355401</c:v>
                </c:pt>
                <c:pt idx="16">
                  <c:v>-4.1369458955187222</c:v>
                </c:pt>
                <c:pt idx="17">
                  <c:v>-3.1709662073615501</c:v>
                </c:pt>
                <c:pt idx="18">
                  <c:v>-3</c:v>
                </c:pt>
                <c:pt idx="19">
                  <c:v>-2.2000000000000002</c:v>
                </c:pt>
                <c:pt idx="20">
                  <c:v>-1.5</c:v>
                </c:pt>
                <c:pt idx="21">
                  <c:v>-1.5</c:v>
                </c:pt>
              </c:numCache>
            </c:numRef>
          </c:val>
          <c:smooth val="0"/>
          <c:extLst>
            <c:ext xmlns:c16="http://schemas.microsoft.com/office/drawing/2014/chart" uri="{C3380CC4-5D6E-409C-BE32-E72D297353CC}">
              <c16:uniqueId val="{00000001-1FC1-455C-B3F0-FA6A33C51B5D}"/>
            </c:ext>
          </c:extLst>
        </c:ser>
        <c:ser>
          <c:idx val="1"/>
          <c:order val="1"/>
          <c:tx>
            <c:strRef>
              <c:f>'Grafikoni, CAB, Karakter'!$K$10</c:f>
              <c:strCache>
                <c:ptCount val="1"/>
                <c:pt idx="0">
                  <c:v>Циклично 
прилагођени  фискални биланс</c:v>
                </c:pt>
              </c:strCache>
            </c:strRef>
          </c:tx>
          <c:spPr>
            <a:ln w="19050" cap="rnd" cmpd="sng" algn="ctr">
              <a:solidFill>
                <a:schemeClr val="tx1"/>
              </a:solidFill>
              <a:prstDash val="solid"/>
              <a:round/>
            </a:ln>
            <a:effectLst/>
          </c:spPr>
          <c:marker>
            <c:symbol val="none"/>
          </c:marker>
          <c:cat>
            <c:numRef>
              <c:f>('Grafikoni, CAB, Karakter'!$F$11:$F$29,'Grafikoni, CAB, Karakter'!$F$30,'Grafikoni, CAB, Karakter'!$F$31,'Grafikoni, CAB, Karakter'!$F$32)</c:f>
              <c:numCache>
                <c:formatCode>General</c:formatCode>
                <c:ptCount val="22"/>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numCache>
            </c:numRef>
          </c:cat>
          <c:val>
            <c:numRef>
              <c:f>('Grafikoni, CAB, Karakter'!$K$11:$K$29,'Grafikoni, CAB, Karakter'!$K$30,'Grafikoni, CAB, Karakter'!$K$31,'Grafikoni, CAB, Karakter'!$K$32)</c:f>
              <c:numCache>
                <c:formatCode>##,#00</c:formatCode>
                <c:ptCount val="22"/>
                <c:pt idx="0">
                  <c:v>1.110553570451444</c:v>
                </c:pt>
                <c:pt idx="1">
                  <c:v>-0.45227120725425807</c:v>
                </c:pt>
                <c:pt idx="2">
                  <c:v>-2.0571640582777873</c:v>
                </c:pt>
                <c:pt idx="3">
                  <c:v>-3.9149328976545457</c:v>
                </c:pt>
                <c:pt idx="4">
                  <c:v>-4.0291607249687695</c:v>
                </c:pt>
                <c:pt idx="5">
                  <c:v>-4.0842382536296764</c:v>
                </c:pt>
                <c:pt idx="6">
                  <c:v>-4.7101068035093361</c:v>
                </c:pt>
                <c:pt idx="7">
                  <c:v>-6.1344954118349229</c:v>
                </c:pt>
                <c:pt idx="8">
                  <c:v>-5.5789243282172842</c:v>
                </c:pt>
                <c:pt idx="9">
                  <c:v>-5.6912677538599405</c:v>
                </c:pt>
                <c:pt idx="10">
                  <c:v>-3.0251077122542043</c:v>
                </c:pt>
                <c:pt idx="11">
                  <c:v>-1.1657530677072574</c:v>
                </c:pt>
                <c:pt idx="12">
                  <c:v>1.3237366525519201</c:v>
                </c:pt>
                <c:pt idx="13">
                  <c:v>0.36089945371380572</c:v>
                </c:pt>
                <c:pt idx="14">
                  <c:v>-0.86829315246527994</c:v>
                </c:pt>
                <c:pt idx="15">
                  <c:v>-7.2407656621984593</c:v>
                </c:pt>
                <c:pt idx="16">
                  <c:v>-4.7282556805415092</c:v>
                </c:pt>
                <c:pt idx="17">
                  <c:v>-3.3595570522655795</c:v>
                </c:pt>
                <c:pt idx="18">
                  <c:v>-2.8642452365589763</c:v>
                </c:pt>
                <c:pt idx="19">
                  <c:v>-2.013665711366162</c:v>
                </c:pt>
                <c:pt idx="20">
                  <c:v>-1.4039689567531175</c:v>
                </c:pt>
                <c:pt idx="21">
                  <c:v>-1.5387700397243669</c:v>
                </c:pt>
              </c:numCache>
            </c:numRef>
          </c:val>
          <c:smooth val="1"/>
          <c:extLst>
            <c:ext xmlns:c16="http://schemas.microsoft.com/office/drawing/2014/chart" uri="{C3380CC4-5D6E-409C-BE32-E72D297353CC}">
              <c16:uniqueId val="{00000002-1FC1-455C-B3F0-FA6A33C51B5D}"/>
            </c:ext>
          </c:extLst>
        </c:ser>
        <c:ser>
          <c:idx val="4"/>
          <c:order val="3"/>
          <c:tx>
            <c:strRef>
              <c:f>'Grafikoni, CAB, Karakter'!$N$10</c:f>
              <c:strCache>
                <c:ptCount val="1"/>
                <c:pt idx="0">
                  <c:v>Структурни примарни фискални биланс</c:v>
                </c:pt>
              </c:strCache>
            </c:strRef>
          </c:tx>
          <c:spPr>
            <a:ln w="19050" cap="rnd" cmpd="sng" algn="ctr">
              <a:solidFill>
                <a:srgbClr val="FF0000"/>
              </a:solidFill>
              <a:prstDash val="solid"/>
              <a:round/>
            </a:ln>
            <a:effectLst/>
          </c:spPr>
          <c:marker>
            <c:symbol val="none"/>
          </c:marker>
          <c:cat>
            <c:numRef>
              <c:f>('Grafikoni, CAB, Karakter'!$F$11:$F$29,'Grafikoni, CAB, Karakter'!$F$30,'Grafikoni, CAB, Karakter'!$F$31,'Grafikoni, CAB, Karakter'!$F$32)</c:f>
              <c:numCache>
                <c:formatCode>General</c:formatCode>
                <c:ptCount val="22"/>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numCache>
            </c:numRef>
          </c:cat>
          <c:val>
            <c:numRef>
              <c:f>('Grafikoni, CAB, Karakter'!$N$11:$N$29,'Grafikoni, CAB, Karakter'!$N$30,'Grafikoni, CAB, Karakter'!$N$31,'Grafikoni, CAB, Karakter'!$N$32)</c:f>
              <c:numCache>
                <c:formatCode>##,#00</c:formatCode>
                <c:ptCount val="22"/>
                <c:pt idx="0">
                  <c:v>2.2311622467225694</c:v>
                </c:pt>
                <c:pt idx="1">
                  <c:v>1.4694068955005553</c:v>
                </c:pt>
                <c:pt idx="2">
                  <c:v>-1.1748812200450847</c:v>
                </c:pt>
                <c:pt idx="3">
                  <c:v>-3.4340199675768921</c:v>
                </c:pt>
                <c:pt idx="4">
                  <c:v>-3.4936797085000446</c:v>
                </c:pt>
                <c:pt idx="5">
                  <c:v>-3.2446168101610033</c:v>
                </c:pt>
                <c:pt idx="6">
                  <c:v>-3.766595222794451</c:v>
                </c:pt>
                <c:pt idx="7">
                  <c:v>-4.3798196385082298</c:v>
                </c:pt>
                <c:pt idx="8">
                  <c:v>-3.1158697628013345</c:v>
                </c:pt>
                <c:pt idx="9">
                  <c:v>-2.1569170415080627</c:v>
                </c:pt>
                <c:pt idx="10">
                  <c:v>0.79474141079577243</c:v>
                </c:pt>
                <c:pt idx="11">
                  <c:v>1.8087997159473004</c:v>
                </c:pt>
                <c:pt idx="12">
                  <c:v>3.714935702009988</c:v>
                </c:pt>
                <c:pt idx="13">
                  <c:v>2.3253727362409213</c:v>
                </c:pt>
                <c:pt idx="14">
                  <c:v>0.94570968984632187</c:v>
                </c:pt>
                <c:pt idx="15">
                  <c:v>1.8073097678111099</c:v>
                </c:pt>
                <c:pt idx="16">
                  <c:v>1.0825639249791079</c:v>
                </c:pt>
                <c:pt idx="17">
                  <c:v>1.530824022357884</c:v>
                </c:pt>
                <c:pt idx="18">
                  <c:v>0.11101236817971705</c:v>
                </c:pt>
                <c:pt idx="19">
                  <c:v>9.9564202121351669E-2</c:v>
                </c:pt>
                <c:pt idx="20">
                  <c:v>0.86116718395379988</c:v>
                </c:pt>
                <c:pt idx="21">
                  <c:v>0.87458471061314791</c:v>
                </c:pt>
              </c:numCache>
            </c:numRef>
          </c:val>
          <c:smooth val="0"/>
          <c:extLst>
            <c:ext xmlns:c16="http://schemas.microsoft.com/office/drawing/2014/chart" uri="{C3380CC4-5D6E-409C-BE32-E72D297353CC}">
              <c16:uniqueId val="{00000003-1FC1-455C-B3F0-FA6A33C51B5D}"/>
            </c:ext>
          </c:extLst>
        </c:ser>
        <c:ser>
          <c:idx val="3"/>
          <c:order val="4"/>
          <c:tx>
            <c:strRef>
              <c:f>'Grafikoni, CAB, Karakter'!$M$10</c:f>
              <c:strCache>
                <c:ptCount val="1"/>
                <c:pt idx="0">
                  <c:v>Структурни  фискални биланс</c:v>
                </c:pt>
              </c:strCache>
            </c:strRef>
          </c:tx>
          <c:spPr>
            <a:ln w="19050" cap="rnd" cmpd="sng" algn="ctr">
              <a:solidFill>
                <a:schemeClr val="accent6"/>
              </a:solidFill>
              <a:prstDash val="solid"/>
              <a:round/>
            </a:ln>
            <a:effectLst/>
          </c:spPr>
          <c:marker>
            <c:symbol val="none"/>
          </c:marker>
          <c:cat>
            <c:numRef>
              <c:f>('Grafikoni, CAB, Karakter'!$F$11:$F$29,'Grafikoni, CAB, Karakter'!$F$30,'Grafikoni, CAB, Karakter'!$F$31,'Grafikoni, CAB, Karakter'!$F$32)</c:f>
              <c:numCache>
                <c:formatCode>General</c:formatCode>
                <c:ptCount val="22"/>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numCache>
            </c:numRef>
          </c:cat>
          <c:val>
            <c:numRef>
              <c:f>('Grafikoni, CAB, Karakter'!$M$11:$M$29,'Grafikoni, CAB, Karakter'!$M$30,'Grafikoni, CAB, Karakter'!$M$31,'Grafikoni, CAB, Karakter'!$M$32)</c:f>
              <c:numCache>
                <c:formatCode>##,#00</c:formatCode>
                <c:ptCount val="22"/>
                <c:pt idx="0">
                  <c:v>1.3271381895220509</c:v>
                </c:pt>
                <c:pt idx="1">
                  <c:v>0.22172084264080061</c:v>
                </c:pt>
                <c:pt idx="2">
                  <c:v>-1.7203296978870299</c:v>
                </c:pt>
                <c:pt idx="3">
                  <c:v>-3.9733833818097399</c:v>
                </c:pt>
                <c:pt idx="4">
                  <c:v>-4.1012414048990058</c:v>
                </c:pt>
                <c:pt idx="5">
                  <c:v>-4.2011404200956957</c:v>
                </c:pt>
                <c:pt idx="6">
                  <c:v>-4.9205010201521855</c:v>
                </c:pt>
                <c:pt idx="7">
                  <c:v>-6.0872520356187279</c:v>
                </c:pt>
                <c:pt idx="8">
                  <c:v>-5.3095853107074955</c:v>
                </c:pt>
                <c:pt idx="9">
                  <c:v>-4.8211901590842325</c:v>
                </c:pt>
                <c:pt idx="10">
                  <c:v>-2.1908127000456386</c:v>
                </c:pt>
                <c:pt idx="11">
                  <c:v>-1.0884595234054266</c:v>
                </c:pt>
                <c:pt idx="12">
                  <c:v>1.1787995680073775</c:v>
                </c:pt>
                <c:pt idx="13">
                  <c:v>0.21305596512904482</c:v>
                </c:pt>
                <c:pt idx="14">
                  <c:v>-1.0508876206644246</c:v>
                </c:pt>
                <c:pt idx="15">
                  <c:v>-0.19371574913750766</c:v>
                </c:pt>
                <c:pt idx="16">
                  <c:v>-0.65016885030586824</c:v>
                </c:pt>
                <c:pt idx="17">
                  <c:v>2.3747840058168102E-2</c:v>
                </c:pt>
                <c:pt idx="18">
                  <c:v>-1.6919122940032905</c:v>
                </c:pt>
                <c:pt idx="19">
                  <c:v>-2.013665711366162</c:v>
                </c:pt>
                <c:pt idx="20">
                  <c:v>-1.4039689567531175</c:v>
                </c:pt>
                <c:pt idx="21">
                  <c:v>-1.5387700397243669</c:v>
                </c:pt>
              </c:numCache>
            </c:numRef>
          </c:val>
          <c:smooth val="0"/>
          <c:extLst>
            <c:ext xmlns:c16="http://schemas.microsoft.com/office/drawing/2014/chart" uri="{C3380CC4-5D6E-409C-BE32-E72D297353CC}">
              <c16:uniqueId val="{00000004-1FC1-455C-B3F0-FA6A33C51B5D}"/>
            </c:ext>
          </c:extLst>
        </c:ser>
        <c:dLbls>
          <c:showLegendKey val="0"/>
          <c:showVal val="0"/>
          <c:showCatName val="0"/>
          <c:showSerName val="0"/>
          <c:showPercent val="0"/>
          <c:showBubbleSize val="0"/>
        </c:dLbls>
        <c:marker val="1"/>
        <c:smooth val="0"/>
        <c:axId val="342946768"/>
        <c:axId val="410610880"/>
      </c:lineChart>
      <c:catAx>
        <c:axId val="342946768"/>
        <c:scaling>
          <c:orientation val="minMax"/>
        </c:scaling>
        <c:delete val="0"/>
        <c:axPos val="b"/>
        <c:majorGridlines>
          <c:spPr>
            <a:ln w="9525" cap="flat" cmpd="sng" algn="ctr">
              <a:no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410610880"/>
        <c:crosses val="autoZero"/>
        <c:auto val="1"/>
        <c:lblAlgn val="ctr"/>
        <c:lblOffset val="100"/>
        <c:noMultiLvlLbl val="0"/>
      </c:catAx>
      <c:valAx>
        <c:axId val="410610880"/>
        <c:scaling>
          <c:orientation val="minMax"/>
          <c:max val="5"/>
          <c:min val="-9"/>
        </c:scaling>
        <c:delete val="0"/>
        <c:axPos val="l"/>
        <c:majorGridlines>
          <c:spPr>
            <a:ln w="9525" cap="flat" cmpd="sng" algn="ctr">
              <a:noFill/>
              <a:prstDash val="sysDot"/>
              <a:round/>
            </a:ln>
            <a:effectLst/>
          </c:spPr>
        </c:majorGridlines>
        <c:title>
          <c:tx>
            <c:rich>
              <a:bodyPr rot="-540000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 БДП</a:t>
                </a:r>
              </a:p>
            </c:rich>
          </c:tx>
          <c:layout>
            <c:manualLayout>
              <c:xMode val="edge"/>
              <c:yMode val="edge"/>
              <c:x val="9.5129641145766289E-2"/>
              <c:y val="4.8159813356663757E-2"/>
            </c:manualLayout>
          </c:layout>
          <c:overlay val="0"/>
          <c:spPr>
            <a:noFill/>
            <a:ln>
              <a:noFill/>
            </a:ln>
            <a:effectLst/>
          </c:spPr>
          <c:txPr>
            <a:bodyPr rot="-54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342946768"/>
        <c:crosses val="autoZero"/>
        <c:crossBetween val="between"/>
      </c:valAx>
      <c:spPr>
        <a:noFill/>
        <a:ln>
          <a:noFill/>
        </a:ln>
        <a:effectLst/>
      </c:spPr>
    </c:plotArea>
    <c:legend>
      <c:legendPos val="r"/>
      <c:layout>
        <c:manualLayout>
          <c:xMode val="edge"/>
          <c:yMode val="edge"/>
          <c:x val="7.3681786783329498E-2"/>
          <c:y val="0.65917676957047044"/>
          <c:w val="0.64186989290395802"/>
          <c:h val="0.34082323042952967"/>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a:pPr>
      <a:endParaRPr lang="sr-Latn-RS"/>
    </a:p>
  </c:txPr>
  <c:externalData r:id="rId3">
    <c:autoUpdate val="0"/>
  </c:externalData>
  <c:userShapes r:id="rId4"/>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7.3618440989179343E-2"/>
          <c:y val="5.7086964129483823E-2"/>
          <c:w val="0.91635877205946437"/>
          <c:h val="0.82967423338395085"/>
        </c:manualLayout>
      </c:layout>
      <c:barChart>
        <c:barDir val="col"/>
        <c:grouping val="clustered"/>
        <c:varyColors val="0"/>
        <c:ser>
          <c:idx val="0"/>
          <c:order val="0"/>
          <c:tx>
            <c:strRef>
              <c:f>'Grafikoni, CAB, Karakter'!$O$10</c:f>
              <c:strCache>
                <c:ptCount val="1"/>
                <c:pt idx="0">
                  <c:v>Фискални импулс</c:v>
                </c:pt>
              </c:strCache>
            </c:strRef>
          </c:tx>
          <c:spPr>
            <a:solidFill>
              <a:srgbClr val="29489A"/>
            </a:solidFill>
            <a:ln w="9525" cap="flat" cmpd="sng" algn="ctr">
              <a:solidFill>
                <a:schemeClr val="accent3">
                  <a:shade val="50000"/>
                  <a:shade val="95000"/>
                  <a:satMod val="105000"/>
                </a:schemeClr>
              </a:solidFill>
              <a:prstDash val="solid"/>
              <a:round/>
            </a:ln>
            <a:effectLst/>
          </c:spPr>
          <c:invertIfNegative val="0"/>
          <c:cat>
            <c:numRef>
              <c:f>'Grafikoni, CAB, Karakter'!$F$12:$F$32</c:f>
              <c:numCache>
                <c:formatCode>General</c:formatCode>
                <c:ptCount val="21"/>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numCache>
            </c:numRef>
          </c:cat>
          <c:val>
            <c:numRef>
              <c:f>('Grafikoni, CAB, Karakter'!$O$12:$O$29,'Grafikoni, CAB, Karakter'!$O$30,'Grafikoni, CAB, Karakter'!$O$31,'Grafikoni, CAB, Karakter'!$O$32)</c:f>
              <c:numCache>
                <c:formatCode>##,#00</c:formatCode>
                <c:ptCount val="21"/>
                <c:pt idx="0">
                  <c:v>1.2191627820464659</c:v>
                </c:pt>
                <c:pt idx="1">
                  <c:v>2.3071304260413386</c:v>
                </c:pt>
                <c:pt idx="2">
                  <c:v>1.8638539029858558</c:v>
                </c:pt>
                <c:pt idx="3">
                  <c:v>4.6029545148110529E-2</c:v>
                </c:pt>
                <c:pt idx="4">
                  <c:v>-0.29388438487482471</c:v>
                </c:pt>
                <c:pt idx="5">
                  <c:v>0.42848636245661798</c:v>
                </c:pt>
                <c:pt idx="6">
                  <c:v>0.87086200857282314</c:v>
                </c:pt>
                <c:pt idx="7">
                  <c:v>-1.0418542344133011</c:v>
                </c:pt>
                <c:pt idx="8">
                  <c:v>-0.35821414402735252</c:v>
                </c:pt>
                <c:pt idx="9">
                  <c:v>-2.9874410348709777</c:v>
                </c:pt>
                <c:pt idx="10">
                  <c:v>-1.7710597730582631</c:v>
                </c:pt>
                <c:pt idx="11">
                  <c:v>-2.1283666149090612</c:v>
                </c:pt>
                <c:pt idx="12">
                  <c:v>1.3866565617288482</c:v>
                </c:pt>
                <c:pt idx="13">
                  <c:v>1.3449120667802159</c:v>
                </c:pt>
                <c:pt idx="14">
                  <c:v>6.3680443032953082</c:v>
                </c:pt>
                <c:pt idx="15">
                  <c:v>-2.2442172399933087</c:v>
                </c:pt>
                <c:pt idx="16">
                  <c:v>-1.1430420352906694</c:v>
                </c:pt>
                <c:pt idx="17">
                  <c:v>-0.79116029558989487</c:v>
                </c:pt>
                <c:pt idx="18">
                  <c:v>-1.1608847764973205</c:v>
                </c:pt>
                <c:pt idx="19">
                  <c:v>-0.76160298183244823</c:v>
                </c:pt>
                <c:pt idx="20">
                  <c:v>-1.3417526659348034E-2</c:v>
                </c:pt>
              </c:numCache>
            </c:numRef>
          </c:val>
          <c:extLst>
            <c:ext xmlns:c16="http://schemas.microsoft.com/office/drawing/2014/chart" uri="{C3380CC4-5D6E-409C-BE32-E72D297353CC}">
              <c16:uniqueId val="{00000000-E92A-4979-9BA1-3E3B418DEC11}"/>
            </c:ext>
          </c:extLst>
        </c:ser>
        <c:dLbls>
          <c:showLegendKey val="0"/>
          <c:showVal val="0"/>
          <c:showCatName val="0"/>
          <c:showSerName val="0"/>
          <c:showPercent val="0"/>
          <c:showBubbleSize val="0"/>
        </c:dLbls>
        <c:gapWidth val="41"/>
        <c:overlap val="-12"/>
        <c:axId val="467546320"/>
        <c:axId val="467537360"/>
      </c:barChart>
      <c:lineChart>
        <c:grouping val="standard"/>
        <c:varyColors val="0"/>
        <c:ser>
          <c:idx val="1"/>
          <c:order val="1"/>
          <c:tx>
            <c:strRef>
              <c:f>'Grafikoni, CAB, Karakter'!$G$10</c:f>
              <c:strCache>
                <c:ptCount val="1"/>
                <c:pt idx="0">
                  <c:v>Производни јаз </c:v>
                </c:pt>
              </c:strCache>
            </c:strRef>
          </c:tx>
          <c:spPr>
            <a:ln w="19050" cap="rnd" cmpd="sng" algn="ctr">
              <a:solidFill>
                <a:srgbClr val="FF0000"/>
              </a:solidFill>
              <a:prstDash val="solid"/>
              <a:round/>
            </a:ln>
            <a:effectLst/>
          </c:spPr>
          <c:marker>
            <c:symbol val="none"/>
          </c:marker>
          <c:cat>
            <c:numRef>
              <c:f>('Grafikoni, CAB, Karakter'!$F$12:$F$29,'Grafikoni, CAB, Karakter'!$F$30,'Grafikoni, CAB, Karakter'!$F$31,'Grafikoni, CAB, Karakter'!$F$32)</c:f>
              <c:numCache>
                <c:formatCode>General</c:formatCode>
                <c:ptCount val="21"/>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numCache>
            </c:numRef>
          </c:cat>
          <c:val>
            <c:numRef>
              <c:f>('Grafikoni, CAB, Karakter'!$G$12:$G$29,'Grafikoni, CAB, Karakter'!$G$30,'Grafikoni, CAB, Karakter'!$G$31,'Grafikoni, CAB, Karakter'!$G$32)</c:f>
              <c:numCache>
                <c:formatCode>##,#00</c:formatCode>
                <c:ptCount val="21"/>
                <c:pt idx="0">
                  <c:v>-2.6619053793972429</c:v>
                </c:pt>
                <c:pt idx="1">
                  <c:v>0.76812862294504969</c:v>
                </c:pt>
                <c:pt idx="2">
                  <c:v>4.0526986593397076</c:v>
                </c:pt>
                <c:pt idx="3">
                  <c:v>-0.38424097524819123</c:v>
                </c:pt>
                <c:pt idx="4">
                  <c:v>-0.71564661276400632</c:v>
                </c:pt>
                <c:pt idx="5">
                  <c:v>0.51942012705998486</c:v>
                </c:pt>
                <c:pt idx="6">
                  <c:v>-0.84768853901090824</c:v>
                </c:pt>
                <c:pt idx="7">
                  <c:v>1.218732135422478</c:v>
                </c:pt>
                <c:pt idx="8">
                  <c:v>-1.4453968611448935</c:v>
                </c:pt>
                <c:pt idx="9">
                  <c:v>-1.2148203099030777</c:v>
                </c:pt>
                <c:pt idx="10">
                  <c:v>-7.5925919408159126E-2</c:v>
                </c:pt>
                <c:pt idx="11">
                  <c:v>-0.63438597309396705</c:v>
                </c:pt>
                <c:pt idx="12">
                  <c:v>0.77314207033720339</c:v>
                </c:pt>
                <c:pt idx="13">
                  <c:v>1.8693712852330144</c:v>
                </c:pt>
                <c:pt idx="14">
                  <c:v>-2.2641513799372359</c:v>
                </c:pt>
                <c:pt idx="15">
                  <c:v>1.6664405616076201</c:v>
                </c:pt>
                <c:pt idx="16">
                  <c:v>0.53149033122091038</c:v>
                </c:pt>
                <c:pt idx="17">
                  <c:v>-0.38258667446345612</c:v>
                </c:pt>
                <c:pt idx="18">
                  <c:v>-0.52513086112005314</c:v>
                </c:pt>
                <c:pt idx="19">
                  <c:v>-0.27063652537719057</c:v>
                </c:pt>
                <c:pt idx="20">
                  <c:v>0.10926246852034414</c:v>
                </c:pt>
              </c:numCache>
            </c:numRef>
          </c:val>
          <c:smooth val="1"/>
          <c:extLst>
            <c:ext xmlns:c16="http://schemas.microsoft.com/office/drawing/2014/chart" uri="{C3380CC4-5D6E-409C-BE32-E72D297353CC}">
              <c16:uniqueId val="{00000001-E92A-4979-9BA1-3E3B418DEC11}"/>
            </c:ext>
          </c:extLst>
        </c:ser>
        <c:dLbls>
          <c:showLegendKey val="0"/>
          <c:showVal val="0"/>
          <c:showCatName val="0"/>
          <c:showSerName val="0"/>
          <c:showPercent val="0"/>
          <c:showBubbleSize val="0"/>
        </c:dLbls>
        <c:marker val="1"/>
        <c:smooth val="0"/>
        <c:axId val="467546320"/>
        <c:axId val="467537360"/>
      </c:lineChart>
      <c:catAx>
        <c:axId val="467546320"/>
        <c:scaling>
          <c:orientation val="minMax"/>
        </c:scaling>
        <c:delete val="0"/>
        <c:axPos val="b"/>
        <c:majorGridlines>
          <c:spPr>
            <a:ln w="9525" cap="flat" cmpd="sng" algn="ctr">
              <a:noFill/>
              <a:prstDash val="solid"/>
              <a:round/>
            </a:ln>
            <a:effectLst/>
          </c:spPr>
        </c:majorGridlines>
        <c:numFmt formatCode="General" sourceLinked="1"/>
        <c:majorTickMark val="out"/>
        <c:minorTickMark val="none"/>
        <c:tickLblPos val="low"/>
        <c:spPr>
          <a:noFill/>
          <a:ln w="6350" cap="flat" cmpd="sng" algn="ctr">
            <a:solidFill>
              <a:srgbClr val="898989"/>
            </a:solid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467537360"/>
        <c:crosses val="autoZero"/>
        <c:auto val="1"/>
        <c:lblAlgn val="ctr"/>
        <c:lblOffset val="100"/>
        <c:noMultiLvlLbl val="0"/>
      </c:catAx>
      <c:valAx>
        <c:axId val="467537360"/>
        <c:scaling>
          <c:orientation val="minMax"/>
          <c:min val="-9"/>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 БДП</a:t>
                </a:r>
                <a:endParaRPr lang="en-US" sz="600" b="0">
                  <a:solidFill>
                    <a:srgbClr val="44546A"/>
                  </a:solidFill>
                  <a:latin typeface="+mn-lt"/>
                </a:endParaRPr>
              </a:p>
            </c:rich>
          </c:tx>
          <c:layout>
            <c:manualLayout>
              <c:xMode val="edge"/>
              <c:yMode val="edge"/>
              <c:x val="4.8883441722674371E-2"/>
              <c:y val="0.25460109153022537"/>
            </c:manualLayout>
          </c:layout>
          <c:overlay val="0"/>
          <c:spPr>
            <a:noFill/>
            <a:ln>
              <a:noFill/>
            </a:ln>
            <a:effectLst/>
          </c:spPr>
          <c:txPr>
            <a:bodyPr rot="-54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3175" cap="flat" cmpd="sng" algn="ctr">
            <a:no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467546320"/>
        <c:crosses val="autoZero"/>
        <c:crossBetween val="between"/>
      </c:valAx>
      <c:spPr>
        <a:noFill/>
        <a:ln>
          <a:noFill/>
        </a:ln>
        <a:effectLst/>
      </c:spPr>
    </c:plotArea>
    <c:legend>
      <c:legendPos val="r"/>
      <c:layout>
        <c:manualLayout>
          <c:xMode val="edge"/>
          <c:yMode val="edge"/>
          <c:x val="0.10575935617028157"/>
          <c:y val="0.82970027594333029"/>
          <c:w val="0.795961068391148"/>
          <c:h val="4.9573656234147202E-2"/>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sr-Latn-RS"/>
    </a:p>
  </c:txPr>
  <c:externalData r:id="rId3">
    <c:autoUpdate val="0"/>
  </c:externalData>
  <c:userShapes r:id="rId4"/>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3730049804101447E-2"/>
          <c:y val="6.735606443689951E-2"/>
          <c:w val="0.91096034708762952"/>
          <c:h val="0.89913096872065301"/>
        </c:manualLayout>
      </c:layout>
      <c:scatterChart>
        <c:scatterStyle val="smoothMarker"/>
        <c:varyColors val="0"/>
        <c:ser>
          <c:idx val="1"/>
          <c:order val="0"/>
          <c:spPr>
            <a:ln w="15875"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rnd">
                <a:solidFill>
                  <a:schemeClr val="accent4"/>
                </a:solidFill>
                <a:round/>
              </a:ln>
              <a:effectLst/>
              <a:scene3d>
                <a:camera prst="orthographicFront">
                  <a:rot lat="0" lon="0" rev="0"/>
                </a:camera>
                <a:lightRig rig="threePt" dir="t">
                  <a:rot lat="0" lon="0" rev="1200000"/>
                </a:lightRig>
              </a:scene3d>
              <a:sp3d>
                <a:bevelT w="63500" h="25400"/>
              </a:sp3d>
            </c:spPr>
          </c:marker>
          <c:dLbls>
            <c:dLbl>
              <c:idx val="0"/>
              <c:layout>
                <c:manualLayout>
                  <c:x val="-6.9381423218486976E-2"/>
                  <c:y val="-4.1527671341031656E-2"/>
                </c:manualLayout>
              </c:layout>
              <c:tx>
                <c:rich>
                  <a:bodyPr/>
                  <a:lstStyle/>
                  <a:p>
                    <a:r>
                      <a:rPr lang="en-US"/>
                      <a:t>2006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85CB-49CF-AC9D-EE3318C0D428}"/>
                </c:ext>
              </c:extLst>
            </c:dLbl>
            <c:dLbl>
              <c:idx val="1"/>
              <c:layout>
                <c:manualLayout>
                  <c:x val="-2.4016646498707127E-2"/>
                  <c:y val="-3.3977185642662298E-2"/>
                </c:manualLayout>
              </c:layout>
              <c:tx>
                <c:rich>
                  <a:bodyPr/>
                  <a:lstStyle/>
                  <a:p>
                    <a:r>
                      <a:rPr lang="en-US"/>
                      <a:t>2007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85CB-49CF-AC9D-EE3318C0D428}"/>
                </c:ext>
              </c:extLst>
            </c:dLbl>
            <c:dLbl>
              <c:idx val="2"/>
              <c:layout>
                <c:manualLayout>
                  <c:x val="-5.0701809275048172E-2"/>
                  <c:y val="-6.3495592658862496E-2"/>
                </c:manualLayout>
              </c:layout>
              <c:tx>
                <c:rich>
                  <a:bodyPr/>
                  <a:lstStyle/>
                  <a:p>
                    <a:r>
                      <a:rPr lang="en-US"/>
                      <a:t>2008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85CB-49CF-AC9D-EE3318C0D428}"/>
                </c:ext>
              </c:extLst>
            </c:dLbl>
            <c:dLbl>
              <c:idx val="3"/>
              <c:layout>
                <c:manualLayout>
                  <c:x val="-0.19027668743801682"/>
                  <c:y val="-3.7116954417395071E-2"/>
                </c:manualLayout>
              </c:layout>
              <c:tx>
                <c:rich>
                  <a:bodyPr/>
                  <a:lstStyle/>
                  <a:p>
                    <a:r>
                      <a:rPr lang="en-US"/>
                      <a:t>2009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85CB-49CF-AC9D-EE3318C0D428}"/>
                </c:ext>
              </c:extLst>
            </c:dLbl>
            <c:dLbl>
              <c:idx val="4"/>
              <c:layout>
                <c:manualLayout>
                  <c:x val="-0.13777188742496302"/>
                  <c:y val="5.3222928555948769E-2"/>
                </c:manualLayout>
              </c:layout>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85CB-49CF-AC9D-EE3318C0D428}"/>
                </c:ext>
              </c:extLst>
            </c:dLbl>
            <c:dLbl>
              <c:idx val="5"/>
              <c:layout>
                <c:manualLayout>
                  <c:x val="3.4005304943605513E-3"/>
                  <c:y val="-3.0523369211876039E-2"/>
                </c:manualLayout>
              </c:layout>
              <c:tx>
                <c:rich>
                  <a:bodyPr/>
                  <a:lstStyle/>
                  <a:p>
                    <a:r>
                      <a:rPr lang="en-US"/>
                      <a:t>2011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85CB-49CF-AC9D-EE3318C0D428}"/>
                </c:ext>
              </c:extLst>
            </c:dLbl>
            <c:dLbl>
              <c:idx val="6"/>
              <c:layout>
                <c:manualLayout>
                  <c:x val="-6.6712906940852856E-2"/>
                  <c:y val="-4.9078157039401084E-2"/>
                </c:manualLayout>
              </c:layout>
              <c:tx>
                <c:rich>
                  <a:bodyPr/>
                  <a:lstStyle/>
                  <a:p>
                    <a:r>
                      <a:rPr lang="en-US"/>
                      <a:t>2012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85CB-49CF-AC9D-EE3318C0D428}"/>
                </c:ext>
              </c:extLst>
            </c:dLbl>
            <c:dLbl>
              <c:idx val="7"/>
              <c:layout>
                <c:manualLayout>
                  <c:x val="5.3368530407334816E-3"/>
                  <c:y val="7.7967203640828455E-3"/>
                </c:manualLayout>
              </c:layout>
              <c:tx>
                <c:rich>
                  <a:bodyPr/>
                  <a:lstStyle/>
                  <a:p>
                    <a:r>
                      <a:rPr lang="en-US"/>
                      <a:t>2013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85CB-49CF-AC9D-EE3318C0D428}"/>
                </c:ext>
              </c:extLst>
            </c:dLbl>
            <c:dLbl>
              <c:idx val="8"/>
              <c:layout>
                <c:manualLayout>
                  <c:x val="-0.15205969965244098"/>
                  <c:y val="2.0909123744852993E-2"/>
                </c:manualLayout>
              </c:layout>
              <c:tx>
                <c:rich>
                  <a:bodyPr/>
                  <a:lstStyle/>
                  <a:p>
                    <a:r>
                      <a:rPr lang="en-US"/>
                      <a:t>2014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85CB-49CF-AC9D-EE3318C0D428}"/>
                </c:ext>
              </c:extLst>
            </c:dLbl>
            <c:dLbl>
              <c:idx val="9"/>
              <c:layout>
                <c:manualLayout>
                  <c:x val="-1.381533502187428E-2"/>
                  <c:y val="2.2935779816513593E-2"/>
                </c:manualLayout>
              </c:layout>
              <c:tx>
                <c:rich>
                  <a:bodyPr/>
                  <a:lstStyle/>
                  <a:p>
                    <a:r>
                      <a:rPr lang="en-US"/>
                      <a:t>2015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85CB-49CF-AC9D-EE3318C0D428}"/>
                </c:ext>
              </c:extLst>
            </c:dLbl>
            <c:dLbl>
              <c:idx val="10"/>
              <c:layout>
                <c:manualLayout>
                  <c:x val="-2.1348125735417816E-2"/>
                  <c:y val="7.0193690025747005E-2"/>
                </c:manualLayout>
              </c:layout>
              <c:tx>
                <c:rich>
                  <a:bodyPr/>
                  <a:lstStyle/>
                  <a:p>
                    <a:r>
                      <a:rPr lang="en-US"/>
                      <a:t>2016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85CB-49CF-AC9D-EE3318C0D428}"/>
                </c:ext>
              </c:extLst>
            </c:dLbl>
            <c:dLbl>
              <c:idx val="11"/>
              <c:layout>
                <c:manualLayout>
                  <c:x val="-0.11784190687884023"/>
                  <c:y val="-2.6142454670230443E-2"/>
                </c:manualLayout>
              </c:layout>
              <c:tx>
                <c:rich>
                  <a:bodyPr/>
                  <a:lstStyle/>
                  <a:p>
                    <a:r>
                      <a:rPr lang="en-US"/>
                      <a:t>2017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85CB-49CF-AC9D-EE3318C0D428}"/>
                </c:ext>
              </c:extLst>
            </c:dLbl>
            <c:dLbl>
              <c:idx val="12"/>
              <c:layout>
                <c:manualLayout>
                  <c:x val="-8.9997661183441185E-2"/>
                  <c:y val="-2.6997399407642852E-2"/>
                </c:manualLayout>
              </c:layout>
              <c:tx>
                <c:rich>
                  <a:bodyPr/>
                  <a:lstStyle/>
                  <a:p>
                    <a:r>
                      <a:rPr lang="en-US"/>
                      <a:t>2018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85CB-49CF-AC9D-EE3318C0D428}"/>
                </c:ext>
              </c:extLst>
            </c:dLbl>
            <c:dLbl>
              <c:idx val="13"/>
              <c:layout>
                <c:manualLayout>
                  <c:x val="-4.2696260442145785E-2"/>
                  <c:y val="-7.0965662383434602E-2"/>
                </c:manualLayout>
              </c:layout>
              <c:tx>
                <c:rich>
                  <a:bodyPr/>
                  <a:lstStyle/>
                  <a:p>
                    <a:r>
                      <a:rPr lang="en-US"/>
                      <a:t>2019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85CB-49CF-AC9D-EE3318C0D428}"/>
                </c:ext>
              </c:extLst>
            </c:dLbl>
            <c:dLbl>
              <c:idx val="14"/>
              <c:layout>
                <c:manualLayout>
                  <c:x val="-9.2102233479161869E-2"/>
                  <c:y val="6.8807339449541288E-2"/>
                </c:manualLayout>
              </c:layout>
              <c:tx>
                <c:rich>
                  <a:bodyPr/>
                  <a:lstStyle/>
                  <a:p>
                    <a:r>
                      <a:rPr lang="en-US"/>
                      <a:t>2020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85CB-49CF-AC9D-EE3318C0D428}"/>
                </c:ext>
              </c:extLst>
            </c:dLbl>
            <c:dLbl>
              <c:idx val="15"/>
              <c:layout>
                <c:manualLayout>
                  <c:x val="1.4638453407692831E-3"/>
                  <c:y val="-1.8861157263598931E-2"/>
                </c:manualLayout>
              </c:layout>
              <c:tx>
                <c:rich>
                  <a:bodyPr/>
                  <a:lstStyle/>
                  <a:p>
                    <a:r>
                      <a:rPr lang="en-US"/>
                      <a:t>2021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85CB-49CF-AC9D-EE3318C0D428}"/>
                </c:ext>
              </c:extLst>
            </c:dLbl>
            <c:dLbl>
              <c:idx val="16"/>
              <c:layout>
                <c:manualLayout>
                  <c:x val="-6.2406152719282182E-2"/>
                  <c:y val="3.8815285703965821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b="0">
                        <a:latin typeface="+mn-lt"/>
                      </a:rPr>
                      <a:t>2022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showDataLabelsRange val="0"/>
                </c:ext>
                <c:ext xmlns:c16="http://schemas.microsoft.com/office/drawing/2014/chart" uri="{C3380CC4-5D6E-409C-BE32-E72D297353CC}">
                  <c16:uniqueId val="{00000010-85CB-49CF-AC9D-EE3318C0D428}"/>
                </c:ext>
              </c:extLst>
            </c:dLbl>
            <c:dLbl>
              <c:idx val="17"/>
              <c:layout>
                <c:manualLayout>
                  <c:x val="-0.11350548715373276"/>
                  <c:y val="2.9875027089503719E-2"/>
                </c:manualLayout>
              </c:layout>
              <c:tx>
                <c:rich>
                  <a:bodyPr/>
                  <a:lstStyle/>
                  <a:p>
                    <a:r>
                      <a:rPr lang="en-US"/>
                      <a:t>2023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85CB-49CF-AC9D-EE3318C0D428}"/>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rgbClr val="44546A"/>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6350" cap="flat" cmpd="sng" algn="ctr">
                      <a:solidFill>
                        <a:sysClr val="windowText" lastClr="000000">
                          <a:lumMod val="35000"/>
                          <a:lumOff val="65000"/>
                        </a:sysClr>
                      </a:solidFill>
                      <a:round/>
                    </a:ln>
                    <a:effectLst/>
                  </c:spPr>
                </c15:leaderLines>
              </c:ext>
            </c:extLst>
          </c:dLbls>
          <c:xVal>
            <c:numRef>
              <c:f>'Grafikoni, CAB, Karakter'!$Z$12:$Z$29</c:f>
              <c:numCache>
                <c:formatCode>##,#00</c:formatCode>
                <c:ptCount val="18"/>
                <c:pt idx="0">
                  <c:v>-2.6619053793972429</c:v>
                </c:pt>
                <c:pt idx="1">
                  <c:v>0.76812862294504969</c:v>
                </c:pt>
                <c:pt idx="2">
                  <c:v>4.0526986593397076</c:v>
                </c:pt>
                <c:pt idx="3">
                  <c:v>-0.38424097524819123</c:v>
                </c:pt>
                <c:pt idx="4">
                  <c:v>-0.71564661276400632</c:v>
                </c:pt>
                <c:pt idx="5">
                  <c:v>0.51942012705998486</c:v>
                </c:pt>
                <c:pt idx="6">
                  <c:v>-0.84768853901090824</c:v>
                </c:pt>
                <c:pt idx="7">
                  <c:v>1.218732135422478</c:v>
                </c:pt>
                <c:pt idx="8">
                  <c:v>-1.4453968611448935</c:v>
                </c:pt>
                <c:pt idx="9">
                  <c:v>-1.2148203099030777</c:v>
                </c:pt>
                <c:pt idx="10">
                  <c:v>-7.5925919408159126E-2</c:v>
                </c:pt>
                <c:pt idx="11">
                  <c:v>-0.63438597309396705</c:v>
                </c:pt>
                <c:pt idx="12">
                  <c:v>0.77314207033720339</c:v>
                </c:pt>
                <c:pt idx="13">
                  <c:v>1.8693712852330144</c:v>
                </c:pt>
                <c:pt idx="14">
                  <c:v>-2.2641513799372359</c:v>
                </c:pt>
                <c:pt idx="15">
                  <c:v>1.6664405616076201</c:v>
                </c:pt>
                <c:pt idx="16">
                  <c:v>0.53149033122091038</c:v>
                </c:pt>
                <c:pt idx="17">
                  <c:v>-0.38258667446345612</c:v>
                </c:pt>
              </c:numCache>
            </c:numRef>
          </c:xVal>
          <c:yVal>
            <c:numRef>
              <c:f>'Grafikoni, CAB, Karakter'!$AA$12:$AA$29</c:f>
              <c:numCache>
                <c:formatCode>##,#00</c:formatCode>
                <c:ptCount val="18"/>
                <c:pt idx="0">
                  <c:v>1.2191627820464659</c:v>
                </c:pt>
                <c:pt idx="1">
                  <c:v>2.3071304260413386</c:v>
                </c:pt>
                <c:pt idx="2">
                  <c:v>1.8638539029858558</c:v>
                </c:pt>
                <c:pt idx="3">
                  <c:v>4.6029545148110529E-2</c:v>
                </c:pt>
                <c:pt idx="4">
                  <c:v>-0.29388438487482471</c:v>
                </c:pt>
                <c:pt idx="5">
                  <c:v>0.42848636245661798</c:v>
                </c:pt>
                <c:pt idx="6">
                  <c:v>0.87086200857282314</c:v>
                </c:pt>
                <c:pt idx="7">
                  <c:v>-1.0418542344133011</c:v>
                </c:pt>
                <c:pt idx="8">
                  <c:v>-0.35821414402735252</c:v>
                </c:pt>
                <c:pt idx="9">
                  <c:v>-2.9874410348709777</c:v>
                </c:pt>
                <c:pt idx="10">
                  <c:v>-1.7710597730582631</c:v>
                </c:pt>
                <c:pt idx="11">
                  <c:v>-2.1283666149090612</c:v>
                </c:pt>
                <c:pt idx="12">
                  <c:v>1.3866565617288482</c:v>
                </c:pt>
                <c:pt idx="13">
                  <c:v>1.3449120667802159</c:v>
                </c:pt>
                <c:pt idx="14">
                  <c:v>6.3680443032953082</c:v>
                </c:pt>
                <c:pt idx="15">
                  <c:v>-2.2442172399933087</c:v>
                </c:pt>
                <c:pt idx="16">
                  <c:v>-1.1430420352906694</c:v>
                </c:pt>
                <c:pt idx="17">
                  <c:v>-0.79116029558989487</c:v>
                </c:pt>
              </c:numCache>
            </c:numRef>
          </c:yVal>
          <c:smooth val="1"/>
          <c:extLst>
            <c:ext xmlns:c16="http://schemas.microsoft.com/office/drawing/2014/chart" uri="{C3380CC4-5D6E-409C-BE32-E72D297353CC}">
              <c16:uniqueId val="{00000012-85CB-49CF-AC9D-EE3318C0D428}"/>
            </c:ext>
          </c:extLst>
        </c:ser>
        <c:dLbls>
          <c:showLegendKey val="0"/>
          <c:showVal val="0"/>
          <c:showCatName val="0"/>
          <c:showSerName val="0"/>
          <c:showPercent val="0"/>
          <c:showBubbleSize val="0"/>
        </c:dLbls>
        <c:axId val="220401872"/>
        <c:axId val="343751600"/>
      </c:scatterChart>
      <c:valAx>
        <c:axId val="220401872"/>
        <c:scaling>
          <c:orientation val="minMax"/>
          <c:min val="-3"/>
        </c:scaling>
        <c:delete val="0"/>
        <c:axPos val="b"/>
        <c:majorGridlines>
          <c:spPr>
            <a:ln w="12700" cap="flat" cmpd="sng" algn="ctr">
              <a:noFill/>
              <a:round/>
            </a:ln>
            <a:effectLst/>
          </c:spPr>
        </c:majorGridlines>
        <c:title>
          <c:tx>
            <c:rich>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Производни јаз</a:t>
                </a:r>
              </a:p>
            </c:rich>
          </c:tx>
          <c:layout>
            <c:manualLayout>
              <c:xMode val="edge"/>
              <c:yMode val="edge"/>
              <c:x val="0.77499424361040758"/>
              <c:y val="0.58008560283175614"/>
            </c:manualLayout>
          </c:layout>
          <c:overlay val="0"/>
          <c:spPr>
            <a:noFill/>
            <a:ln>
              <a:noFill/>
            </a:ln>
            <a:effectLst/>
          </c:spPr>
        </c:title>
        <c:numFmt formatCode="#,##0" sourceLinked="0"/>
        <c:majorTickMark val="none"/>
        <c:minorTickMark val="none"/>
        <c:tickLblPos val="nextTo"/>
        <c:spPr>
          <a:noFill/>
          <a:ln w="9525" cap="flat" cmpd="sng" algn="ctr">
            <a:solidFill>
              <a:srgbClr val="D9D9D9"/>
            </a:solidFill>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343751600"/>
        <c:crosses val="autoZero"/>
        <c:crossBetween val="midCat"/>
        <c:majorUnit val="1"/>
      </c:valAx>
      <c:valAx>
        <c:axId val="343751600"/>
        <c:scaling>
          <c:orientation val="minMax"/>
          <c:max val="6.5"/>
          <c:min val="-4"/>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Фискални импулс</a:t>
                </a:r>
                <a:endParaRPr lang="en-GB" sz="600" b="0">
                  <a:solidFill>
                    <a:srgbClr val="44546A"/>
                  </a:solidFill>
                  <a:latin typeface="+mn-lt"/>
                </a:endParaRPr>
              </a:p>
            </c:rich>
          </c:tx>
          <c:layout>
            <c:manualLayout>
              <c:xMode val="edge"/>
              <c:yMode val="edge"/>
              <c:x val="2.4161628879145417E-3"/>
              <c:y val="0.44769774803866563"/>
            </c:manualLayout>
          </c:layout>
          <c:overlay val="0"/>
          <c:spPr>
            <a:noFill/>
            <a:ln>
              <a:noFill/>
            </a:ln>
            <a:effectLst/>
          </c:spPr>
        </c:title>
        <c:numFmt formatCode="#,##0" sourceLinked="0"/>
        <c:majorTickMark val="none"/>
        <c:minorTickMark val="none"/>
        <c:tickLblPos val="nextTo"/>
        <c:spPr>
          <a:noFill/>
          <a:ln w="9525">
            <a:solidFill>
              <a:srgbClr val="D9D9D9"/>
            </a:solidFill>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220401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latin typeface="Cambria" panose="02040503050406030204" pitchFamily="18" charset="0"/>
        </a:defRPr>
      </a:pPr>
      <a:endParaRPr lang="sr-Latn-RS"/>
    </a:p>
  </c:txPr>
  <c:externalData r:id="rId2">
    <c:autoUpdate val="0"/>
  </c:externalData>
  <c:userShapes r:id="rId3"/>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72266168202609"/>
          <c:y val="4.2508416483893662E-2"/>
          <c:w val="0.84072187845043433"/>
          <c:h val="0.81374254200939145"/>
        </c:manualLayout>
      </c:layout>
      <c:barChart>
        <c:barDir val="col"/>
        <c:grouping val="clustered"/>
        <c:varyColors val="0"/>
        <c:ser>
          <c:idx val="0"/>
          <c:order val="0"/>
          <c:spPr>
            <a:solidFill>
              <a:schemeClr val="accent1"/>
            </a:solidFill>
            <a:ln w="25400">
              <a:solidFill>
                <a:schemeClr val="accent1"/>
              </a:solidFill>
            </a:ln>
            <a:effectLst/>
          </c:spPr>
          <c:invertIfNegative val="0"/>
          <c:dLbls>
            <c:dLbl>
              <c:idx val="8"/>
              <c:layout>
                <c:manualLayout>
                  <c:x val="9.2102233479161022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8EE-47D1-8F09-9EE96249E360}"/>
                </c:ext>
              </c:extLst>
            </c:dLbl>
            <c:dLbl>
              <c:idx val="11"/>
              <c:layout>
                <c:manualLayout>
                  <c:x val="-8.4426072058709598E-17"/>
                  <c:y val="1.03761348897535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8EE-47D1-8F09-9EE96249E360}"/>
                </c:ext>
              </c:extLst>
            </c:dLbl>
            <c:dLbl>
              <c:idx val="12"/>
              <c:layout>
                <c:manualLayout>
                  <c:x val="-9.2102233479161872E-3"/>
                  <c:y val="-5.188067444876783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8EE-47D1-8F09-9EE96249E360}"/>
                </c:ext>
              </c:extLst>
            </c:dLbl>
            <c:dLbl>
              <c:idx val="13"/>
              <c:layout>
                <c:manualLayout>
                  <c:x val="0"/>
                  <c:y val="5.188067444876783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0CC-43ED-A74E-07A359CAF23C}"/>
                </c:ext>
              </c:extLst>
            </c:dLbl>
            <c:dLbl>
              <c:idx val="14"/>
              <c:layout>
                <c:manualLayout>
                  <c:x val="4.6051116739580936E-3"/>
                  <c:y val="5.188067444876783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0CC-43ED-A74E-07A359CAF23C}"/>
                </c:ext>
              </c:extLst>
            </c:dLbl>
            <c:dLbl>
              <c:idx val="15"/>
              <c:layout>
                <c:manualLayout>
                  <c:x val="1.381533502187428E-2"/>
                  <c:y val="1.0376134889753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8EE-47D1-8F09-9EE96249E360}"/>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'Сценарио 1'!$C$79:$C$94</c:f>
              <c:strCache>
                <c:ptCount val="16"/>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strCache>
            </c:strRef>
          </c:cat>
          <c:val>
            <c:numRef>
              <c:f>'Сценарио 1'!$D$79:$D$94</c:f>
              <c:numCache>
                <c:formatCode>#.#00</c:formatCode>
                <c:ptCount val="16"/>
                <c:pt idx="0">
                  <c:v>28.7</c:v>
                </c:pt>
                <c:pt idx="1">
                  <c:v>32.799999999999997</c:v>
                </c:pt>
                <c:pt idx="2">
                  <c:v>41.4</c:v>
                </c:pt>
                <c:pt idx="3">
                  <c:v>44.687403264025434</c:v>
                </c:pt>
                <c:pt idx="4">
                  <c:v>54.584451229535397</c:v>
                </c:pt>
                <c:pt idx="5">
                  <c:v>57.483723765998221</c:v>
                </c:pt>
                <c:pt idx="6">
                  <c:v>67.495119111541086</c:v>
                </c:pt>
                <c:pt idx="7">
                  <c:v>71.199826072534094</c:v>
                </c:pt>
                <c:pt idx="8">
                  <c:v>68.7</c:v>
                </c:pt>
                <c:pt idx="9">
                  <c:v>58.6</c:v>
                </c:pt>
                <c:pt idx="10">
                  <c:v>54.4</c:v>
                </c:pt>
                <c:pt idx="11">
                  <c:v>52.8</c:v>
                </c:pt>
                <c:pt idx="12" formatCode="General">
                  <c:v>57.8</c:v>
                </c:pt>
                <c:pt idx="13">
                  <c:v>57.124554851384275</c:v>
                </c:pt>
                <c:pt idx="14">
                  <c:v>55.6</c:v>
                </c:pt>
                <c:pt idx="15">
                  <c:v>54.3</c:v>
                </c:pt>
              </c:numCache>
            </c:numRef>
          </c:val>
          <c:extLst>
            <c:ext xmlns:c16="http://schemas.microsoft.com/office/drawing/2014/chart" uri="{C3380CC4-5D6E-409C-BE32-E72D297353CC}">
              <c16:uniqueId val="{00000000-D8EE-47D1-8F09-9EE96249E360}"/>
            </c:ext>
          </c:extLst>
        </c:ser>
        <c:dLbls>
          <c:showLegendKey val="0"/>
          <c:showVal val="0"/>
          <c:showCatName val="0"/>
          <c:showSerName val="0"/>
          <c:showPercent val="0"/>
          <c:showBubbleSize val="0"/>
        </c:dLbls>
        <c:gapWidth val="158"/>
        <c:axId val="582077168"/>
        <c:axId val="582077584"/>
      </c:barChart>
      <c:catAx>
        <c:axId val="582077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582077584"/>
        <c:crosses val="autoZero"/>
        <c:auto val="1"/>
        <c:lblAlgn val="ctr"/>
        <c:lblOffset val="100"/>
        <c:noMultiLvlLbl val="0"/>
      </c:catAx>
      <c:valAx>
        <c:axId val="582077584"/>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t>% БДП</a:t>
                </a:r>
              </a:p>
            </c:rich>
          </c:tx>
          <c:layout>
            <c:manualLayout>
              <c:xMode val="edge"/>
              <c:yMode val="edge"/>
              <c:x val="8.7452842461298308E-3"/>
              <c:y val="0.40022441084197174"/>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58207716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3">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654634754814069E-2"/>
          <c:y val="5.0621986652026364E-2"/>
          <c:w val="0.88697569262511322"/>
          <c:h val="0.90664979271278157"/>
        </c:manualLayout>
      </c:layout>
      <c:lineChart>
        <c:grouping val="standard"/>
        <c:varyColors val="0"/>
        <c:ser>
          <c:idx val="0"/>
          <c:order val="0"/>
          <c:tx>
            <c:strRef>
              <c:f>'Quaterly, Yearly'!$CT$5</c:f>
              <c:strCache>
                <c:ptCount val="1"/>
                <c:pt idx="0">
                  <c:v>Примарни резултат који стабилизује учешће дуга у БДП</c:v>
                </c:pt>
              </c:strCache>
            </c:strRef>
          </c:tx>
          <c:spPr>
            <a:ln w="22225" cap="rnd">
              <a:solidFill>
                <a:schemeClr val="accent1"/>
              </a:solidFill>
              <a:round/>
            </a:ln>
            <a:effectLst/>
          </c:spPr>
          <c:marker>
            <c:symbol val="none"/>
          </c:marker>
          <c:cat>
            <c:strRef>
              <c:f>'Quaterly, Yearly'!$DG$7:$DR$8</c:f>
              <c:strCache>
                <c:ptCount val="12"/>
                <c:pt idx="0">
                  <c:v>2015</c:v>
                </c:pt>
                <c:pt idx="1">
                  <c:v>2016</c:v>
                </c:pt>
                <c:pt idx="2">
                  <c:v>2017</c:v>
                </c:pt>
                <c:pt idx="3">
                  <c:v>2018</c:v>
                </c:pt>
                <c:pt idx="4">
                  <c:v>2019</c:v>
                </c:pt>
                <c:pt idx="5">
                  <c:v>2020</c:v>
                </c:pt>
                <c:pt idx="6">
                  <c:v>2021</c:v>
                </c:pt>
                <c:pt idx="7">
                  <c:v>2022</c:v>
                </c:pt>
                <c:pt idx="8">
                  <c:v>2023</c:v>
                </c:pt>
                <c:pt idx="9">
                  <c:v>2024</c:v>
                </c:pt>
                <c:pt idx="10">
                  <c:v>2025</c:v>
                </c:pt>
                <c:pt idx="11">
                  <c:v>2026</c:v>
                </c:pt>
              </c:strCache>
            </c:strRef>
          </c:cat>
          <c:val>
            <c:numRef>
              <c:f>'Quaterly, Yearly'!$DG$5:$DR$5</c:f>
              <c:numCache>
                <c:formatCode>###,000</c:formatCode>
                <c:ptCount val="12"/>
                <c:pt idx="0">
                  <c:v>0.33469487792738534</c:v>
                </c:pt>
                <c:pt idx="1">
                  <c:v>-0.48152612519681304</c:v>
                </c:pt>
                <c:pt idx="2">
                  <c:v>-0.51643690674312936</c:v>
                </c:pt>
                <c:pt idx="3">
                  <c:v>-1.440661646189574</c:v>
                </c:pt>
                <c:pt idx="4">
                  <c:v>-1.563465039272079</c:v>
                </c:pt>
                <c:pt idx="5">
                  <c:v>1.0106948845758126</c:v>
                </c:pt>
                <c:pt idx="6">
                  <c:v>-5.5172705327614562</c:v>
                </c:pt>
                <c:pt idx="7">
                  <c:v>-5.1301661416499469</c:v>
                </c:pt>
                <c:pt idx="8">
                  <c:v>-5.333386518133266</c:v>
                </c:pt>
                <c:pt idx="9">
                  <c:v>-2.1828097704814953</c:v>
                </c:pt>
                <c:pt idx="10">
                  <c:v>-1.7839214586818348</c:v>
                </c:pt>
                <c:pt idx="11">
                  <c:v>-1.289899435879962</c:v>
                </c:pt>
              </c:numCache>
            </c:numRef>
          </c:val>
          <c:smooth val="0"/>
          <c:extLst>
            <c:ext xmlns:c16="http://schemas.microsoft.com/office/drawing/2014/chart" uri="{C3380CC4-5D6E-409C-BE32-E72D297353CC}">
              <c16:uniqueId val="{00000000-83FD-4586-9C91-F416393FF937}"/>
            </c:ext>
          </c:extLst>
        </c:ser>
        <c:ser>
          <c:idx val="1"/>
          <c:order val="1"/>
          <c:tx>
            <c:v>Остварени (пројектовани) примарни фискални резултат</c:v>
          </c:tx>
          <c:spPr>
            <a:ln w="22225" cap="rnd">
              <a:solidFill>
                <a:schemeClr val="accent2"/>
              </a:solidFill>
              <a:prstDash val="sysDash"/>
              <a:round/>
            </a:ln>
            <a:effectLst/>
          </c:spPr>
          <c:marker>
            <c:symbol val="none"/>
          </c:marker>
          <c:cat>
            <c:strRef>
              <c:f>'Quaterly, Yearly'!$DG$7:$DR$8</c:f>
              <c:strCache>
                <c:ptCount val="12"/>
                <c:pt idx="0">
                  <c:v>2015</c:v>
                </c:pt>
                <c:pt idx="1">
                  <c:v>2016</c:v>
                </c:pt>
                <c:pt idx="2">
                  <c:v>2017</c:v>
                </c:pt>
                <c:pt idx="3">
                  <c:v>2018</c:v>
                </c:pt>
                <c:pt idx="4">
                  <c:v>2019</c:v>
                </c:pt>
                <c:pt idx="5">
                  <c:v>2020</c:v>
                </c:pt>
                <c:pt idx="6">
                  <c:v>2021</c:v>
                </c:pt>
                <c:pt idx="7">
                  <c:v>2022</c:v>
                </c:pt>
                <c:pt idx="8">
                  <c:v>2023</c:v>
                </c:pt>
                <c:pt idx="9">
                  <c:v>2024</c:v>
                </c:pt>
                <c:pt idx="10">
                  <c:v>2025</c:v>
                </c:pt>
                <c:pt idx="11">
                  <c:v>2026</c:v>
                </c:pt>
              </c:strCache>
            </c:strRef>
          </c:cat>
          <c:val>
            <c:numRef>
              <c:f>'Quaterly, Yearly'!$DG$61:$DR$61</c:f>
              <c:numCache>
                <c:formatCode>##,#00</c:formatCode>
                <c:ptCount val="12"/>
                <c:pt idx="0">
                  <c:v>-0.47061316203530046</c:v>
                </c:pt>
                <c:pt idx="1">
                  <c:v>1.7045650732845505</c:v>
                </c:pt>
                <c:pt idx="2">
                  <c:v>3.634771068549187</c:v>
                </c:pt>
                <c:pt idx="3">
                  <c:v>2.7475533250713307</c:v>
                </c:pt>
                <c:pt idx="4">
                  <c:v>1.7916206652556272</c:v>
                </c:pt>
                <c:pt idx="5">
                  <c:v>-6.0431380560869226</c:v>
                </c:pt>
                <c:pt idx="6">
                  <c:v>-2.404213120233746</c:v>
                </c:pt>
                <c:pt idx="7">
                  <c:v>-1.6638900250618343</c:v>
                </c:pt>
                <c:pt idx="8" formatCode="#.000">
                  <c:v>-1.1970753378169927</c:v>
                </c:pt>
                <c:pt idx="9" formatCode="#.000">
                  <c:v>-8.6770086512486522E-2</c:v>
                </c:pt>
                <c:pt idx="10" formatCode="#.000">
                  <c:v>0.76513614070691727</c:v>
                </c:pt>
                <c:pt idx="11" formatCode="#.000">
                  <c:v>0.91335475033751479</c:v>
                </c:pt>
              </c:numCache>
            </c:numRef>
          </c:val>
          <c:smooth val="0"/>
          <c:extLst>
            <c:ext xmlns:c16="http://schemas.microsoft.com/office/drawing/2014/chart" uri="{C3380CC4-5D6E-409C-BE32-E72D297353CC}">
              <c16:uniqueId val="{00000001-83FD-4586-9C91-F416393FF937}"/>
            </c:ext>
          </c:extLst>
        </c:ser>
        <c:dLbls>
          <c:showLegendKey val="0"/>
          <c:showVal val="0"/>
          <c:showCatName val="0"/>
          <c:showSerName val="0"/>
          <c:showPercent val="0"/>
          <c:showBubbleSize val="0"/>
        </c:dLbls>
        <c:smooth val="0"/>
        <c:axId val="519226144"/>
        <c:axId val="519226704"/>
      </c:lineChart>
      <c:catAx>
        <c:axId val="5192261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519226704"/>
        <c:crosses val="autoZero"/>
        <c:auto val="1"/>
        <c:lblAlgn val="ctr"/>
        <c:lblOffset val="100"/>
        <c:noMultiLvlLbl val="0"/>
      </c:catAx>
      <c:valAx>
        <c:axId val="519226704"/>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latin typeface="+mn-lt"/>
                  </a:rPr>
                  <a:t>% БДП</a:t>
                </a:r>
                <a:endParaRPr lang="en-US" sz="700">
                  <a:latin typeface="+mn-lt"/>
                </a:endParaRPr>
              </a:p>
            </c:rich>
          </c:tx>
          <c:layout>
            <c:manualLayout>
              <c:xMode val="edge"/>
              <c:yMode val="edge"/>
              <c:x val="8.967276511573514E-4"/>
              <c:y val="0.43417345757544501"/>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519226144"/>
        <c:crosses val="autoZero"/>
        <c:crossBetween val="between"/>
      </c:valAx>
      <c:spPr>
        <a:noFill/>
        <a:ln>
          <a:noFill/>
        </a:ln>
        <a:effectLst/>
      </c:spPr>
    </c:plotArea>
    <c:legend>
      <c:legendPos val="r"/>
      <c:layout>
        <c:manualLayout>
          <c:xMode val="edge"/>
          <c:yMode val="edge"/>
          <c:x val="0.50348565649947374"/>
          <c:y val="2.1472796249813752E-2"/>
          <c:w val="0.49291803102994453"/>
          <c:h val="0.32435443386170615"/>
        </c:manualLayout>
      </c:layout>
      <c:overlay val="0"/>
      <c:spPr>
        <a:noFill/>
        <a:ln>
          <a:noFill/>
        </a:ln>
        <a:effectLst/>
      </c:spPr>
      <c:txPr>
        <a:bodyPr rot="0" spcFirstLastPara="1" vertOverflow="ellipsis" vert="horz" wrap="square" anchor="ctr" anchorCtr="1"/>
        <a:lstStyle/>
        <a:p>
          <a:pPr>
            <a:defRPr sz="6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625437445319335"/>
          <c:y val="2.9912556166267597E-2"/>
          <c:w val="0.82572360746573348"/>
          <c:h val="0.68790176558326699"/>
        </c:manualLayout>
      </c:layout>
      <c:barChart>
        <c:barDir val="col"/>
        <c:grouping val="clustered"/>
        <c:varyColors val="0"/>
        <c:dLbls>
          <c:showLegendKey val="0"/>
          <c:showVal val="0"/>
          <c:showCatName val="0"/>
          <c:showSerName val="0"/>
          <c:showPercent val="0"/>
          <c:showBubbleSize val="0"/>
        </c:dLbls>
        <c:gapWidth val="200"/>
        <c:axId val="1433716128"/>
        <c:axId val="1433710720"/>
        <c:extLst>
          <c:ext xmlns:c15="http://schemas.microsoft.com/office/drawing/2012/chart" uri="{02D57815-91ED-43cb-92C2-25804820EDAC}">
            <c15:filteredBarSeries>
              <c15:ser>
                <c:idx val="4"/>
                <c:order val="4"/>
                <c:tx>
                  <c:strRef>
                    <c:extLst>
                      <c:ext uri="{02D57815-91ED-43cb-92C2-25804820EDAC}">
                        <c15:formulaRef>
                          <c15:sqref>'Сценарио 1'!$B$48</c15:sqref>
                        </c15:formulaRef>
                      </c:ext>
                    </c:extLst>
                    <c:strCache>
                      <c:ptCount val="1"/>
                      <c:pt idx="0">
                        <c:v>Основни сценарио (дефицит)</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c:ext uri="{02D57815-91ED-43cb-92C2-25804820EDAC}">
                        <c15:formulaRef>
                          <c15:sqref>'Сценарио 1'!$C$33:$L$33</c15:sqref>
                        </c15:formulaRef>
                      </c:ext>
                    </c:extLst>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extLst>
                      <c:ext uri="{02D57815-91ED-43cb-92C2-25804820EDAC}">
                        <c15:formulaRef>
                          <c15:sqref>'Сценарио 1'!$C$48:$L$48</c15:sqref>
                        </c15:formulaRef>
                      </c:ext>
                    </c:extLst>
                    <c:numCache>
                      <c:formatCode>General</c:formatCode>
                      <c:ptCount val="10"/>
                      <c:pt idx="0">
                        <c:v>3.2</c:v>
                      </c:pt>
                      <c:pt idx="1">
                        <c:v>3</c:v>
                      </c:pt>
                      <c:pt idx="2">
                        <c:v>2.2000000000000002</c:v>
                      </c:pt>
                      <c:pt idx="3">
                        <c:v>1.5</c:v>
                      </c:pt>
                      <c:pt idx="4">
                        <c:v>1.5</c:v>
                      </c:pt>
                      <c:pt idx="5">
                        <c:v>1.5</c:v>
                      </c:pt>
                      <c:pt idx="6">
                        <c:v>1.5</c:v>
                      </c:pt>
                      <c:pt idx="7">
                        <c:v>1.5</c:v>
                      </c:pt>
                      <c:pt idx="8">
                        <c:v>1.5</c:v>
                      </c:pt>
                      <c:pt idx="9">
                        <c:v>1.5</c:v>
                      </c:pt>
                    </c:numCache>
                  </c:numRef>
                </c:val>
                <c:extLst>
                  <c:ext xmlns:c16="http://schemas.microsoft.com/office/drawing/2014/chart" uri="{C3380CC4-5D6E-409C-BE32-E72D297353CC}">
                    <c16:uniqueId val="{00000038-6D24-496E-BE1E-A5680E6EFDA8}"/>
                  </c:ext>
                </c:extLst>
              </c15:ser>
            </c15:filteredBarSeries>
            <c15:filteredBarSeries>
              <c15:ser>
                <c:idx val="5"/>
                <c:order val="5"/>
                <c:tx>
                  <c:strRef>
                    <c:extLst xmlns:c15="http://schemas.microsoft.com/office/drawing/2012/chart">
                      <c:ext xmlns:c15="http://schemas.microsoft.com/office/drawing/2012/chart" uri="{02D57815-91ED-43cb-92C2-25804820EDAC}">
                        <c15:formulaRef>
                          <c15:sqref>'Сценарио 1'!$B$49</c15:sqref>
                        </c15:formulaRef>
                      </c:ext>
                    </c:extLst>
                    <c:strCache>
                      <c:ptCount val="1"/>
                      <c:pt idx="0">
                        <c:v>Успорен раст након 2026. (дефицит)</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1'!$C$33:$L$33</c15:sqref>
                        </c15:formulaRef>
                      </c:ext>
                    </c:extLst>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extLst xmlns:c15="http://schemas.microsoft.com/office/drawing/2012/chart">
                      <c:ext xmlns:c15="http://schemas.microsoft.com/office/drawing/2012/chart" uri="{02D57815-91ED-43cb-92C2-25804820EDAC}">
                        <c15:formulaRef>
                          <c15:sqref>'Сценарио 1'!$C$49:$L$49</c15:sqref>
                        </c15:formulaRef>
                      </c:ext>
                    </c:extLst>
                    <c:numCache>
                      <c:formatCode>General</c:formatCode>
                      <c:ptCount val="10"/>
                      <c:pt idx="0">
                        <c:v>3.2</c:v>
                      </c:pt>
                      <c:pt idx="1">
                        <c:v>3</c:v>
                      </c:pt>
                      <c:pt idx="2">
                        <c:v>2.2000000000000002</c:v>
                      </c:pt>
                      <c:pt idx="3">
                        <c:v>1.5</c:v>
                      </c:pt>
                      <c:pt idx="4">
                        <c:v>1.5</c:v>
                      </c:pt>
                      <c:pt idx="5">
                        <c:v>1.5</c:v>
                      </c:pt>
                      <c:pt idx="6">
                        <c:v>1.5</c:v>
                      </c:pt>
                      <c:pt idx="7">
                        <c:v>1.5</c:v>
                      </c:pt>
                      <c:pt idx="8">
                        <c:v>1.5</c:v>
                      </c:pt>
                      <c:pt idx="9">
                        <c:v>1.5</c:v>
                      </c:pt>
                    </c:numCache>
                  </c:numRef>
                </c:val>
                <c:extLst xmlns:c15="http://schemas.microsoft.com/office/drawing/2012/chart">
                  <c:ext xmlns:c16="http://schemas.microsoft.com/office/drawing/2014/chart" uri="{C3380CC4-5D6E-409C-BE32-E72D297353CC}">
                    <c16:uniqueId val="{00000039-6D24-496E-BE1E-A5680E6EFDA8}"/>
                  </c:ext>
                </c:extLst>
              </c15:ser>
            </c15:filteredBarSeries>
            <c15:filteredBarSeries>
              <c15:ser>
                <c:idx val="6"/>
                <c:order val="6"/>
                <c:tx>
                  <c:strRef>
                    <c:extLst xmlns:c15="http://schemas.microsoft.com/office/drawing/2012/chart">
                      <c:ext xmlns:c15="http://schemas.microsoft.com/office/drawing/2012/chart" uri="{02D57815-91ED-43cb-92C2-25804820EDAC}">
                        <c15:formulaRef>
                          <c15:sqref>'Сценарио 1'!$B$50</c15:sqref>
                        </c15:formulaRef>
                      </c:ext>
                    </c:extLst>
                    <c:strCache>
                      <c:ptCount val="1"/>
                      <c:pt idx="0">
                        <c:v>Фискални шок након 2026. године (дефицит)</c:v>
                      </c:pt>
                    </c:strCache>
                  </c:strRef>
                </c:tx>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1'!$C$33:$L$33</c15:sqref>
                        </c15:formulaRef>
                      </c:ext>
                    </c:extLst>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extLst xmlns:c15="http://schemas.microsoft.com/office/drawing/2012/chart">
                      <c:ext xmlns:c15="http://schemas.microsoft.com/office/drawing/2012/chart" uri="{02D57815-91ED-43cb-92C2-25804820EDAC}">
                        <c15:formulaRef>
                          <c15:sqref>'Сценарио 1'!$C$50:$L$50</c15:sqref>
                        </c15:formulaRef>
                      </c:ext>
                    </c:extLst>
                    <c:numCache>
                      <c:formatCode>General</c:formatCode>
                      <c:ptCount val="10"/>
                      <c:pt idx="0">
                        <c:v>3.2</c:v>
                      </c:pt>
                      <c:pt idx="1">
                        <c:v>3</c:v>
                      </c:pt>
                      <c:pt idx="2">
                        <c:v>2.2000000000000002</c:v>
                      </c:pt>
                      <c:pt idx="3">
                        <c:v>1.5</c:v>
                      </c:pt>
                      <c:pt idx="4">
                        <c:v>1.5</c:v>
                      </c:pt>
                      <c:pt idx="5">
                        <c:v>8</c:v>
                      </c:pt>
                      <c:pt idx="6">
                        <c:v>2</c:v>
                      </c:pt>
                      <c:pt idx="7">
                        <c:v>0</c:v>
                      </c:pt>
                      <c:pt idx="8">
                        <c:v>0.5</c:v>
                      </c:pt>
                      <c:pt idx="9">
                        <c:v>0.5</c:v>
                      </c:pt>
                    </c:numCache>
                  </c:numRef>
                </c:val>
                <c:extLst xmlns:c15="http://schemas.microsoft.com/office/drawing/2012/chart">
                  <c:ext xmlns:c16="http://schemas.microsoft.com/office/drawing/2014/chart" uri="{C3380CC4-5D6E-409C-BE32-E72D297353CC}">
                    <c16:uniqueId val="{0000003A-6D24-496E-BE1E-A5680E6EFDA8}"/>
                  </c:ext>
                </c:extLst>
              </c15:ser>
            </c15:filteredBarSeries>
          </c:ext>
        </c:extLst>
      </c:barChart>
      <c:lineChart>
        <c:grouping val="standard"/>
        <c:varyColors val="0"/>
        <c:ser>
          <c:idx val="2"/>
          <c:order val="1"/>
          <c:tx>
            <c:strRef>
              <c:f>'manji rast'!$B$33</c:f>
              <c:strCache>
                <c:ptCount val="1"/>
                <c:pt idx="0">
                  <c:v>Успорен раст након 2026</c:v>
                </c:pt>
              </c:strCache>
            </c:strRef>
          </c:tx>
          <c:spPr>
            <a:ln w="22225" cap="rnd">
              <a:solidFill>
                <a:schemeClr val="accent3"/>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6D24-496E-BE1E-A5680E6EFDA8}"/>
                </c:ext>
              </c:extLst>
            </c:dLbl>
            <c:dLbl>
              <c:idx val="1"/>
              <c:delete val="1"/>
              <c:extLst>
                <c:ext xmlns:c15="http://schemas.microsoft.com/office/drawing/2012/chart" uri="{CE6537A1-D6FC-4f65-9D91-7224C49458BB}"/>
                <c:ext xmlns:c16="http://schemas.microsoft.com/office/drawing/2014/chart" uri="{C3380CC4-5D6E-409C-BE32-E72D297353CC}">
                  <c16:uniqueId val="{00000001-6D24-496E-BE1E-A5680E6EFDA8}"/>
                </c:ext>
              </c:extLst>
            </c:dLbl>
            <c:dLbl>
              <c:idx val="2"/>
              <c:delete val="1"/>
              <c:extLst>
                <c:ext xmlns:c15="http://schemas.microsoft.com/office/drawing/2012/chart" uri="{CE6537A1-D6FC-4f65-9D91-7224C49458BB}"/>
                <c:ext xmlns:c16="http://schemas.microsoft.com/office/drawing/2014/chart" uri="{C3380CC4-5D6E-409C-BE32-E72D297353CC}">
                  <c16:uniqueId val="{00000002-6D24-496E-BE1E-A5680E6EFDA8}"/>
                </c:ext>
              </c:extLst>
            </c:dLbl>
            <c:dLbl>
              <c:idx val="3"/>
              <c:delete val="1"/>
              <c:extLst>
                <c:ext xmlns:c15="http://schemas.microsoft.com/office/drawing/2012/chart" uri="{CE6537A1-D6FC-4f65-9D91-7224C49458BB}"/>
                <c:ext xmlns:c16="http://schemas.microsoft.com/office/drawing/2014/chart" uri="{C3380CC4-5D6E-409C-BE32-E72D297353CC}">
                  <c16:uniqueId val="{00000003-6D24-496E-BE1E-A5680E6EFDA8}"/>
                </c:ext>
              </c:extLst>
            </c:dLbl>
            <c:dLbl>
              <c:idx val="4"/>
              <c:delete val="1"/>
              <c:extLst>
                <c:ext xmlns:c15="http://schemas.microsoft.com/office/drawing/2012/chart" uri="{CE6537A1-D6FC-4f65-9D91-7224C49458BB}"/>
                <c:ext xmlns:c16="http://schemas.microsoft.com/office/drawing/2014/chart" uri="{C3380CC4-5D6E-409C-BE32-E72D297353CC}">
                  <c16:uniqueId val="{00000004-6D24-496E-BE1E-A5680E6EFDA8}"/>
                </c:ext>
              </c:extLst>
            </c:dLbl>
            <c:dLbl>
              <c:idx val="5"/>
              <c:delete val="1"/>
              <c:extLst>
                <c:ext xmlns:c15="http://schemas.microsoft.com/office/drawing/2012/chart" uri="{CE6537A1-D6FC-4f65-9D91-7224C49458BB}"/>
                <c:ext xmlns:c16="http://schemas.microsoft.com/office/drawing/2014/chart" uri="{C3380CC4-5D6E-409C-BE32-E72D297353CC}">
                  <c16:uniqueId val="{00000005-6D24-496E-BE1E-A5680E6EFDA8}"/>
                </c:ext>
              </c:extLst>
            </c:dLbl>
            <c:dLbl>
              <c:idx val="6"/>
              <c:delete val="1"/>
              <c:extLst>
                <c:ext xmlns:c15="http://schemas.microsoft.com/office/drawing/2012/chart" uri="{CE6537A1-D6FC-4f65-9D91-7224C49458BB}"/>
                <c:ext xmlns:c16="http://schemas.microsoft.com/office/drawing/2014/chart" uri="{C3380CC4-5D6E-409C-BE32-E72D297353CC}">
                  <c16:uniqueId val="{00000006-6D24-496E-BE1E-A5680E6EFDA8}"/>
                </c:ext>
              </c:extLst>
            </c:dLbl>
            <c:dLbl>
              <c:idx val="7"/>
              <c:delete val="1"/>
              <c:extLst>
                <c:ext xmlns:c15="http://schemas.microsoft.com/office/drawing/2012/chart" uri="{CE6537A1-D6FC-4f65-9D91-7224C49458BB}"/>
                <c:ext xmlns:c16="http://schemas.microsoft.com/office/drawing/2014/chart" uri="{C3380CC4-5D6E-409C-BE32-E72D297353CC}">
                  <c16:uniqueId val="{00000007-6D24-496E-BE1E-A5680E6EFDA8}"/>
                </c:ext>
              </c:extLst>
            </c:dLbl>
            <c:dLbl>
              <c:idx val="8"/>
              <c:delete val="1"/>
              <c:extLst>
                <c:ext xmlns:c15="http://schemas.microsoft.com/office/drawing/2012/chart" uri="{CE6537A1-D6FC-4f65-9D91-7224C49458BB}"/>
                <c:ext xmlns:c16="http://schemas.microsoft.com/office/drawing/2014/chart" uri="{C3380CC4-5D6E-409C-BE32-E72D297353CC}">
                  <c16:uniqueId val="{00000008-6D24-496E-BE1E-A5680E6EFDA8}"/>
                </c:ext>
              </c:extLst>
            </c:dLbl>
            <c:dLbl>
              <c:idx val="9"/>
              <c:layout>
                <c:manualLayout>
                  <c:x val="-4.6379151844598105E-3"/>
                  <c:y val="4.152347454188498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D24-496E-BE1E-A5680E6EFDA8}"/>
                </c:ext>
              </c:extLst>
            </c:dLbl>
            <c:dLbl>
              <c:idx val="11"/>
              <c:delete val="1"/>
              <c:extLst>
                <c:ext xmlns:c15="http://schemas.microsoft.com/office/drawing/2012/chart" uri="{CE6537A1-D6FC-4f65-9D91-7224C49458BB}"/>
                <c:ext xmlns:c16="http://schemas.microsoft.com/office/drawing/2014/chart" uri="{C3380CC4-5D6E-409C-BE32-E72D297353CC}">
                  <c16:uniqueId val="{0000000A-6D24-496E-BE1E-A5680E6EFDA8}"/>
                </c:ext>
              </c:extLst>
            </c:dLbl>
            <c:dLbl>
              <c:idx val="12"/>
              <c:delete val="1"/>
              <c:extLst>
                <c:ext xmlns:c15="http://schemas.microsoft.com/office/drawing/2012/chart" uri="{CE6537A1-D6FC-4f65-9D91-7224C49458BB}"/>
                <c:ext xmlns:c16="http://schemas.microsoft.com/office/drawing/2014/chart" uri="{C3380CC4-5D6E-409C-BE32-E72D297353CC}">
                  <c16:uniqueId val="{0000000B-6D24-496E-BE1E-A5680E6EFDA8}"/>
                </c:ext>
              </c:extLst>
            </c:dLbl>
            <c:dLbl>
              <c:idx val="13"/>
              <c:layout>
                <c:manualLayout>
                  <c:x val="-7.4257428637148227E-3"/>
                  <c:y val="-8.61243694667635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6D24-496E-BE1E-A5680E6EFDA8}"/>
                </c:ext>
              </c:extLst>
            </c:dLbl>
            <c:dLbl>
              <c:idx val="14"/>
              <c:layout>
                <c:manualLayout>
                  <c:x val="-1.7647064024988345E-2"/>
                  <c:y val="-4.81323602006020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6D24-496E-BE1E-A5680E6EFDA8}"/>
                </c:ext>
              </c:extLst>
            </c:dLbl>
            <c:dLbl>
              <c:idx val="15"/>
              <c:delete val="1"/>
              <c:extLst>
                <c:ext xmlns:c15="http://schemas.microsoft.com/office/drawing/2012/chart" uri="{CE6537A1-D6FC-4f65-9D91-7224C49458BB}"/>
                <c:ext xmlns:c16="http://schemas.microsoft.com/office/drawing/2014/chart" uri="{C3380CC4-5D6E-409C-BE32-E72D297353CC}">
                  <c16:uniqueId val="{0000000E-6D24-496E-BE1E-A5680E6EFDA8}"/>
                </c:ext>
              </c:extLst>
            </c:dLbl>
            <c:dLbl>
              <c:idx val="16"/>
              <c:delete val="1"/>
              <c:extLst>
                <c:ext xmlns:c15="http://schemas.microsoft.com/office/drawing/2012/chart" uri="{CE6537A1-D6FC-4f65-9D91-7224C49458BB}"/>
                <c:ext xmlns:c16="http://schemas.microsoft.com/office/drawing/2014/chart" uri="{C3380CC4-5D6E-409C-BE32-E72D297353CC}">
                  <c16:uniqueId val="{0000000F-6D24-496E-BE1E-A5680E6EFDA8}"/>
                </c:ext>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6D24-496E-BE1E-A5680E6EFDA8}"/>
                </c:ext>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f>'manji rast'!$C$39:$L$39</c:f>
              <c:numCache>
                <c:formatCode>##,#00</c:formatCode>
                <c:ptCount val="10"/>
                <c:pt idx="0">
                  <c:v>55.6</c:v>
                </c:pt>
                <c:pt idx="1">
                  <c:v>54.3</c:v>
                </c:pt>
                <c:pt idx="2">
                  <c:v>54</c:v>
                </c:pt>
                <c:pt idx="3">
                  <c:v>53</c:v>
                </c:pt>
                <c:pt idx="4">
                  <c:v>51.9</c:v>
                </c:pt>
                <c:pt idx="5">
                  <c:v>51.564283266704741</c:v>
                </c:pt>
                <c:pt idx="6">
                  <c:v>51.732920536200382</c:v>
                </c:pt>
                <c:pt idx="7">
                  <c:v>52.022258775886591</c:v>
                </c:pt>
                <c:pt idx="8">
                  <c:v>52.431206041476607</c:v>
                </c:pt>
                <c:pt idx="9">
                  <c:v>52.831576535452889</c:v>
                </c:pt>
              </c:numCache>
            </c:numRef>
          </c:val>
          <c:smooth val="0"/>
          <c:extLst>
            <c:ext xmlns:c16="http://schemas.microsoft.com/office/drawing/2014/chart" uri="{C3380CC4-5D6E-409C-BE32-E72D297353CC}">
              <c16:uniqueId val="{00000011-6D24-496E-BE1E-A5680E6EFDA8}"/>
            </c:ext>
          </c:extLst>
        </c:ser>
        <c:ser>
          <c:idx val="1"/>
          <c:order val="2"/>
          <c:tx>
            <c:strRef>
              <c:f>'ekstremni sok'!$B$33</c:f>
              <c:strCache>
                <c:ptCount val="1"/>
                <c:pt idx="0">
                  <c:v>Фискални шок након 2026. године</c:v>
                </c:pt>
              </c:strCache>
            </c:strRef>
          </c:tx>
          <c:spPr>
            <a:ln w="22225" cap="rnd">
              <a:solidFill>
                <a:schemeClr val="accent2"/>
              </a:solidFill>
              <a:round/>
            </a:ln>
            <a:effectLst/>
          </c:spPr>
          <c:marker>
            <c:symbol val="none"/>
          </c:marker>
          <c:dLbls>
            <c:dLbl>
              <c:idx val="9"/>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6D24-496E-BE1E-A5680E6EFDA8}"/>
                </c:ext>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f>'ekstremni sok'!$C$39:$L$39</c:f>
              <c:numCache>
                <c:formatCode>##,#00</c:formatCode>
                <c:ptCount val="10"/>
                <c:pt idx="0">
                  <c:v>55.6</c:v>
                </c:pt>
                <c:pt idx="1">
                  <c:v>54.3</c:v>
                </c:pt>
                <c:pt idx="2">
                  <c:v>54</c:v>
                </c:pt>
                <c:pt idx="3">
                  <c:v>53</c:v>
                </c:pt>
                <c:pt idx="4">
                  <c:v>51.9</c:v>
                </c:pt>
                <c:pt idx="5">
                  <c:v>60.107723400039625</c:v>
                </c:pt>
                <c:pt idx="6">
                  <c:v>61.141331264598207</c:v>
                </c:pt>
                <c:pt idx="7">
                  <c:v>59.859025993135688</c:v>
                </c:pt>
                <c:pt idx="8">
                  <c:v>57.681196439328339</c:v>
                </c:pt>
                <c:pt idx="9">
                  <c:v>55.600793401331799</c:v>
                </c:pt>
              </c:numCache>
            </c:numRef>
          </c:val>
          <c:smooth val="0"/>
          <c:extLst>
            <c:ext xmlns:c16="http://schemas.microsoft.com/office/drawing/2014/chart" uri="{C3380CC4-5D6E-409C-BE32-E72D297353CC}">
              <c16:uniqueId val="{00000013-6D24-496E-BE1E-A5680E6EFDA8}"/>
            </c:ext>
          </c:extLst>
        </c:ser>
        <c:ser>
          <c:idx val="0"/>
          <c:order val="3"/>
          <c:tx>
            <c:strRef>
              <c:f>'Сценарио 1'!$B$33</c:f>
              <c:strCache>
                <c:ptCount val="1"/>
                <c:pt idx="0">
                  <c:v>Основни сценарио</c:v>
                </c:pt>
              </c:strCache>
            </c:strRef>
          </c:tx>
          <c:spPr>
            <a:ln w="2222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f>'Сценарио 1'!$C$39:$L$39</c:f>
              <c:numCache>
                <c:formatCode>##,#00</c:formatCode>
                <c:ptCount val="10"/>
                <c:pt idx="0">
                  <c:v>55.6</c:v>
                </c:pt>
                <c:pt idx="1">
                  <c:v>54.3</c:v>
                </c:pt>
                <c:pt idx="2">
                  <c:v>54</c:v>
                </c:pt>
                <c:pt idx="3">
                  <c:v>53</c:v>
                </c:pt>
                <c:pt idx="4">
                  <c:v>51.9</c:v>
                </c:pt>
                <c:pt idx="5">
                  <c:v>50.554996265870045</c:v>
                </c:pt>
                <c:pt idx="6">
                  <c:v>49.283721638599793</c:v>
                </c:pt>
                <c:pt idx="7">
                  <c:v>48.082134507701191</c:v>
                </c:pt>
                <c:pt idx="8">
                  <c:v>46.946414811759993</c:v>
                </c:pt>
                <c:pt idx="9">
                  <c:v>45.872951893774044</c:v>
                </c:pt>
              </c:numCache>
            </c:numRef>
          </c:val>
          <c:smooth val="0"/>
          <c:extLst>
            <c:ext xmlns:c16="http://schemas.microsoft.com/office/drawing/2014/chart" uri="{C3380CC4-5D6E-409C-BE32-E72D297353CC}">
              <c16:uniqueId val="{00000025-6D24-496E-BE1E-A5680E6EFDA8}"/>
            </c:ext>
          </c:extLst>
        </c:ser>
        <c:dLbls>
          <c:showLegendKey val="0"/>
          <c:showVal val="0"/>
          <c:showCatName val="0"/>
          <c:showSerName val="0"/>
          <c:showPercent val="0"/>
          <c:showBubbleSize val="0"/>
        </c:dLbls>
        <c:marker val="1"/>
        <c:smooth val="0"/>
        <c:axId val="248069424"/>
        <c:axId val="248068304"/>
        <c:extLst>
          <c:ext xmlns:c15="http://schemas.microsoft.com/office/drawing/2012/chart" uri="{02D57815-91ED-43cb-92C2-25804820EDAC}">
            <c15:filteredLineSeries>
              <c15:ser>
                <c:idx val="3"/>
                <c:order val="0"/>
                <c:tx>
                  <c:strRef>
                    <c:extLst>
                      <c:ext uri="{02D57815-91ED-43cb-92C2-25804820EDAC}">
                        <c15:formulaRef>
                          <c15:sqref>'manje prilg + manji rast'!$B$33</c15:sqref>
                        </c15:formulaRef>
                      </c:ext>
                    </c:extLst>
                    <c:strCache>
                      <c:ptCount val="1"/>
                      <c:pt idx="0">
                        <c:v>Успорен раст након 2026, фискална експанзија</c:v>
                      </c:pt>
                    </c:strCache>
                  </c:strRef>
                </c:tx>
                <c:spPr>
                  <a:ln w="34925"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a:solidFill>
                        <a:schemeClr val="accent4"/>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dLbls>
                  <c:dLbl>
                    <c:idx val="0"/>
                    <c:delete val="1"/>
                    <c:extLst>
                      <c:ext uri="{CE6537A1-D6FC-4f65-9D91-7224C49458BB}"/>
                      <c:ext xmlns:c16="http://schemas.microsoft.com/office/drawing/2014/chart" uri="{C3380CC4-5D6E-409C-BE32-E72D297353CC}">
                        <c16:uniqueId val="{00000026-6D24-496E-BE1E-A5680E6EFDA8}"/>
                      </c:ext>
                    </c:extLst>
                  </c:dLbl>
                  <c:dLbl>
                    <c:idx val="1"/>
                    <c:delete val="1"/>
                    <c:extLst>
                      <c:ext uri="{CE6537A1-D6FC-4f65-9D91-7224C49458BB}"/>
                      <c:ext xmlns:c16="http://schemas.microsoft.com/office/drawing/2014/chart" uri="{C3380CC4-5D6E-409C-BE32-E72D297353CC}">
                        <c16:uniqueId val="{00000027-6D24-496E-BE1E-A5680E6EFDA8}"/>
                      </c:ext>
                    </c:extLst>
                  </c:dLbl>
                  <c:dLbl>
                    <c:idx val="2"/>
                    <c:delete val="1"/>
                    <c:extLst>
                      <c:ext uri="{CE6537A1-D6FC-4f65-9D91-7224C49458BB}"/>
                      <c:ext xmlns:c16="http://schemas.microsoft.com/office/drawing/2014/chart" uri="{C3380CC4-5D6E-409C-BE32-E72D297353CC}">
                        <c16:uniqueId val="{00000028-6D24-496E-BE1E-A5680E6EFDA8}"/>
                      </c:ext>
                    </c:extLst>
                  </c:dLbl>
                  <c:dLbl>
                    <c:idx val="3"/>
                    <c:delete val="1"/>
                    <c:extLst>
                      <c:ext uri="{CE6537A1-D6FC-4f65-9D91-7224C49458BB}"/>
                      <c:ext xmlns:c16="http://schemas.microsoft.com/office/drawing/2014/chart" uri="{C3380CC4-5D6E-409C-BE32-E72D297353CC}">
                        <c16:uniqueId val="{00000029-6D24-496E-BE1E-A5680E6EFDA8}"/>
                      </c:ext>
                    </c:extLst>
                  </c:dLbl>
                  <c:dLbl>
                    <c:idx val="4"/>
                    <c:delete val="1"/>
                    <c:extLst>
                      <c:ext uri="{CE6537A1-D6FC-4f65-9D91-7224C49458BB}"/>
                      <c:ext xmlns:c16="http://schemas.microsoft.com/office/drawing/2014/chart" uri="{C3380CC4-5D6E-409C-BE32-E72D297353CC}">
                        <c16:uniqueId val="{0000002A-6D24-496E-BE1E-A5680E6EFDA8}"/>
                      </c:ext>
                    </c:extLst>
                  </c:dLbl>
                  <c:dLbl>
                    <c:idx val="5"/>
                    <c:delete val="1"/>
                    <c:extLst>
                      <c:ext uri="{CE6537A1-D6FC-4f65-9D91-7224C49458BB}"/>
                      <c:ext xmlns:c16="http://schemas.microsoft.com/office/drawing/2014/chart" uri="{C3380CC4-5D6E-409C-BE32-E72D297353CC}">
                        <c16:uniqueId val="{0000002B-6D24-496E-BE1E-A5680E6EFDA8}"/>
                      </c:ext>
                    </c:extLst>
                  </c:dLbl>
                  <c:dLbl>
                    <c:idx val="6"/>
                    <c:delete val="1"/>
                    <c:extLst>
                      <c:ext uri="{CE6537A1-D6FC-4f65-9D91-7224C49458BB}"/>
                      <c:ext xmlns:c16="http://schemas.microsoft.com/office/drawing/2014/chart" uri="{C3380CC4-5D6E-409C-BE32-E72D297353CC}">
                        <c16:uniqueId val="{0000002C-6D24-496E-BE1E-A5680E6EFDA8}"/>
                      </c:ext>
                    </c:extLst>
                  </c:dLbl>
                  <c:dLbl>
                    <c:idx val="7"/>
                    <c:delete val="1"/>
                    <c:extLst>
                      <c:ext uri="{CE6537A1-D6FC-4f65-9D91-7224C49458BB}"/>
                      <c:ext xmlns:c16="http://schemas.microsoft.com/office/drawing/2014/chart" uri="{C3380CC4-5D6E-409C-BE32-E72D297353CC}">
                        <c16:uniqueId val="{0000002D-6D24-496E-BE1E-A5680E6EFDA8}"/>
                      </c:ext>
                    </c:extLst>
                  </c:dLbl>
                  <c:dLbl>
                    <c:idx val="8"/>
                    <c:delete val="1"/>
                    <c:extLst>
                      <c:ext uri="{CE6537A1-D6FC-4f65-9D91-7224C49458BB}"/>
                      <c:ext xmlns:c16="http://schemas.microsoft.com/office/drawing/2014/chart" uri="{C3380CC4-5D6E-409C-BE32-E72D297353CC}">
                        <c16:uniqueId val="{0000002E-6D24-496E-BE1E-A5680E6EFDA8}"/>
                      </c:ext>
                    </c:extLst>
                  </c:dLbl>
                  <c:dLbl>
                    <c:idx val="9"/>
                    <c:layout>
                      <c:manualLayout>
                        <c:x val="-1.015228426395939E-2"/>
                        <c:y val="-4.3062184733381789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2F-6D24-496E-BE1E-A5680E6EFDA8}"/>
                      </c:ext>
                    </c:extLst>
                  </c:dLbl>
                  <c:dLbl>
                    <c:idx val="11"/>
                    <c:delete val="1"/>
                    <c:extLst>
                      <c:ext uri="{CE6537A1-D6FC-4f65-9D91-7224C49458BB}"/>
                      <c:ext xmlns:c16="http://schemas.microsoft.com/office/drawing/2014/chart" uri="{C3380CC4-5D6E-409C-BE32-E72D297353CC}">
                        <c16:uniqueId val="{00000030-6D24-496E-BE1E-A5680E6EFDA8}"/>
                      </c:ext>
                    </c:extLst>
                  </c:dLbl>
                  <c:dLbl>
                    <c:idx val="12"/>
                    <c:delete val="1"/>
                    <c:extLst>
                      <c:ext uri="{CE6537A1-D6FC-4f65-9D91-7224C49458BB}"/>
                      <c:ext xmlns:c16="http://schemas.microsoft.com/office/drawing/2014/chart" uri="{C3380CC4-5D6E-409C-BE32-E72D297353CC}">
                        <c16:uniqueId val="{00000031-6D24-496E-BE1E-A5680E6EFDA8}"/>
                      </c:ext>
                    </c:extLst>
                  </c:dLbl>
                  <c:dLbl>
                    <c:idx val="13"/>
                    <c:layout>
                      <c:manualLayout>
                        <c:x val="-7.4257428637148227E-3"/>
                        <c:y val="-5.7416246311176233E-3"/>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2-6D24-496E-BE1E-A5680E6EFDA8}"/>
                      </c:ext>
                    </c:extLst>
                  </c:dLbl>
                  <c:dLbl>
                    <c:idx val="14"/>
                    <c:layout>
                      <c:manualLayout>
                        <c:x val="-1.6042785477262247E-2"/>
                        <c:y val="-3.609927015045152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3-6D24-496E-BE1E-A5680E6EFDA8}"/>
                      </c:ext>
                    </c:extLst>
                  </c:dLbl>
                  <c:dLbl>
                    <c:idx val="15"/>
                    <c:delete val="1"/>
                    <c:extLst>
                      <c:ext uri="{CE6537A1-D6FC-4f65-9D91-7224C49458BB}"/>
                      <c:ext xmlns:c16="http://schemas.microsoft.com/office/drawing/2014/chart" uri="{C3380CC4-5D6E-409C-BE32-E72D297353CC}">
                        <c16:uniqueId val="{00000034-6D24-496E-BE1E-A5680E6EFDA8}"/>
                      </c:ext>
                    </c:extLst>
                  </c:dLbl>
                  <c:dLbl>
                    <c:idx val="16"/>
                    <c:delete val="1"/>
                    <c:extLst>
                      <c:ext uri="{CE6537A1-D6FC-4f65-9D91-7224C49458BB}"/>
                      <c:ext xmlns:c16="http://schemas.microsoft.com/office/drawing/2014/chart" uri="{C3380CC4-5D6E-409C-BE32-E72D297353CC}">
                        <c16:uniqueId val="{00000035-6D24-496E-BE1E-A5680E6EFDA8}"/>
                      </c:ext>
                    </c:extLst>
                  </c:dLbl>
                  <c:dLbl>
                    <c:idx val="17"/>
                    <c:layout>
                      <c:manualLayout>
                        <c:x val="-2.4170619721703136E-2"/>
                        <c:y val="-3.910754266298915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6-6D24-496E-BE1E-A5680E6EFDA8}"/>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'Сценарио 1'!$C$33:$L$33</c15:sqref>
                        </c15:formulaRef>
                      </c:ext>
                    </c:extLst>
                    <c:numCache>
                      <c:formatCode>General</c:formatCode>
                      <c:ptCount val="10"/>
                      <c:pt idx="0">
                        <c:v>2022</c:v>
                      </c:pt>
                      <c:pt idx="1">
                        <c:v>2023</c:v>
                      </c:pt>
                      <c:pt idx="2">
                        <c:v>2024</c:v>
                      </c:pt>
                      <c:pt idx="3">
                        <c:v>2025</c:v>
                      </c:pt>
                      <c:pt idx="4">
                        <c:v>2026</c:v>
                      </c:pt>
                      <c:pt idx="5">
                        <c:v>2027</c:v>
                      </c:pt>
                      <c:pt idx="6">
                        <c:v>2028</c:v>
                      </c:pt>
                      <c:pt idx="7">
                        <c:v>2029</c:v>
                      </c:pt>
                      <c:pt idx="8">
                        <c:v>2030</c:v>
                      </c:pt>
                      <c:pt idx="9">
                        <c:v>2031</c:v>
                      </c:pt>
                    </c:numCache>
                  </c:numRef>
                </c:cat>
                <c:val>
                  <c:numRef>
                    <c:extLst>
                      <c:ext uri="{02D57815-91ED-43cb-92C2-25804820EDAC}">
                        <c15:formulaRef>
                          <c15:sqref>'manje prilg + manji rast'!$C$39:$L$39</c15:sqref>
                        </c15:formulaRef>
                      </c:ext>
                    </c:extLst>
                    <c:numCache>
                      <c:formatCode>##,#00</c:formatCode>
                      <c:ptCount val="10"/>
                      <c:pt idx="0">
                        <c:v>55.6</c:v>
                      </c:pt>
                      <c:pt idx="1">
                        <c:v>54.3</c:v>
                      </c:pt>
                      <c:pt idx="2">
                        <c:v>54</c:v>
                      </c:pt>
                      <c:pt idx="3">
                        <c:v>53</c:v>
                      </c:pt>
                      <c:pt idx="4">
                        <c:v>51.9</c:v>
                      </c:pt>
                      <c:pt idx="5">
                        <c:v>58.230268418046833</c:v>
                      </c:pt>
                      <c:pt idx="6">
                        <c:v>58.914867756868233</c:v>
                      </c:pt>
                      <c:pt idx="7">
                        <c:v>57.726890587760359</c:v>
                      </c:pt>
                      <c:pt idx="8">
                        <c:v>57.20357180083537</c:v>
                      </c:pt>
                      <c:pt idx="9">
                        <c:v>56.689529833443856</c:v>
                      </c:pt>
                    </c:numCache>
                  </c:numRef>
                </c:val>
                <c:smooth val="1"/>
                <c:extLst>
                  <c:ext xmlns:c16="http://schemas.microsoft.com/office/drawing/2014/chart" uri="{C3380CC4-5D6E-409C-BE32-E72D297353CC}">
                    <c16:uniqueId val="{00000037-6D24-496E-BE1E-A5680E6EFDA8}"/>
                  </c:ext>
                </c:extLst>
              </c15:ser>
            </c15:filteredLineSeries>
          </c:ext>
        </c:extLst>
      </c:lineChart>
      <c:catAx>
        <c:axId val="248069424"/>
        <c:scaling>
          <c:orientation val="minMax"/>
        </c:scaling>
        <c:delete val="0"/>
        <c:axPos val="b"/>
        <c:majorGridlines>
          <c:spPr>
            <a:ln w="9525" cap="flat" cmpd="sng" algn="ctr">
              <a:noFill/>
              <a:round/>
            </a:ln>
            <a:effectLst/>
          </c:spPr>
        </c:maj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48068304"/>
        <c:crosses val="autoZero"/>
        <c:auto val="1"/>
        <c:lblAlgn val="ctr"/>
        <c:lblOffset val="100"/>
        <c:noMultiLvlLbl val="0"/>
      </c:catAx>
      <c:valAx>
        <c:axId val="248068304"/>
        <c:scaling>
          <c:orientation val="minMax"/>
          <c:max val="65"/>
          <c:min val="4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a:latin typeface="+mn-lt"/>
                  </a:rPr>
                  <a:t>% БДП </a:t>
                </a:r>
                <a:endParaRPr lang="en-US">
                  <a:latin typeface="+mn-lt"/>
                </a:endParaRPr>
              </a:p>
            </c:rich>
          </c:tx>
          <c:layout>
            <c:manualLayout>
              <c:xMode val="edge"/>
              <c:yMode val="edge"/>
              <c:x val="1.4833041703120444E-3"/>
              <c:y val="0.2773053368328958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48069424"/>
        <c:crosses val="autoZero"/>
        <c:crossBetween val="between"/>
        <c:majorUnit val="5"/>
      </c:valAx>
      <c:valAx>
        <c:axId val="1433710720"/>
        <c:scaling>
          <c:orientation val="minMax"/>
          <c:min val="0"/>
        </c:scaling>
        <c:delete val="1"/>
        <c:axPos val="r"/>
        <c:numFmt formatCode="##,#00" sourceLinked="1"/>
        <c:majorTickMark val="out"/>
        <c:minorTickMark val="none"/>
        <c:tickLblPos val="nextTo"/>
        <c:crossAx val="1433716128"/>
        <c:crosses val="max"/>
        <c:crossBetween val="between"/>
      </c:valAx>
      <c:catAx>
        <c:axId val="1433716128"/>
        <c:scaling>
          <c:orientation val="minMax"/>
        </c:scaling>
        <c:delete val="1"/>
        <c:axPos val="b"/>
        <c:numFmt formatCode="General" sourceLinked="1"/>
        <c:majorTickMark val="out"/>
        <c:minorTickMark val="none"/>
        <c:tickLblPos val="nextTo"/>
        <c:crossAx val="1433710720"/>
        <c:crosses val="autoZero"/>
        <c:auto val="1"/>
        <c:lblAlgn val="ctr"/>
        <c:lblOffset val="100"/>
        <c:noMultiLvlLbl val="0"/>
      </c:catAx>
      <c:spPr>
        <a:noFill/>
        <a:ln>
          <a:noFill/>
        </a:ln>
        <a:effectLst/>
      </c:spPr>
    </c:plotArea>
    <c:legend>
      <c:legendPos val="b"/>
      <c:layout>
        <c:manualLayout>
          <c:xMode val="edge"/>
          <c:yMode val="edge"/>
          <c:x val="6.4285870516185478E-2"/>
          <c:y val="0.82377997622092114"/>
          <c:w val="0.9"/>
          <c:h val="0.1710308006370998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800" baseline="0">
          <a:latin typeface="+mj-lt"/>
        </a:defRPr>
      </a:pPr>
      <a:endParaRPr lang="sr-Latn-RS"/>
    </a:p>
  </c:txPr>
  <c:externalData r:id="rId3">
    <c:autoUpdate val="0"/>
  </c:externalData>
  <c:userShapes r:id="rId4"/>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252053796081997E-2"/>
          <c:y val="0"/>
          <c:w val="0.90916365972175073"/>
          <c:h val="0.66222099966761805"/>
        </c:manualLayout>
      </c:layout>
      <c:barChart>
        <c:barDir val="col"/>
        <c:grouping val="stacked"/>
        <c:varyColors val="0"/>
        <c:ser>
          <c:idx val="0"/>
          <c:order val="0"/>
          <c:tx>
            <c:strRef>
              <c:f>ucesce!$A$5</c:f>
              <c:strCache>
                <c:ptCount val="1"/>
                <c:pt idx="0">
                  <c:v>Директне обавезе</c:v>
                </c:pt>
              </c:strCache>
            </c:strRef>
          </c:tx>
          <c:spPr>
            <a:solidFill>
              <a:srgbClr val="10103C"/>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2020</c:v>
                </c:pt>
                <c:pt idx="1">
                  <c:v>2021</c:v>
                </c:pt>
                <c:pt idx="2">
                  <c:v>2022</c:v>
                </c:pt>
                <c:pt idx="3">
                  <c:v>2023/III</c:v>
                </c:pt>
              </c:strCache>
            </c:strRef>
          </c:cat>
          <c:val>
            <c:numRef>
              <c:f>ucesce!$B$5:$E$5</c:f>
              <c:numCache>
                <c:formatCode>#.#00%</c:formatCode>
                <c:ptCount val="4"/>
                <c:pt idx="0">
                  <c:v>0.53950089745388596</c:v>
                </c:pt>
                <c:pt idx="1">
                  <c:v>0.53930070758052395</c:v>
                </c:pt>
                <c:pt idx="2">
                  <c:v>0.5258289639</c:v>
                </c:pt>
                <c:pt idx="3">
                  <c:v>0.48657892097199329</c:v>
                </c:pt>
              </c:numCache>
            </c:numRef>
          </c:val>
          <c:extLst>
            <c:ext xmlns:c16="http://schemas.microsoft.com/office/drawing/2014/chart" uri="{C3380CC4-5D6E-409C-BE32-E72D297353CC}">
              <c16:uniqueId val="{00000000-F18C-4C8B-A003-5788A9FA361B}"/>
            </c:ext>
          </c:extLst>
        </c:ser>
        <c:ser>
          <c:idx val="1"/>
          <c:order val="1"/>
          <c:tx>
            <c:strRef>
              <c:f>ucesce!$A$6</c:f>
              <c:strCache>
                <c:ptCount val="1"/>
                <c:pt idx="0">
                  <c:v>Индиректне обавезе</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2020</c:v>
                </c:pt>
                <c:pt idx="1">
                  <c:v>2021</c:v>
                </c:pt>
                <c:pt idx="2">
                  <c:v>2022</c:v>
                </c:pt>
                <c:pt idx="3">
                  <c:v>2023/III</c:v>
                </c:pt>
              </c:strCache>
            </c:strRef>
          </c:cat>
          <c:val>
            <c:numRef>
              <c:f>ucesce!$B$6:$E$6</c:f>
              <c:numCache>
                <c:formatCode>#.#00%</c:formatCode>
                <c:ptCount val="4"/>
                <c:pt idx="0">
                  <c:v>3.0412233763241901E-2</c:v>
                </c:pt>
                <c:pt idx="1">
                  <c:v>2.59253510761864E-2</c:v>
                </c:pt>
                <c:pt idx="2">
                  <c:v>2.5578944499999999E-2</c:v>
                </c:pt>
                <c:pt idx="3">
                  <c:v>2.3660290578814844E-2</c:v>
                </c:pt>
              </c:numCache>
            </c:numRef>
          </c:val>
          <c:extLst>
            <c:ext xmlns:c16="http://schemas.microsoft.com/office/drawing/2014/chart" uri="{C3380CC4-5D6E-409C-BE32-E72D297353CC}">
              <c16:uniqueId val="{00000001-F18C-4C8B-A003-5788A9FA361B}"/>
            </c:ext>
          </c:extLst>
        </c:ser>
        <c:ser>
          <c:idx val="2"/>
          <c:order val="2"/>
          <c:tx>
            <c:strRef>
              <c:f>ucesce!$A$7</c:f>
              <c:strCache>
                <c:ptCount val="1"/>
                <c:pt idx="0">
                  <c:v>Негарантовани дуг јединица локалне самоуправе, ЈП Путеви Србије и Коридори Србије д.о.о.</c:v>
                </c:pt>
              </c:strCache>
            </c:strRef>
          </c:tx>
          <c:spPr>
            <a:solidFill>
              <a:srgbClr val="51BBE7">
                <a:alpha val="50000"/>
              </a:srgbClr>
            </a:solidFill>
            <a:ln>
              <a:noFill/>
            </a:ln>
            <a:effectLst/>
          </c:spPr>
          <c:invertIfNegative val="0"/>
          <c:dLbls>
            <c:dLbl>
              <c:idx val="0"/>
              <c:layout>
                <c:manualLayout>
                  <c:x val="-2.8032302694319029E-17"/>
                  <c:y val="-2.830189380030056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18C-4C8B-A003-5788A9FA361B}"/>
                </c:ext>
              </c:extLst>
            </c:dLbl>
            <c:dLbl>
              <c:idx val="1"/>
              <c:layout>
                <c:manualLayout>
                  <c:x val="-3.0581047119132925E-3"/>
                  <c:y val="-3.773585840040073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18C-4C8B-A003-5788A9FA361B}"/>
                </c:ext>
              </c:extLst>
            </c:dLbl>
            <c:dLbl>
              <c:idx val="2"/>
              <c:layout>
                <c:manualLayout>
                  <c:x val="0"/>
                  <c:y val="-3.144654866700061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18C-4C8B-A003-5788A9FA361B}"/>
                </c:ext>
              </c:extLst>
            </c:dLbl>
            <c:dLbl>
              <c:idx val="3"/>
              <c:layout>
                <c:manualLayout>
                  <c:x val="0"/>
                  <c:y val="-2.830189380030057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18C-4C8B-A003-5788A9FA361B}"/>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2"/>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2020</c:v>
                </c:pt>
                <c:pt idx="1">
                  <c:v>2021</c:v>
                </c:pt>
                <c:pt idx="2">
                  <c:v>2022</c:v>
                </c:pt>
                <c:pt idx="3">
                  <c:v>2023/III</c:v>
                </c:pt>
              </c:strCache>
            </c:strRef>
          </c:cat>
          <c:val>
            <c:numRef>
              <c:f>ucesce!$B$7:$E$7</c:f>
              <c:numCache>
                <c:formatCode>#.#00%</c:formatCode>
                <c:ptCount val="4"/>
                <c:pt idx="0">
                  <c:v>8.2586611523361702E-3</c:v>
                </c:pt>
                <c:pt idx="1">
                  <c:v>6.1455925661035903E-3</c:v>
                </c:pt>
                <c:pt idx="2">
                  <c:v>5.0800546243195245E-3</c:v>
                </c:pt>
                <c:pt idx="3">
                  <c:v>4.2807725894970609E-3</c:v>
                </c:pt>
              </c:numCache>
            </c:numRef>
          </c:val>
          <c:extLst>
            <c:ext xmlns:c16="http://schemas.microsoft.com/office/drawing/2014/chart" uri="{C3380CC4-5D6E-409C-BE32-E72D297353CC}">
              <c16:uniqueId val="{00000006-F18C-4C8B-A003-5788A9FA361B}"/>
            </c:ext>
          </c:extLst>
        </c:ser>
        <c:dLbls>
          <c:dLblPos val="ctr"/>
          <c:showLegendKey val="0"/>
          <c:showVal val="1"/>
          <c:showCatName val="0"/>
          <c:showSerName val="0"/>
          <c:showPercent val="0"/>
          <c:showBubbleSize val="0"/>
        </c:dLbls>
        <c:gapWidth val="79"/>
        <c:overlap val="100"/>
        <c:axId val="244077856"/>
        <c:axId val="244088736"/>
      </c:barChart>
      <c:catAx>
        <c:axId val="24407785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rgbClr val="44546A"/>
                </a:solidFill>
                <a:latin typeface="+mn-lt"/>
                <a:ea typeface="+mn-ea"/>
                <a:cs typeface="+mn-cs"/>
              </a:defRPr>
            </a:pPr>
            <a:endParaRPr lang="sr-Latn-RS"/>
          </a:p>
        </c:txPr>
        <c:crossAx val="244088736"/>
        <c:crosses val="autoZero"/>
        <c:auto val="1"/>
        <c:lblAlgn val="ctr"/>
        <c:lblOffset val="100"/>
        <c:noMultiLvlLbl val="0"/>
      </c:catAx>
      <c:valAx>
        <c:axId val="244088736"/>
        <c:scaling>
          <c:orientation val="minMax"/>
          <c:max val="0.75000000000000011"/>
          <c:min val="0"/>
        </c:scaling>
        <c:delete val="1"/>
        <c:axPos val="l"/>
        <c:numFmt formatCode="0%" sourceLinked="0"/>
        <c:majorTickMark val="none"/>
        <c:minorTickMark val="none"/>
        <c:tickLblPos val="nextTo"/>
        <c:crossAx val="244077856"/>
        <c:crosses val="autoZero"/>
        <c:crossBetween val="between"/>
      </c:valAx>
      <c:spPr>
        <a:noFill/>
        <a:ln>
          <a:noFill/>
        </a:ln>
        <a:effectLst/>
      </c:spPr>
    </c:plotArea>
    <c:legend>
      <c:legendPos val="t"/>
      <c:layout>
        <c:manualLayout>
          <c:xMode val="edge"/>
          <c:yMode val="edge"/>
          <c:x val="0"/>
          <c:y val="0.76272897705968568"/>
          <c:w val="0.98266107645635203"/>
          <c:h val="0.20324201838114284"/>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289336635108885E-2"/>
          <c:y val="7.4689633864290325E-2"/>
          <c:w val="0.91606508156755739"/>
          <c:h val="0.71178888783480376"/>
        </c:manualLayout>
      </c:layout>
      <c:barChart>
        <c:barDir val="col"/>
        <c:grouping val="stacked"/>
        <c:varyColors val="0"/>
        <c:ser>
          <c:idx val="0"/>
          <c:order val="0"/>
          <c:tx>
            <c:strRef>
              <c:f>valutna!$A$5</c:f>
              <c:strCache>
                <c:ptCount val="1"/>
                <c:pt idx="0">
                  <c:v>EUR</c:v>
                </c:pt>
              </c:strCache>
            </c:strRef>
          </c:tx>
          <c:spPr>
            <a:solidFill>
              <a:srgbClr val="10103C"/>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2020</c:v>
                </c:pt>
                <c:pt idx="1">
                  <c:v>2021</c:v>
                </c:pt>
                <c:pt idx="2">
                  <c:v>2022</c:v>
                </c:pt>
                <c:pt idx="3">
                  <c:v>2023/III</c:v>
                </c:pt>
              </c:strCache>
            </c:strRef>
          </c:cat>
          <c:val>
            <c:numRef>
              <c:f>valutna!$B$5:$E$5</c:f>
              <c:numCache>
                <c:formatCode>#.#00%</c:formatCode>
                <c:ptCount val="4"/>
                <c:pt idx="0">
                  <c:v>0.5</c:v>
                </c:pt>
                <c:pt idx="1">
                  <c:v>0.58070343168642191</c:v>
                </c:pt>
                <c:pt idx="2">
                  <c:v>0.56122306338579264</c:v>
                </c:pt>
                <c:pt idx="3">
                  <c:v>0.56990990662337326</c:v>
                </c:pt>
              </c:numCache>
            </c:numRef>
          </c:val>
          <c:extLst>
            <c:ext xmlns:c16="http://schemas.microsoft.com/office/drawing/2014/chart" uri="{C3380CC4-5D6E-409C-BE32-E72D297353CC}">
              <c16:uniqueId val="{00000000-3037-49A6-9DA7-80A528B1245B}"/>
            </c:ext>
          </c:extLst>
        </c:ser>
        <c:ser>
          <c:idx val="1"/>
          <c:order val="1"/>
          <c:tx>
            <c:strRef>
              <c:f>valutna!$A$6</c:f>
              <c:strCache>
                <c:ptCount val="1"/>
                <c:pt idx="0">
                  <c:v>USD</c:v>
                </c:pt>
              </c:strCache>
            </c:strRef>
          </c:tx>
          <c:spPr>
            <a:solidFill>
              <a:srgbClr val="00206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2020</c:v>
                </c:pt>
                <c:pt idx="1">
                  <c:v>2021</c:v>
                </c:pt>
                <c:pt idx="2">
                  <c:v>2022</c:v>
                </c:pt>
                <c:pt idx="3">
                  <c:v>2023/III</c:v>
                </c:pt>
              </c:strCache>
            </c:strRef>
          </c:cat>
          <c:val>
            <c:numRef>
              <c:f>valutna!$B$6:$E$6</c:f>
              <c:numCache>
                <c:formatCode>#.#00%</c:formatCode>
                <c:ptCount val="4"/>
                <c:pt idx="0">
                  <c:v>0.13</c:v>
                </c:pt>
                <c:pt idx="1">
                  <c:v>0.10724614446641026</c:v>
                </c:pt>
                <c:pt idx="2">
                  <c:v>0.14174924728991847</c:v>
                </c:pt>
                <c:pt idx="3">
                  <c:v>0.13203465678237458</c:v>
                </c:pt>
              </c:numCache>
            </c:numRef>
          </c:val>
          <c:extLst>
            <c:ext xmlns:c16="http://schemas.microsoft.com/office/drawing/2014/chart" uri="{C3380CC4-5D6E-409C-BE32-E72D297353CC}">
              <c16:uniqueId val="{00000001-3037-49A6-9DA7-80A528B1245B}"/>
            </c:ext>
          </c:extLst>
        </c:ser>
        <c:ser>
          <c:idx val="2"/>
          <c:order val="2"/>
          <c:tx>
            <c:strRef>
              <c:f>valutna!$A$7</c:f>
              <c:strCache>
                <c:ptCount val="1"/>
                <c:pt idx="0">
                  <c:v>RSD</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2020</c:v>
                </c:pt>
                <c:pt idx="1">
                  <c:v>2021</c:v>
                </c:pt>
                <c:pt idx="2">
                  <c:v>2022</c:v>
                </c:pt>
                <c:pt idx="3">
                  <c:v>2023/III</c:v>
                </c:pt>
              </c:strCache>
            </c:strRef>
          </c:cat>
          <c:val>
            <c:numRef>
              <c:f>valutna!$B$7:$E$7</c:f>
              <c:numCache>
                <c:formatCode>#.#00%</c:formatCode>
                <c:ptCount val="4"/>
                <c:pt idx="0">
                  <c:v>0.30399999999999999</c:v>
                </c:pt>
                <c:pt idx="1">
                  <c:v>0.28279889544694981</c:v>
                </c:pt>
                <c:pt idx="2">
                  <c:v>0.24970540543766942</c:v>
                </c:pt>
                <c:pt idx="3">
                  <c:v>0.22730078351602848</c:v>
                </c:pt>
              </c:numCache>
            </c:numRef>
          </c:val>
          <c:extLst>
            <c:ext xmlns:c16="http://schemas.microsoft.com/office/drawing/2014/chart" uri="{C3380CC4-5D6E-409C-BE32-E72D297353CC}">
              <c16:uniqueId val="{00000002-3037-49A6-9DA7-80A528B1245B}"/>
            </c:ext>
          </c:extLst>
        </c:ser>
        <c:ser>
          <c:idx val="3"/>
          <c:order val="3"/>
          <c:tx>
            <c:strRef>
              <c:f>valutna!$A$8</c:f>
              <c:strCache>
                <c:ptCount val="1"/>
                <c:pt idx="0">
                  <c:v>SDR</c:v>
                </c:pt>
              </c:strCache>
            </c:strRef>
          </c:tx>
          <c:spPr>
            <a:solidFill>
              <a:srgbClr val="51BBE7"/>
            </a:solidFill>
            <a:ln>
              <a:noFill/>
            </a:ln>
            <a:effectLst/>
          </c:spPr>
          <c:invertIfNegative val="0"/>
          <c:dLbls>
            <c:dLbl>
              <c:idx val="1"/>
              <c:layout>
                <c:manualLayout>
                  <c:x val="0"/>
                  <c:y val="2.409638554216867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314-486D-B5A0-5B9B287B1AED}"/>
                </c:ext>
              </c:extLst>
            </c:dLbl>
            <c:dLbl>
              <c:idx val="2"/>
              <c:layout>
                <c:manualLayout>
                  <c:x val="4.5392646391283781E-3"/>
                  <c:y val="4.016064257028112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314-486D-B5A0-5B9B287B1AED}"/>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2020</c:v>
                </c:pt>
                <c:pt idx="1">
                  <c:v>2021</c:v>
                </c:pt>
                <c:pt idx="2">
                  <c:v>2022</c:v>
                </c:pt>
                <c:pt idx="3">
                  <c:v>2023/III</c:v>
                </c:pt>
              </c:strCache>
            </c:strRef>
          </c:cat>
          <c:val>
            <c:numRef>
              <c:f>valutna!$B$8:$E$8</c:f>
              <c:numCache>
                <c:formatCode>#.#00%</c:formatCode>
                <c:ptCount val="4"/>
                <c:pt idx="0">
                  <c:v>2.3E-2</c:v>
                </c:pt>
                <c:pt idx="1">
                  <c:v>1.9290279679134919E-2</c:v>
                </c:pt>
                <c:pt idx="2">
                  <c:v>3.9562422778152417E-2</c:v>
                </c:pt>
                <c:pt idx="3">
                  <c:v>6.370954008612463E-2</c:v>
                </c:pt>
              </c:numCache>
            </c:numRef>
          </c:val>
          <c:extLst>
            <c:ext xmlns:c16="http://schemas.microsoft.com/office/drawing/2014/chart" uri="{C3380CC4-5D6E-409C-BE32-E72D297353CC}">
              <c16:uniqueId val="{00000003-3037-49A6-9DA7-80A528B1245B}"/>
            </c:ext>
          </c:extLst>
        </c:ser>
        <c:ser>
          <c:idx val="4"/>
          <c:order val="4"/>
          <c:tx>
            <c:strRef>
              <c:f>valutna!$A$9</c:f>
              <c:strCache>
                <c:ptCount val="1"/>
                <c:pt idx="0">
                  <c:v>Остале валуте</c:v>
                </c:pt>
              </c:strCache>
            </c:strRef>
          </c:tx>
          <c:spPr>
            <a:solidFill>
              <a:srgbClr val="C9E4EB"/>
            </a:solidFill>
            <a:ln>
              <a:noFill/>
            </a:ln>
            <a:effectLst/>
          </c:spPr>
          <c:invertIfNegative val="0"/>
          <c:dLbls>
            <c:dLbl>
              <c:idx val="0"/>
              <c:spPr>
                <a:noFill/>
                <a:ln>
                  <a:noFill/>
                </a:ln>
                <a:effectLst/>
              </c:spPr>
              <c:txPr>
                <a:bodyPr rot="0" spcFirstLastPara="1" vertOverflow="ellipsis" horzOverflow="clip" vert="horz" wrap="square" lIns="38100" tIns="19050" rIns="38100" bIns="19050" anchor="ctr" anchorCtr="1">
                  <a:no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4-3037-49A6-9DA7-80A528B1245B}"/>
                </c:ext>
              </c:extLst>
            </c:dLbl>
            <c:dLbl>
              <c:idx val="1"/>
              <c:layout>
                <c:manualLayout>
                  <c:x val="4.6296296296295869E-3"/>
                  <c:y val="-1.909992958197298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037-49A6-9DA7-80A528B1245B}"/>
                </c:ext>
              </c:extLst>
            </c:dLbl>
            <c:dLbl>
              <c:idx val="2"/>
              <c:layout>
                <c:manualLayout>
                  <c:x val="-8.3218890365632274E-17"/>
                  <c:y val="-8.650033203680863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037-49A6-9DA7-80A528B1245B}"/>
                </c:ext>
              </c:extLst>
            </c:dLbl>
            <c:dLbl>
              <c:idx val="3"/>
              <c:layout>
                <c:manualLayout>
                  <c:x val="-1.6643778073126455E-16"/>
                  <c:y val="-2.273598330329190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037-49A6-9DA7-80A528B1245B}"/>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2020</c:v>
                </c:pt>
                <c:pt idx="1">
                  <c:v>2021</c:v>
                </c:pt>
                <c:pt idx="2">
                  <c:v>2022</c:v>
                </c:pt>
                <c:pt idx="3">
                  <c:v>2023/III</c:v>
                </c:pt>
              </c:strCache>
            </c:strRef>
          </c:cat>
          <c:val>
            <c:numRef>
              <c:f>valutna!$B$9:$E$9</c:f>
              <c:numCache>
                <c:formatCode>#.#00%</c:formatCode>
                <c:ptCount val="4"/>
                <c:pt idx="0">
                  <c:v>4.2999999999999997E-2</c:v>
                </c:pt>
                <c:pt idx="1">
                  <c:v>9.9612487210832441E-3</c:v>
                </c:pt>
                <c:pt idx="2">
                  <c:v>7.7598611084669349E-3</c:v>
                </c:pt>
                <c:pt idx="3">
                  <c:v>7.045112992099067E-3</c:v>
                </c:pt>
              </c:numCache>
            </c:numRef>
          </c:val>
          <c:extLst>
            <c:ext xmlns:c16="http://schemas.microsoft.com/office/drawing/2014/chart" uri="{C3380CC4-5D6E-409C-BE32-E72D297353CC}">
              <c16:uniqueId val="{00000008-3037-49A6-9DA7-80A528B1245B}"/>
            </c:ext>
          </c:extLst>
        </c:ser>
        <c:dLbls>
          <c:dLblPos val="ctr"/>
          <c:showLegendKey val="0"/>
          <c:showVal val="1"/>
          <c:showCatName val="0"/>
          <c:showSerName val="0"/>
          <c:showPercent val="0"/>
          <c:showBubbleSize val="0"/>
        </c:dLbls>
        <c:gapWidth val="79"/>
        <c:overlap val="100"/>
        <c:axId val="244059360"/>
        <c:axId val="244059904"/>
      </c:barChart>
      <c:catAx>
        <c:axId val="244059360"/>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2"/>
                </a:solidFill>
                <a:latin typeface="+mn-lt"/>
                <a:ea typeface="+mn-ea"/>
                <a:cs typeface="+mn-cs"/>
              </a:defRPr>
            </a:pPr>
            <a:endParaRPr lang="sr-Latn-RS"/>
          </a:p>
        </c:txPr>
        <c:crossAx val="244059904"/>
        <c:crosses val="autoZero"/>
        <c:auto val="1"/>
        <c:lblAlgn val="ctr"/>
        <c:lblOffset val="100"/>
        <c:noMultiLvlLbl val="0"/>
      </c:catAx>
      <c:valAx>
        <c:axId val="244059904"/>
        <c:scaling>
          <c:orientation val="minMax"/>
          <c:max val="1"/>
          <c:min val="0"/>
        </c:scaling>
        <c:delete val="1"/>
        <c:axPos val="l"/>
        <c:numFmt formatCode="0%" sourceLinked="0"/>
        <c:majorTickMark val="none"/>
        <c:minorTickMark val="none"/>
        <c:tickLblPos val="nextTo"/>
        <c:crossAx val="244059360"/>
        <c:crosses val="autoZero"/>
        <c:crossBetween val="between"/>
      </c:valAx>
      <c:spPr>
        <a:noFill/>
        <a:ln>
          <a:noFill/>
        </a:ln>
        <a:effectLst/>
      </c:spPr>
    </c:plotArea>
    <c:legend>
      <c:legendPos val="t"/>
      <c:layout>
        <c:manualLayout>
          <c:xMode val="edge"/>
          <c:yMode val="edge"/>
          <c:x val="0.20007148448250597"/>
          <c:y val="0.91044274071004283"/>
          <c:w val="0.69327573636628759"/>
          <c:h val="4.4164415256261261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137E-2"/>
          <c:y val="0.11697286155107009"/>
          <c:w val="0.92201738463599303"/>
          <c:h val="0.69105764014135107"/>
        </c:manualLayout>
      </c:layout>
      <c:barChart>
        <c:barDir val="col"/>
        <c:grouping val="stacked"/>
        <c:varyColors val="0"/>
        <c:ser>
          <c:idx val="0"/>
          <c:order val="0"/>
          <c:tx>
            <c:strRef>
              <c:f>kamatna!$A$5</c:f>
              <c:strCache>
                <c:ptCount val="1"/>
                <c:pt idx="0">
                  <c:v>Фиксне каматне стопе</c:v>
                </c:pt>
              </c:strCache>
            </c:strRef>
          </c:tx>
          <c:spPr>
            <a:solidFill>
              <a:srgbClr val="00206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2020</c:v>
                </c:pt>
                <c:pt idx="1">
                  <c:v>2021</c:v>
                </c:pt>
                <c:pt idx="2">
                  <c:v>2022</c:v>
                </c:pt>
                <c:pt idx="3">
                  <c:v>2023/III</c:v>
                </c:pt>
              </c:strCache>
            </c:strRef>
          </c:cat>
          <c:val>
            <c:numRef>
              <c:f>kamatna!$B$5:$E$5</c:f>
              <c:numCache>
                <c:formatCode>#.#00%</c:formatCode>
                <c:ptCount val="4"/>
                <c:pt idx="0">
                  <c:v>0.85479439479257957</c:v>
                </c:pt>
                <c:pt idx="1">
                  <c:v>0.85813723844161272</c:v>
                </c:pt>
                <c:pt idx="2">
                  <c:v>0.81661435297172802</c:v>
                </c:pt>
                <c:pt idx="3">
                  <c:v>0.74808512196420551</c:v>
                </c:pt>
              </c:numCache>
            </c:numRef>
          </c:val>
          <c:extLst>
            <c:ext xmlns:c16="http://schemas.microsoft.com/office/drawing/2014/chart" uri="{C3380CC4-5D6E-409C-BE32-E72D297353CC}">
              <c16:uniqueId val="{00000000-D966-4F78-8402-C0FCD04799F7}"/>
            </c:ext>
          </c:extLst>
        </c:ser>
        <c:ser>
          <c:idx val="1"/>
          <c:order val="1"/>
          <c:tx>
            <c:strRef>
              <c:f>kamatna!$A$6</c:f>
              <c:strCache>
                <c:ptCount val="1"/>
                <c:pt idx="0">
                  <c:v>Варијабилне каматне стопе</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2020</c:v>
                </c:pt>
                <c:pt idx="1">
                  <c:v>2021</c:v>
                </c:pt>
                <c:pt idx="2">
                  <c:v>2022</c:v>
                </c:pt>
                <c:pt idx="3">
                  <c:v>2023/III</c:v>
                </c:pt>
              </c:strCache>
            </c:strRef>
          </c:cat>
          <c:val>
            <c:numRef>
              <c:f>kamatna!$B$6:$E$6</c:f>
              <c:numCache>
                <c:formatCode>#.#00%</c:formatCode>
                <c:ptCount val="4"/>
                <c:pt idx="0">
                  <c:v>0.14520560520742037</c:v>
                </c:pt>
                <c:pt idx="1">
                  <c:v>0.14186276155838728</c:v>
                </c:pt>
                <c:pt idx="2">
                  <c:v>0.18338564702827198</c:v>
                </c:pt>
                <c:pt idx="3">
                  <c:v>0.25191487803579443</c:v>
                </c:pt>
              </c:numCache>
            </c:numRef>
          </c:val>
          <c:extLst>
            <c:ext xmlns:c16="http://schemas.microsoft.com/office/drawing/2014/chart" uri="{C3380CC4-5D6E-409C-BE32-E72D297353CC}">
              <c16:uniqueId val="{00000001-D966-4F78-8402-C0FCD04799F7}"/>
            </c:ext>
          </c:extLst>
        </c:ser>
        <c:dLbls>
          <c:dLblPos val="ctr"/>
          <c:showLegendKey val="0"/>
          <c:showVal val="1"/>
          <c:showCatName val="0"/>
          <c:showSerName val="0"/>
          <c:showPercent val="0"/>
          <c:showBubbleSize val="0"/>
        </c:dLbls>
        <c:gapWidth val="79"/>
        <c:overlap val="100"/>
        <c:axId val="244061536"/>
        <c:axId val="244062080"/>
      </c:barChart>
      <c:catAx>
        <c:axId val="24406153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800" b="0" i="0" u="none" strike="noStrike" kern="1200" cap="all" spc="120" normalizeH="0" baseline="0">
                <a:solidFill>
                  <a:schemeClr val="tx2"/>
                </a:solidFill>
                <a:latin typeface="+mn-lt"/>
                <a:ea typeface="+mn-ea"/>
                <a:cs typeface="+mn-cs"/>
              </a:defRPr>
            </a:pPr>
            <a:endParaRPr lang="sr-Latn-RS"/>
          </a:p>
        </c:txPr>
        <c:crossAx val="244062080"/>
        <c:crosses val="autoZero"/>
        <c:auto val="1"/>
        <c:lblAlgn val="ctr"/>
        <c:lblOffset val="100"/>
        <c:noMultiLvlLbl val="0"/>
      </c:catAx>
      <c:valAx>
        <c:axId val="244062080"/>
        <c:scaling>
          <c:orientation val="minMax"/>
          <c:max val="1"/>
          <c:min val="0"/>
        </c:scaling>
        <c:delete val="1"/>
        <c:axPos val="l"/>
        <c:numFmt formatCode="0%" sourceLinked="0"/>
        <c:majorTickMark val="none"/>
        <c:minorTickMark val="none"/>
        <c:tickLblPos val="nextTo"/>
        <c:crossAx val="244061536"/>
        <c:crosses val="autoZero"/>
        <c:crossBetween val="between"/>
      </c:valAx>
      <c:spPr>
        <a:noFill/>
        <a:ln w="25400">
          <a:noFill/>
        </a:ln>
        <a:effectLst/>
      </c:spPr>
    </c:plotArea>
    <c:legend>
      <c:legendPos val="t"/>
      <c:layout>
        <c:manualLayout>
          <c:xMode val="edge"/>
          <c:yMode val="edge"/>
          <c:x val="7.915879265091863E-2"/>
          <c:y val="0.93890499194846999"/>
          <c:w val="0.8083490813648293"/>
          <c:h val="6.0789430306718906E-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47013702710755"/>
          <c:y val="0.1159364568431092"/>
          <c:w val="0.7124333482275842"/>
          <c:h val="0.65796894188418298"/>
        </c:manualLayout>
      </c:layout>
      <c:scatterChart>
        <c:scatterStyle val="lineMarker"/>
        <c:varyColors val="0"/>
        <c:ser>
          <c:idx val="0"/>
          <c:order val="0"/>
          <c:tx>
            <c:strRef>
              <c:f>'3Y_OUTPUT'!$C$123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9.4652037022211581E-3"/>
                  <c:y val="3.7039666396071327E-6"/>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BDE7-4974-A29D-330F73C9082C}"/>
                </c:ext>
              </c:extLst>
            </c:dLbl>
            <c:spPr>
              <a:noFill/>
              <a:ln>
                <a:noFill/>
              </a:ln>
              <a:effectLst/>
            </c:spPr>
            <c:txPr>
              <a:bodyPr rot="0" vert="horz"/>
              <a:lstStyle/>
              <a:p>
                <a:pPr>
                  <a:defRPr>
                    <a:latin typeface="+mn-lt"/>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'3Y_OUTPUT'!$C$129</c:f>
              <c:numCache>
                <c:formatCode>#.#00</c:formatCode>
                <c:ptCount val="1"/>
                <c:pt idx="0">
                  <c:v>6.2095044386456166</c:v>
                </c:pt>
              </c:numCache>
            </c:numRef>
          </c:xVal>
          <c:yVal>
            <c:numRef>
              <c:f>'3Y_OUTPUT'!$C$124</c:f>
              <c:numCache>
                <c:formatCode>#.#00</c:formatCode>
                <c:ptCount val="1"/>
                <c:pt idx="0">
                  <c:v>50.90554038624159</c:v>
                </c:pt>
              </c:numCache>
            </c:numRef>
          </c:yVal>
          <c:smooth val="0"/>
          <c:extLst>
            <c:ext xmlns:c16="http://schemas.microsoft.com/office/drawing/2014/chart" uri="{C3380CC4-5D6E-409C-BE32-E72D297353CC}">
              <c16:uniqueId val="{00000001-BDE7-4974-A29D-330F73C9082C}"/>
            </c:ext>
          </c:extLst>
        </c:ser>
        <c:ser>
          <c:idx val="1"/>
          <c:order val="1"/>
          <c:tx>
            <c:strRef>
              <c:f>'3Y_OUTPUT'!$D$123</c:f>
              <c:strCache>
                <c:ptCount val="1"/>
                <c:pt idx="0">
                  <c:v>C2</c:v>
                </c:pt>
              </c:strCache>
            </c:strRef>
          </c:tx>
          <c:spPr>
            <a:ln w="127000" cap="flat" cmpd="dbl" algn="ctr">
              <a:solidFill>
                <a:srgbClr val="00B050">
                  <a:alpha val="50000"/>
                </a:srgbClr>
              </a:solidFill>
              <a:round/>
            </a:ln>
            <a:effectLst/>
          </c:spPr>
          <c:marker>
            <c:symbol val="circle"/>
            <c:size val="10"/>
            <c:spPr>
              <a:solidFill>
                <a:srgbClr val="00B050"/>
              </a:solidFill>
              <a:ln w="9525" cap="flat" cmpd="dbl" algn="ctr">
                <a:solidFill>
                  <a:srgbClr val="00B050">
                    <a:alpha val="70000"/>
                  </a:srgbClr>
                </a:solidFill>
                <a:round/>
              </a:ln>
              <a:effectLst/>
            </c:spPr>
          </c:marker>
          <c:dLbls>
            <c:spPr>
              <a:noFill/>
              <a:ln>
                <a:noFill/>
              </a:ln>
              <a:effectLst/>
            </c:spPr>
            <c:txPr>
              <a:bodyPr rot="0" vert="horz"/>
              <a:lstStyle/>
              <a:p>
                <a:pPr>
                  <a:defRPr>
                    <a:latin typeface="+mn-lt"/>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'3Y_OUTPUT'!$D$129</c:f>
              <c:numCache>
                <c:formatCode>#.#00</c:formatCode>
                <c:ptCount val="1"/>
                <c:pt idx="0">
                  <c:v>6.4128567269876129</c:v>
                </c:pt>
              </c:numCache>
            </c:numRef>
          </c:xVal>
          <c:yVal>
            <c:numRef>
              <c:f>'3Y_OUTPUT'!$D$124</c:f>
              <c:numCache>
                <c:formatCode>#.#00</c:formatCode>
                <c:ptCount val="1"/>
                <c:pt idx="0">
                  <c:v>51.716998271096848</c:v>
                </c:pt>
              </c:numCache>
            </c:numRef>
          </c:yVal>
          <c:smooth val="0"/>
          <c:extLst>
            <c:ext xmlns:c16="http://schemas.microsoft.com/office/drawing/2014/chart" uri="{C3380CC4-5D6E-409C-BE32-E72D297353CC}">
              <c16:uniqueId val="{00000002-BDE7-4974-A29D-330F73C9082C}"/>
            </c:ext>
          </c:extLst>
        </c:ser>
        <c:ser>
          <c:idx val="2"/>
          <c:order val="2"/>
          <c:tx>
            <c:strRef>
              <c:f>'3Y_OUTPUT'!$E$123</c:f>
              <c:strCache>
                <c:ptCount val="1"/>
                <c:pt idx="0">
                  <c:v>C3</c:v>
                </c:pt>
              </c:strCache>
            </c:strRef>
          </c:tx>
          <c:spPr>
            <a:ln w="127000" cap="flat" cmpd="dbl" algn="ctr">
              <a:solidFill>
                <a:srgbClr val="9BBB59">
                  <a:alpha val="50000"/>
                </a:srgbClr>
              </a:solidFill>
              <a:round/>
            </a:ln>
            <a:effectLst/>
          </c:spPr>
          <c:marker>
            <c:symbol val="circle"/>
            <c:size val="10"/>
            <c:spPr>
              <a:solidFill>
                <a:srgbClr val="7030A0"/>
              </a:solidFill>
              <a:ln w="9525" cap="flat" cmpd="dbl" algn="ctr">
                <a:solidFill>
                  <a:srgbClr val="7030A0">
                    <a:alpha val="70000"/>
                  </a:srgbClr>
                </a:solidFill>
                <a:round/>
              </a:ln>
              <a:effectLst/>
            </c:spPr>
          </c:marker>
          <c:dLbls>
            <c:dLbl>
              <c:idx val="0"/>
              <c:layout>
                <c:manualLayout>
                  <c:x val="-9.4521703349388329E-3"/>
                  <c:y val="-1.5684446735416403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3-BDE7-4974-A29D-330F73C9082C}"/>
                </c:ext>
              </c:extLst>
            </c:dLbl>
            <c:spPr>
              <a:noFill/>
              <a:ln>
                <a:noFill/>
              </a:ln>
              <a:effectLst/>
            </c:spPr>
            <c:txPr>
              <a:bodyPr rot="0" vert="horz"/>
              <a:lstStyle/>
              <a:p>
                <a:pPr>
                  <a:defRPr>
                    <a:latin typeface="+mn-lt"/>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'3Y_OUTPUT'!$E$129</c:f>
              <c:numCache>
                <c:formatCode>#.#00</c:formatCode>
                <c:ptCount val="1"/>
                <c:pt idx="0">
                  <c:v>6.3359314899278942</c:v>
                </c:pt>
              </c:numCache>
            </c:numRef>
          </c:xVal>
          <c:yVal>
            <c:numRef>
              <c:f>'3Y_OUTPUT'!$E$124</c:f>
              <c:numCache>
                <c:formatCode>#.#00</c:formatCode>
                <c:ptCount val="1"/>
                <c:pt idx="0">
                  <c:v>51.140407629531261</c:v>
                </c:pt>
              </c:numCache>
            </c:numRef>
          </c:yVal>
          <c:smooth val="0"/>
          <c:extLst>
            <c:ext xmlns:c16="http://schemas.microsoft.com/office/drawing/2014/chart" uri="{C3380CC4-5D6E-409C-BE32-E72D297353CC}">
              <c16:uniqueId val="{00000004-BDE7-4974-A29D-330F73C9082C}"/>
            </c:ext>
          </c:extLst>
        </c:ser>
        <c:ser>
          <c:idx val="3"/>
          <c:order val="3"/>
          <c:tx>
            <c:strRef>
              <c:f>'3Y_OUTPUT'!$F$123</c:f>
              <c:strCache>
                <c:ptCount val="1"/>
                <c:pt idx="0">
                  <c:v>C4</c:v>
                </c:pt>
              </c:strCache>
            </c:strRef>
          </c:tx>
          <c:spPr>
            <a:ln w="25400" cap="flat" cmpd="dbl" algn="ctr">
              <a:noFill/>
              <a:round/>
            </a:ln>
            <a:effectLst/>
          </c:spPr>
          <c:marker>
            <c:symbol val="circle"/>
            <c:size val="10"/>
            <c:spPr>
              <a:solidFill>
                <a:srgbClr val="1F497D">
                  <a:alpha val="98000"/>
                </a:srgbClr>
              </a:solidFill>
              <a:ln w="9525" cap="flat" cmpd="dbl" algn="ctr">
                <a:solidFill>
                  <a:srgbClr val="1F497D">
                    <a:alpha val="70000"/>
                  </a:srgbClr>
                </a:solidFill>
                <a:round/>
              </a:ln>
              <a:effectLst/>
            </c:spPr>
          </c:marker>
          <c:dLbls>
            <c:dLbl>
              <c:idx val="0"/>
              <c:layout>
                <c:manualLayout>
                  <c:x val="-1.891700165523769E-2"/>
                  <c:y val="0"/>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6-BDE7-4974-A29D-330F73C9082C}"/>
                </c:ext>
              </c:extLst>
            </c:dLbl>
            <c:spPr>
              <a:noFill/>
              <a:ln>
                <a:noFill/>
              </a:ln>
              <a:effectLst/>
            </c:spPr>
            <c:txPr>
              <a:bodyPr rot="0" vert="horz"/>
              <a:lstStyle/>
              <a:p>
                <a:pPr>
                  <a:defRPr>
                    <a:latin typeface="+mn-lt"/>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'3Y_OUTPUT'!$F$129</c:f>
              <c:numCache>
                <c:formatCode>#.#00</c:formatCode>
                <c:ptCount val="1"/>
                <c:pt idx="0">
                  <c:v>4.8586285813167081</c:v>
                </c:pt>
              </c:numCache>
            </c:numRef>
          </c:xVal>
          <c:yVal>
            <c:numRef>
              <c:f>'3Y_OUTPUT'!$F$124</c:f>
              <c:numCache>
                <c:formatCode>#.#00</c:formatCode>
                <c:ptCount val="1"/>
                <c:pt idx="0">
                  <c:v>51.319460024187556</c:v>
                </c:pt>
              </c:numCache>
            </c:numRef>
          </c:yVal>
          <c:smooth val="0"/>
          <c:extLst>
            <c:ext xmlns:c16="http://schemas.microsoft.com/office/drawing/2014/chart" uri="{C3380CC4-5D6E-409C-BE32-E72D297353CC}">
              <c16:uniqueId val="{00000005-BDE7-4974-A29D-330F73C9082C}"/>
            </c:ext>
          </c:extLst>
        </c:ser>
        <c:dLbls>
          <c:showLegendKey val="0"/>
          <c:showVal val="0"/>
          <c:showCatName val="0"/>
          <c:showSerName val="0"/>
          <c:showPercent val="0"/>
          <c:showBubbleSize val="0"/>
        </c:dLbls>
        <c:axId val="253667200"/>
        <c:axId val="253681664"/>
      </c:scatterChart>
      <c:valAx>
        <c:axId val="253667200"/>
        <c:scaling>
          <c:orientation val="minMax"/>
          <c:max val="7"/>
          <c:min val="4.5"/>
        </c:scaling>
        <c:delete val="0"/>
        <c:axPos val="b"/>
        <c:majorGridlines>
          <c:spPr>
            <a:ln w="9525" cap="flat" cmpd="sng" algn="ctr">
              <a:noFill/>
              <a:round/>
            </a:ln>
            <a:effectLst/>
          </c:spPr>
        </c:majorGridlines>
        <c:minorGridlines>
          <c:spPr>
            <a:ln w="9525" cap="flat" cmpd="sng" algn="ctr">
              <a:noFill/>
              <a:round/>
            </a:ln>
            <a:effectLst/>
          </c:spPr>
        </c:minorGridlines>
        <c:title>
          <c:tx>
            <c:rich>
              <a:bodyPr rot="0" vert="horz"/>
              <a:lstStyle/>
              <a:p>
                <a:pPr>
                  <a:defRPr>
                    <a:solidFill>
                      <a:schemeClr val="tx2"/>
                    </a:solidFill>
                    <a:latin typeface="Calibri" panose="020F0502020204030204" pitchFamily="34" charset="0"/>
                    <a:cs typeface="Calibri" panose="020F0502020204030204" pitchFamily="34" charset="0"/>
                  </a:defRPr>
                </a:pPr>
                <a:r>
                  <a:rPr lang="sr-Cyrl-BA">
                    <a:solidFill>
                      <a:schemeClr val="tx2"/>
                    </a:solidFill>
                    <a:latin typeface="Calibri" panose="020F0502020204030204" pitchFamily="34" charset="0"/>
                    <a:cs typeface="Calibri" panose="020F0502020204030204" pitchFamily="34" charset="0"/>
                  </a:rPr>
                  <a:t>Ризик</a:t>
                </a:r>
              </a:p>
            </c:rich>
          </c:tx>
          <c:layout>
            <c:manualLayout>
              <c:xMode val="edge"/>
              <c:yMode val="edge"/>
              <c:x val="0.4712499835945263"/>
              <c:y val="0.935530611677861"/>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tx2"/>
                </a:solidFill>
                <a:latin typeface="Calibri" panose="020F0502020204030204" pitchFamily="34" charset="0"/>
                <a:cs typeface="Calibri" panose="020F0502020204030204" pitchFamily="34" charset="0"/>
              </a:defRPr>
            </a:pPr>
            <a:endParaRPr lang="sr-Latn-RS"/>
          </a:p>
        </c:txPr>
        <c:crossAx val="253681664"/>
        <c:crosses val="autoZero"/>
        <c:crossBetween val="midCat"/>
        <c:majorUnit val="0.5"/>
        <c:minorUnit val="0.1"/>
      </c:valAx>
      <c:valAx>
        <c:axId val="253681664"/>
        <c:scaling>
          <c:orientation val="minMax"/>
          <c:max val="52"/>
          <c:min val="50.5"/>
        </c:scaling>
        <c:delete val="0"/>
        <c:axPos val="l"/>
        <c:majorGridlines>
          <c:spPr>
            <a:ln w="9525" cap="flat" cmpd="sng" algn="ctr">
              <a:noFill/>
              <a:round/>
            </a:ln>
            <a:effectLst/>
          </c:spPr>
        </c:majorGridlines>
        <c:minorGridlines>
          <c:spPr>
            <a:ln w="9525" cap="flat" cmpd="sng" algn="ctr">
              <a:noFill/>
              <a:round/>
            </a:ln>
            <a:effectLst/>
          </c:spPr>
        </c:minorGridlines>
        <c:title>
          <c:tx>
            <c:rich>
              <a:bodyPr rot="-5400000" vert="horz"/>
              <a:lstStyle/>
              <a:p>
                <a:pPr>
                  <a:defRPr>
                    <a:solidFill>
                      <a:schemeClr val="tx2"/>
                    </a:solidFill>
                    <a:latin typeface="Calibri" panose="020F0502020204030204" pitchFamily="34" charset="0"/>
                    <a:cs typeface="Calibri" panose="020F0502020204030204" pitchFamily="34" charset="0"/>
                  </a:defRPr>
                </a:pPr>
                <a:r>
                  <a:rPr lang="sr-Cyrl-BA">
                    <a:solidFill>
                      <a:schemeClr val="tx2"/>
                    </a:solidFill>
                    <a:latin typeface="Calibri" panose="020F0502020204030204" pitchFamily="34" charset="0"/>
                    <a:cs typeface="Calibri" panose="020F0502020204030204" pitchFamily="34" charset="0"/>
                  </a:rPr>
                  <a:t>Трошкови (%)</a:t>
                </a:r>
              </a:p>
            </c:rich>
          </c:tx>
          <c:layout>
            <c:manualLayout>
              <c:xMode val="edge"/>
              <c:yMode val="edge"/>
              <c:x val="4.2641600474437186E-3"/>
              <c:y val="0.32453201268393489"/>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tx2"/>
                </a:solidFill>
                <a:latin typeface="Calibri" panose="020F0502020204030204" pitchFamily="34" charset="0"/>
                <a:cs typeface="Calibri" panose="020F0502020204030204" pitchFamily="34" charset="0"/>
              </a:defRPr>
            </a:pPr>
            <a:endParaRPr lang="sr-Latn-RS"/>
          </a:p>
        </c:txPr>
        <c:crossAx val="253667200"/>
        <c:crosses val="autoZero"/>
        <c:crossBetween val="midCat"/>
        <c:majorUnit val="0.5"/>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mbria" panose="02040503050406030204" pitchFamily="18" charset="0"/>
        </a:defRPr>
      </a:pPr>
      <a:endParaRPr lang="sr-Latn-RS"/>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632893952934166"/>
          <c:y val="8.3992045285606692E-2"/>
          <c:w val="0.73758452487339898"/>
          <c:h val="0.7112994754411065"/>
        </c:manualLayout>
      </c:layout>
      <c:scatterChart>
        <c:scatterStyle val="lineMarker"/>
        <c:varyColors val="0"/>
        <c:ser>
          <c:idx val="0"/>
          <c:order val="0"/>
          <c:tx>
            <c:strRef>
              <c:f>'3Y_OUTPUT'!$C$133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'3Y_OUTPUT'!$C$139</c:f>
              <c:numCache>
                <c:formatCode>#.#00</c:formatCode>
                <c:ptCount val="1"/>
                <c:pt idx="0">
                  <c:v>0.72345924859704036</c:v>
                </c:pt>
              </c:numCache>
            </c:numRef>
          </c:xVal>
          <c:yVal>
            <c:numRef>
              <c:f>'3Y_OUTPUT'!$C$134</c:f>
              <c:numCache>
                <c:formatCode>#.#00</c:formatCode>
                <c:ptCount val="1"/>
                <c:pt idx="0">
                  <c:v>2.272670305204644</c:v>
                </c:pt>
              </c:numCache>
            </c:numRef>
          </c:yVal>
          <c:smooth val="0"/>
          <c:extLst>
            <c:ext xmlns:c16="http://schemas.microsoft.com/office/drawing/2014/chart" uri="{C3380CC4-5D6E-409C-BE32-E72D297353CC}">
              <c16:uniqueId val="{00000000-89CC-4AEB-A7B7-7D90F104B426}"/>
            </c:ext>
          </c:extLst>
        </c:ser>
        <c:ser>
          <c:idx val="1"/>
          <c:order val="1"/>
          <c:tx>
            <c:strRef>
              <c:f>'3Y_OUTPUT'!$D$133</c:f>
              <c:strCache>
                <c:ptCount val="1"/>
                <c:pt idx="0">
                  <c:v>C2</c:v>
                </c:pt>
              </c:strCache>
            </c:strRef>
          </c:tx>
          <c:spPr>
            <a:ln w="25400" cap="flat" cmpd="dbl" algn="ctr">
              <a:noFill/>
              <a:round/>
            </a:ln>
            <a:effectLst/>
          </c:spPr>
          <c:marker>
            <c:symbol val="circle"/>
            <c:size val="10"/>
            <c:spPr>
              <a:solidFill>
                <a:srgbClr val="00B050"/>
              </a:solidFill>
              <a:ln w="34925" cap="flat" cmpd="dbl" algn="ctr">
                <a:no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'3Y_OUTPUT'!$D$139</c:f>
              <c:numCache>
                <c:formatCode>#.#00</c:formatCode>
                <c:ptCount val="1"/>
                <c:pt idx="0">
                  <c:v>0.85692399078352244</c:v>
                </c:pt>
              </c:numCache>
            </c:numRef>
          </c:xVal>
          <c:yVal>
            <c:numRef>
              <c:f>'3Y_OUTPUT'!$D$134</c:f>
              <c:numCache>
                <c:formatCode>#.#00</c:formatCode>
                <c:ptCount val="1"/>
                <c:pt idx="0">
                  <c:v>2.6700850768990381</c:v>
                </c:pt>
              </c:numCache>
            </c:numRef>
          </c:yVal>
          <c:smooth val="0"/>
          <c:extLst>
            <c:ext xmlns:c16="http://schemas.microsoft.com/office/drawing/2014/chart" uri="{C3380CC4-5D6E-409C-BE32-E72D297353CC}">
              <c16:uniqueId val="{00000001-89CC-4AEB-A7B7-7D90F104B426}"/>
            </c:ext>
          </c:extLst>
        </c:ser>
        <c:ser>
          <c:idx val="2"/>
          <c:order val="2"/>
          <c:tx>
            <c:strRef>
              <c:f>'3Y_OUTPUT'!$E$133</c:f>
              <c:strCache>
                <c:ptCount val="1"/>
                <c:pt idx="0">
                  <c:v>C3</c:v>
                </c:pt>
              </c:strCache>
            </c:strRef>
          </c:tx>
          <c:spPr>
            <a:ln w="25400" cap="flat" cmpd="dbl" algn="ctr">
              <a:solidFill>
                <a:schemeClr val="accent3">
                  <a:alpha val="50000"/>
                </a:schemeClr>
              </a:solidFill>
              <a:round/>
            </a:ln>
            <a:effectLst/>
          </c:spPr>
          <c:marker>
            <c:symbol val="circle"/>
            <c:size val="10"/>
            <c:spPr>
              <a:solidFill>
                <a:srgbClr val="7030A0"/>
              </a:solidFill>
              <a:ln w="9525" cap="flat" cmpd="dbl" algn="ctr">
                <a:solidFill>
                  <a:srgbClr val="7030A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'3Y_OUTPUT'!$E$139</c:f>
              <c:numCache>
                <c:formatCode>#.#00</c:formatCode>
                <c:ptCount val="1"/>
                <c:pt idx="0">
                  <c:v>0.83719434575915086</c:v>
                </c:pt>
              </c:numCache>
            </c:numRef>
          </c:xVal>
          <c:yVal>
            <c:numRef>
              <c:f>'3Y_OUTPUT'!$E$134</c:f>
              <c:numCache>
                <c:formatCode>#.#00</c:formatCode>
                <c:ptCount val="1"/>
                <c:pt idx="0">
                  <c:v>2.2956110562470835</c:v>
                </c:pt>
              </c:numCache>
            </c:numRef>
          </c:yVal>
          <c:smooth val="0"/>
          <c:extLst>
            <c:ext xmlns:c16="http://schemas.microsoft.com/office/drawing/2014/chart" uri="{C3380CC4-5D6E-409C-BE32-E72D297353CC}">
              <c16:uniqueId val="{00000002-89CC-4AEB-A7B7-7D90F104B426}"/>
            </c:ext>
          </c:extLst>
        </c:ser>
        <c:ser>
          <c:idx val="3"/>
          <c:order val="3"/>
          <c:tx>
            <c:strRef>
              <c:f>'3Y_OUTPUT'!$F$133</c:f>
              <c:strCache>
                <c:ptCount val="1"/>
                <c:pt idx="0">
                  <c:v>C4</c:v>
                </c:pt>
              </c:strCache>
            </c:strRef>
          </c:tx>
          <c:spPr>
            <a:ln w="25400" cap="flat" cmpd="dbl" algn="ctr">
              <a:solidFill>
                <a:schemeClr val="accent4">
                  <a:alpha val="50000"/>
                </a:schemeClr>
              </a:solidFill>
              <a:round/>
            </a:ln>
            <a:effectLst/>
          </c:spPr>
          <c:marker>
            <c:symbol val="circle"/>
            <c:size val="10"/>
            <c:spPr>
              <a:solidFill>
                <a:srgbClr val="0070C0"/>
              </a:solidFill>
              <a:ln w="9525" cap="flat" cmpd="dbl" algn="ctr">
                <a:solidFill>
                  <a:srgbClr val="0070C0">
                    <a:alpha val="70000"/>
                  </a:srgbClr>
                </a:solidFill>
                <a:round/>
              </a:ln>
              <a:effectLst/>
            </c:spPr>
          </c:marker>
          <c:dLbls>
            <c:dLbl>
              <c:idx val="0"/>
              <c:layout>
                <c:manualLayout>
                  <c:x val="0"/>
                  <c:y val="-1.5680125441003563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4-89CC-4AEB-A7B7-7D90F104B426}"/>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'3Y_OUTPUT'!$F$139</c:f>
              <c:numCache>
                <c:formatCode>#.#00</c:formatCode>
                <c:ptCount val="1"/>
                <c:pt idx="0">
                  <c:v>1.0186694722493908</c:v>
                </c:pt>
              </c:numCache>
            </c:numRef>
          </c:xVal>
          <c:yVal>
            <c:numRef>
              <c:f>'3Y_OUTPUT'!$F$134</c:f>
              <c:numCache>
                <c:formatCode>#.#00</c:formatCode>
                <c:ptCount val="1"/>
                <c:pt idx="0">
                  <c:v>2.4792380099673488</c:v>
                </c:pt>
              </c:numCache>
            </c:numRef>
          </c:yVal>
          <c:smooth val="0"/>
          <c:extLst>
            <c:ext xmlns:c16="http://schemas.microsoft.com/office/drawing/2014/chart" uri="{C3380CC4-5D6E-409C-BE32-E72D297353CC}">
              <c16:uniqueId val="{00000003-89CC-4AEB-A7B7-7D90F104B426}"/>
            </c:ext>
          </c:extLst>
        </c:ser>
        <c:dLbls>
          <c:showLegendKey val="0"/>
          <c:showVal val="0"/>
          <c:showCatName val="0"/>
          <c:showSerName val="0"/>
          <c:showPercent val="0"/>
          <c:showBubbleSize val="0"/>
        </c:dLbls>
        <c:axId val="253612416"/>
        <c:axId val="253614336"/>
      </c:scatterChart>
      <c:valAx>
        <c:axId val="253612416"/>
        <c:scaling>
          <c:orientation val="minMax"/>
          <c:max val="1.03"/>
          <c:min val="0.70000000000000007"/>
        </c:scaling>
        <c:delete val="0"/>
        <c:axPos val="b"/>
        <c:majorGridlines>
          <c:spPr>
            <a:ln w="9525" cap="flat" cmpd="sng" algn="ctr">
              <a:noFill/>
              <a:prstDash val="dash"/>
              <a:round/>
            </a:ln>
            <a:effectLst/>
          </c:spPr>
        </c:majorGridlines>
        <c:minorGridlines>
          <c:spPr>
            <a:ln w="9525" cap="flat" cmpd="sng" algn="ctr">
              <a:solidFill>
                <a:sysClr val="window" lastClr="FFFFFF"/>
              </a:solidFill>
              <a:round/>
            </a:ln>
            <a:effectLst/>
          </c:spPr>
        </c:minorGridlines>
        <c:title>
          <c:tx>
            <c:rich>
              <a:bodyPr rot="0" vert="horz"/>
              <a:lstStyle/>
              <a:p>
                <a:pPr>
                  <a:defRPr>
                    <a:solidFill>
                      <a:schemeClr val="tx2"/>
                    </a:solidFill>
                  </a:defRPr>
                </a:pPr>
                <a:r>
                  <a:rPr lang="sr-Cyrl-RS">
                    <a:solidFill>
                      <a:schemeClr val="tx2"/>
                    </a:solidFill>
                  </a:rPr>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tx2"/>
                </a:solidFill>
              </a:defRPr>
            </a:pPr>
            <a:endParaRPr lang="sr-Latn-RS"/>
          </a:p>
        </c:txPr>
        <c:crossAx val="253614336"/>
        <c:crosses val="autoZero"/>
        <c:crossBetween val="midCat"/>
      </c:valAx>
      <c:valAx>
        <c:axId val="253614336"/>
        <c:scaling>
          <c:orientation val="minMax"/>
          <c:max val="2.8"/>
          <c:min val="2"/>
        </c:scaling>
        <c:delete val="0"/>
        <c:axPos val="l"/>
        <c:majorGridlines>
          <c:spPr>
            <a:ln w="9525" cap="flat" cmpd="sng" algn="ctr">
              <a:noFill/>
              <a:prstDash val="dash"/>
              <a:round/>
            </a:ln>
            <a:effectLst/>
          </c:spPr>
        </c:majorGridlines>
        <c:minorGridlines>
          <c:spPr>
            <a:ln w="9525" cap="flat" cmpd="sng" algn="ctr">
              <a:noFill/>
              <a:round/>
            </a:ln>
            <a:effectLst/>
          </c:spPr>
        </c:minorGridlines>
        <c:title>
          <c:tx>
            <c:rich>
              <a:bodyPr rot="-5400000" vert="horz"/>
              <a:lstStyle/>
              <a:p>
                <a:pPr>
                  <a:defRPr>
                    <a:solidFill>
                      <a:schemeClr val="tx2"/>
                    </a:solidFill>
                  </a:defRPr>
                </a:pPr>
                <a:r>
                  <a:rPr lang="sr-Cyrl-CS">
                    <a:solidFill>
                      <a:schemeClr val="tx2"/>
                    </a:solidFill>
                  </a:rPr>
                  <a:t>Трошкови (%)</a:t>
                </a:r>
              </a:p>
            </c:rich>
          </c:tx>
          <c:layout>
            <c:manualLayout>
              <c:xMode val="edge"/>
              <c:yMode val="edge"/>
              <c:x val="5.5101280905570449E-3"/>
              <c:y val="0.26999821173104432"/>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tx2"/>
                </a:solidFill>
              </a:defRPr>
            </a:pPr>
            <a:endParaRPr lang="sr-Latn-RS"/>
          </a:p>
        </c:txPr>
        <c:crossAx val="253612416"/>
        <c:crosses val="autoZero"/>
        <c:crossBetween val="midCat"/>
        <c:majorUnit val="0.2"/>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libri" panose="020F0502020204030204" pitchFamily="34" charset="0"/>
          <a:cs typeface="Calibri" panose="020F0502020204030204" pitchFamily="34" charset="0"/>
        </a:defRPr>
      </a:pPr>
      <a:endParaRPr lang="sr-Latn-RS"/>
    </a:p>
  </c:txPr>
  <c:externalData r:id="rId1">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spPr>
            <a:ln w="28575" cap="rnd" cmpd="sng" algn="ctr">
              <a:solidFill>
                <a:schemeClr val="accent1">
                  <a:shade val="40000"/>
                  <a:shade val="95000"/>
                  <a:satMod val="105000"/>
                </a:schemeClr>
              </a:solidFill>
              <a:prstDash val="solid"/>
              <a:round/>
            </a:ln>
            <a:effectLst/>
          </c:spPr>
          <c:marker>
            <c:spPr>
              <a:solidFill>
                <a:schemeClr val="accent1">
                  <a:shade val="38000"/>
                </a:schemeClr>
              </a:solidFill>
              <a:ln w="9525" cap="flat" cmpd="sng" algn="ctr">
                <a:solidFill>
                  <a:schemeClr val="accent1">
                    <a:shade val="38000"/>
                    <a:shade val="95000"/>
                    <a:satMod val="105000"/>
                  </a:schemeClr>
                </a:solidFill>
                <a:prstDash val="solid"/>
                <a:round/>
              </a:ln>
              <a:effectLst/>
            </c:spPr>
          </c:marker>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kursa'!$H$50:$Q$50</c:f>
              <c:numCache>
                <c:formatCode>General</c:formatCode>
                <c:ptCount val="10"/>
                <c:pt idx="0">
                  <c:v>2016</c:v>
                </c:pt>
                <c:pt idx="1">
                  <c:v>2017</c:v>
                </c:pt>
                <c:pt idx="2">
                  <c:v>2018</c:v>
                </c:pt>
                <c:pt idx="3">
                  <c:v>2019</c:v>
                </c:pt>
                <c:pt idx="4">
                  <c:v>2020</c:v>
                </c:pt>
                <c:pt idx="5">
                  <c:v>2021</c:v>
                </c:pt>
                <c:pt idx="6">
                  <c:v>2022</c:v>
                </c:pt>
                <c:pt idx="7">
                  <c:v>2023</c:v>
                </c:pt>
                <c:pt idx="8">
                  <c:v>2024</c:v>
                </c:pt>
                <c:pt idx="9">
                  <c:v>2025</c:v>
                </c:pt>
              </c:numCache>
            </c:numRef>
          </c:val>
          <c:smooth val="0"/>
          <c:extLst>
            <c:ext xmlns:c16="http://schemas.microsoft.com/office/drawing/2014/chart" uri="{C3380CC4-5D6E-409C-BE32-E72D297353CC}">
              <c16:uniqueId val="{00000000-0AFD-4710-8DC5-FCFD618DE449}"/>
            </c:ext>
          </c:extLst>
        </c:ser>
        <c:ser>
          <c:idx val="1"/>
          <c:order val="1"/>
          <c:spPr>
            <a:ln w="28575" cap="rnd" cmpd="sng" algn="ctr">
              <a:solidFill>
                <a:schemeClr val="accent1">
                  <a:shade val="51000"/>
                  <a:shade val="95000"/>
                  <a:satMod val="105000"/>
                </a:schemeClr>
              </a:solidFill>
              <a:prstDash val="solid"/>
              <a:round/>
            </a:ln>
            <a:effectLst/>
          </c:spPr>
          <c:marker>
            <c:symbol val="diamond"/>
            <c:size val="10"/>
            <c:spPr>
              <a:solidFill>
                <a:schemeClr val="accent1">
                  <a:shade val="45000"/>
                </a:schemeClr>
              </a:solidFill>
              <a:ln w="9525" cap="flat" cmpd="sng" algn="ctr">
                <a:solidFill>
                  <a:schemeClr val="accent1">
                    <a:shade val="45000"/>
                    <a:shade val="95000"/>
                    <a:satMod val="105000"/>
                  </a:schemeClr>
                </a:solidFill>
                <a:prstDash val="solid"/>
                <a:round/>
              </a:ln>
              <a:effectLst/>
            </c:spPr>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kursa'!$H$51:$R$51</c:f>
              <c:numCache>
                <c:formatCode>##,#00</c:formatCode>
                <c:ptCount val="11"/>
                <c:pt idx="0">
                  <c:v>67.678479463063553</c:v>
                </c:pt>
                <c:pt idx="1">
                  <c:v>57.788223811969416</c:v>
                </c:pt>
                <c:pt idx="2">
                  <c:v>53.621882530067857</c:v>
                </c:pt>
                <c:pt idx="3">
                  <c:v>51.9</c:v>
                </c:pt>
                <c:pt idx="4">
                  <c:v>57</c:v>
                </c:pt>
                <c:pt idx="5">
                  <c:v>56.510139896775023</c:v>
                </c:pt>
                <c:pt idx="6">
                  <c:v>55.1</c:v>
                </c:pt>
                <c:pt idx="7">
                  <c:v>53.57428596089283</c:v>
                </c:pt>
                <c:pt idx="8">
                  <c:v>53.207584145159657</c:v>
                </c:pt>
                <c:pt idx="9">
                  <c:v>52.099815437617934</c:v>
                </c:pt>
                <c:pt idx="10">
                  <c:v>50.904216777271415</c:v>
                </c:pt>
              </c:numCache>
            </c:numRef>
          </c:val>
          <c:smooth val="0"/>
          <c:extLst>
            <c:ext xmlns:c16="http://schemas.microsoft.com/office/drawing/2014/chart" uri="{C3380CC4-5D6E-409C-BE32-E72D297353CC}">
              <c16:uniqueId val="{00000001-0AFD-4710-8DC5-FCFD618DE449}"/>
            </c:ext>
          </c:extLst>
        </c:ser>
        <c:ser>
          <c:idx val="2"/>
          <c:order val="2"/>
          <c:spPr>
            <a:ln w="28575" cap="rnd" cmpd="sng" algn="ctr">
              <a:solidFill>
                <a:schemeClr val="accent1">
                  <a:shade val="62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kursa'!$H$52:$R$52</c:f>
              <c:numCache>
                <c:formatCode>##,#00</c:formatCode>
                <c:ptCount val="11"/>
                <c:pt idx="0">
                  <c:v>67.678479463063553</c:v>
                </c:pt>
                <c:pt idx="1">
                  <c:v>57.788223811969416</c:v>
                </c:pt>
                <c:pt idx="2">
                  <c:v>53.621882530067857</c:v>
                </c:pt>
                <c:pt idx="3">
                  <c:v>51.9</c:v>
                </c:pt>
                <c:pt idx="4">
                  <c:v>57</c:v>
                </c:pt>
                <c:pt idx="5">
                  <c:v>56.510139896775023</c:v>
                </c:pt>
                <c:pt idx="6">
                  <c:v>55.1</c:v>
                </c:pt>
                <c:pt idx="7">
                  <c:v>54.420759679074926</c:v>
                </c:pt>
                <c:pt idx="8">
                  <c:v>54.058905491482214</c:v>
                </c:pt>
                <c:pt idx="9">
                  <c:v>52.933412484619822</c:v>
                </c:pt>
                <c:pt idx="10">
                  <c:v>51.708503402352299</c:v>
                </c:pt>
              </c:numCache>
            </c:numRef>
          </c:val>
          <c:smooth val="0"/>
          <c:extLst>
            <c:ext xmlns:c16="http://schemas.microsoft.com/office/drawing/2014/chart" uri="{C3380CC4-5D6E-409C-BE32-E72D297353CC}">
              <c16:uniqueId val="{00000002-0AFD-4710-8DC5-FCFD618DE449}"/>
            </c:ext>
          </c:extLst>
        </c:ser>
        <c:ser>
          <c:idx val="3"/>
          <c:order val="3"/>
          <c:spPr>
            <a:ln w="28575" cap="rnd" cmpd="sng" algn="ctr">
              <a:solidFill>
                <a:schemeClr val="accent1">
                  <a:shade val="73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kursa'!$H$53:$R$53</c:f>
              <c:numCache>
                <c:formatCode>##,#00</c:formatCode>
                <c:ptCount val="11"/>
                <c:pt idx="0">
                  <c:v>67.678479463063553</c:v>
                </c:pt>
                <c:pt idx="1">
                  <c:v>57.788223811969416</c:v>
                </c:pt>
                <c:pt idx="2">
                  <c:v>53.621882530067857</c:v>
                </c:pt>
                <c:pt idx="3">
                  <c:v>51.9</c:v>
                </c:pt>
                <c:pt idx="4">
                  <c:v>57</c:v>
                </c:pt>
                <c:pt idx="5">
                  <c:v>56.510139896775023</c:v>
                </c:pt>
                <c:pt idx="6">
                  <c:v>55.1</c:v>
                </c:pt>
                <c:pt idx="7">
                  <c:v>55.26723339725703</c:v>
                </c:pt>
                <c:pt idx="8">
                  <c:v>54.910226837804778</c:v>
                </c:pt>
                <c:pt idx="9">
                  <c:v>53.76700953162171</c:v>
                </c:pt>
                <c:pt idx="10">
                  <c:v>52.512790027433184</c:v>
                </c:pt>
              </c:numCache>
            </c:numRef>
          </c:val>
          <c:smooth val="0"/>
          <c:extLst>
            <c:ext xmlns:c16="http://schemas.microsoft.com/office/drawing/2014/chart" uri="{C3380CC4-5D6E-409C-BE32-E72D297353CC}">
              <c16:uniqueId val="{00000003-0AFD-4710-8DC5-FCFD618DE449}"/>
            </c:ext>
          </c:extLst>
        </c:ser>
        <c:ser>
          <c:idx val="4"/>
          <c:order val="4"/>
          <c:spPr>
            <a:ln w="28575" cap="rnd" cmpd="sng" algn="ctr">
              <a:solidFill>
                <a:schemeClr val="accent1">
                  <a:shade val="83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kursa'!$H$54:$R$54</c:f>
              <c:numCache>
                <c:formatCode>##,#00</c:formatCode>
                <c:ptCount val="11"/>
                <c:pt idx="0">
                  <c:v>67.678479463063553</c:v>
                </c:pt>
                <c:pt idx="1">
                  <c:v>57.788223811969416</c:v>
                </c:pt>
                <c:pt idx="2">
                  <c:v>53.621882530067857</c:v>
                </c:pt>
                <c:pt idx="3">
                  <c:v>51.9</c:v>
                </c:pt>
                <c:pt idx="4">
                  <c:v>57</c:v>
                </c:pt>
                <c:pt idx="5">
                  <c:v>56.510139896775023</c:v>
                </c:pt>
                <c:pt idx="6">
                  <c:v>55.1</c:v>
                </c:pt>
                <c:pt idx="7">
                  <c:v>56.113707115439148</c:v>
                </c:pt>
                <c:pt idx="8">
                  <c:v>55.761548184127328</c:v>
                </c:pt>
                <c:pt idx="9">
                  <c:v>54.600606578623598</c:v>
                </c:pt>
                <c:pt idx="10">
                  <c:v>53.317076652514075</c:v>
                </c:pt>
              </c:numCache>
            </c:numRef>
          </c:val>
          <c:smooth val="0"/>
          <c:extLst>
            <c:ext xmlns:c16="http://schemas.microsoft.com/office/drawing/2014/chart" uri="{C3380CC4-5D6E-409C-BE32-E72D297353CC}">
              <c16:uniqueId val="{00000004-0AFD-4710-8DC5-FCFD618DE449}"/>
            </c:ext>
          </c:extLst>
        </c:ser>
        <c:ser>
          <c:idx val="5"/>
          <c:order val="5"/>
          <c:spPr>
            <a:ln w="28575" cap="rnd" cmpd="sng" algn="ctr">
              <a:solidFill>
                <a:schemeClr val="accent1">
                  <a:shade val="94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kursa'!$H$55:$R$55</c:f>
              <c:numCache>
                <c:formatCode>##,#00</c:formatCode>
                <c:ptCount val="11"/>
                <c:pt idx="0">
                  <c:v>67.678479463063553</c:v>
                </c:pt>
                <c:pt idx="1">
                  <c:v>57.788223811969416</c:v>
                </c:pt>
                <c:pt idx="2">
                  <c:v>53.621882530067857</c:v>
                </c:pt>
                <c:pt idx="3">
                  <c:v>51.9</c:v>
                </c:pt>
                <c:pt idx="4">
                  <c:v>57</c:v>
                </c:pt>
                <c:pt idx="5">
                  <c:v>56.510139896775023</c:v>
                </c:pt>
                <c:pt idx="6">
                  <c:v>55.1</c:v>
                </c:pt>
                <c:pt idx="7">
                  <c:v>56.960180833621251</c:v>
                </c:pt>
                <c:pt idx="8">
                  <c:v>56.612869530449885</c:v>
                </c:pt>
                <c:pt idx="9">
                  <c:v>55.434203625625486</c:v>
                </c:pt>
                <c:pt idx="10">
                  <c:v>54.121363277594966</c:v>
                </c:pt>
              </c:numCache>
            </c:numRef>
          </c:val>
          <c:smooth val="0"/>
          <c:extLst>
            <c:ext xmlns:c16="http://schemas.microsoft.com/office/drawing/2014/chart" uri="{C3380CC4-5D6E-409C-BE32-E72D297353CC}">
              <c16:uniqueId val="{00000005-0AFD-4710-8DC5-FCFD618DE449}"/>
            </c:ext>
          </c:extLst>
        </c:ser>
        <c:ser>
          <c:idx val="6"/>
          <c:order val="6"/>
          <c:spPr>
            <a:ln w="28575" cap="rnd" cmpd="sng" algn="ctr">
              <a:solidFill>
                <a:schemeClr val="accent1">
                  <a:tint val="95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6-0AFD-4710-8DC5-FCFD618DE449}"/>
                </c:ext>
              </c:extLst>
            </c:dLbl>
            <c:dLbl>
              <c:idx val="1"/>
              <c:delete val="1"/>
              <c:extLst>
                <c:ext xmlns:c15="http://schemas.microsoft.com/office/drawing/2012/chart" uri="{CE6537A1-D6FC-4f65-9D91-7224C49458BB}"/>
                <c:ext xmlns:c16="http://schemas.microsoft.com/office/drawing/2014/chart" uri="{C3380CC4-5D6E-409C-BE32-E72D297353CC}">
                  <c16:uniqueId val="{00000007-0AFD-4710-8DC5-FCFD618DE449}"/>
                </c:ext>
              </c:extLst>
            </c:dLbl>
            <c:dLbl>
              <c:idx val="2"/>
              <c:delete val="1"/>
              <c:extLst>
                <c:ext xmlns:c15="http://schemas.microsoft.com/office/drawing/2012/chart" uri="{CE6537A1-D6FC-4f65-9D91-7224C49458BB}"/>
                <c:ext xmlns:c16="http://schemas.microsoft.com/office/drawing/2014/chart" uri="{C3380CC4-5D6E-409C-BE32-E72D297353CC}">
                  <c16:uniqueId val="{00000008-0AFD-4710-8DC5-FCFD618DE449}"/>
                </c:ext>
              </c:extLst>
            </c:dLbl>
            <c:dLbl>
              <c:idx val="3"/>
              <c:delete val="1"/>
              <c:extLst>
                <c:ext xmlns:c15="http://schemas.microsoft.com/office/drawing/2012/chart" uri="{CE6537A1-D6FC-4f65-9D91-7224C49458BB}"/>
                <c:ext xmlns:c16="http://schemas.microsoft.com/office/drawing/2014/chart" uri="{C3380CC4-5D6E-409C-BE32-E72D297353CC}">
                  <c16:uniqueId val="{00000009-0AFD-4710-8DC5-FCFD618DE449}"/>
                </c:ext>
              </c:extLst>
            </c:dLbl>
            <c:dLbl>
              <c:idx val="4"/>
              <c:delete val="1"/>
              <c:extLst>
                <c:ext xmlns:c15="http://schemas.microsoft.com/office/drawing/2012/chart" uri="{CE6537A1-D6FC-4f65-9D91-7224C49458BB}"/>
                <c:ext xmlns:c16="http://schemas.microsoft.com/office/drawing/2014/chart" uri="{C3380CC4-5D6E-409C-BE32-E72D297353CC}">
                  <c16:uniqueId val="{0000000A-0AFD-4710-8DC5-FCFD618DE449}"/>
                </c:ext>
              </c:extLst>
            </c:dLbl>
            <c:dLbl>
              <c:idx val="5"/>
              <c:delete val="1"/>
              <c:extLst>
                <c:ext xmlns:c15="http://schemas.microsoft.com/office/drawing/2012/chart" uri="{CE6537A1-D6FC-4f65-9D91-7224C49458BB}"/>
                <c:ext xmlns:c16="http://schemas.microsoft.com/office/drawing/2014/chart" uri="{C3380CC4-5D6E-409C-BE32-E72D297353CC}">
                  <c16:uniqueId val="{0000000B-0AFD-4710-8DC5-FCFD618DE449}"/>
                </c:ext>
              </c:extLst>
            </c:dLbl>
            <c:dLbl>
              <c:idx val="6"/>
              <c:delete val="1"/>
              <c:extLst>
                <c:ext xmlns:c15="http://schemas.microsoft.com/office/drawing/2012/chart" uri="{CE6537A1-D6FC-4f65-9D91-7224C49458BB}"/>
                <c:ext xmlns:c16="http://schemas.microsoft.com/office/drawing/2014/chart" uri="{C3380CC4-5D6E-409C-BE32-E72D297353CC}">
                  <c16:uniqueId val="{0000000C-0AFD-4710-8DC5-FCFD618DE44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kursa'!$H$56:$R$56</c:f>
              <c:numCache>
                <c:formatCode>##,#00</c:formatCode>
                <c:ptCount val="11"/>
                <c:pt idx="0">
                  <c:v>67.678479463063553</c:v>
                </c:pt>
                <c:pt idx="1">
                  <c:v>57.788223811969416</c:v>
                </c:pt>
                <c:pt idx="2">
                  <c:v>53.621882530067857</c:v>
                </c:pt>
                <c:pt idx="3">
                  <c:v>51.9</c:v>
                </c:pt>
                <c:pt idx="4">
                  <c:v>57</c:v>
                </c:pt>
                <c:pt idx="5">
                  <c:v>56.510139896775023</c:v>
                </c:pt>
                <c:pt idx="6">
                  <c:v>55.1</c:v>
                </c:pt>
                <c:pt idx="7">
                  <c:v>57.806654551803362</c:v>
                </c:pt>
                <c:pt idx="8">
                  <c:v>57.464190876772435</c:v>
                </c:pt>
                <c:pt idx="9">
                  <c:v>56.267800672627374</c:v>
                </c:pt>
                <c:pt idx="10">
                  <c:v>54.925649902675858</c:v>
                </c:pt>
              </c:numCache>
            </c:numRef>
          </c:val>
          <c:smooth val="0"/>
          <c:extLst>
            <c:ext xmlns:c16="http://schemas.microsoft.com/office/drawing/2014/chart" uri="{C3380CC4-5D6E-409C-BE32-E72D297353CC}">
              <c16:uniqueId val="{0000000D-0AFD-4710-8DC5-FCFD618DE449}"/>
            </c:ext>
          </c:extLst>
        </c:ser>
        <c:ser>
          <c:idx val="7"/>
          <c:order val="7"/>
          <c:spPr>
            <a:ln w="28575" cap="rnd" cmpd="sng" algn="ctr">
              <a:solidFill>
                <a:schemeClr val="accent1">
                  <a:tint val="84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kursa'!$H$57:$R$57</c:f>
              <c:numCache>
                <c:formatCode>##,#00</c:formatCode>
                <c:ptCount val="11"/>
                <c:pt idx="0">
                  <c:v>67.678479463063553</c:v>
                </c:pt>
                <c:pt idx="1">
                  <c:v>57.788223811969416</c:v>
                </c:pt>
                <c:pt idx="2">
                  <c:v>53.621882530067857</c:v>
                </c:pt>
                <c:pt idx="3">
                  <c:v>51.9</c:v>
                </c:pt>
                <c:pt idx="4">
                  <c:v>57</c:v>
                </c:pt>
                <c:pt idx="5">
                  <c:v>56.510139896775023</c:v>
                </c:pt>
                <c:pt idx="6">
                  <c:v>55.1</c:v>
                </c:pt>
                <c:pt idx="7">
                  <c:v>52.727812242710712</c:v>
                </c:pt>
                <c:pt idx="8">
                  <c:v>52.356262798837108</c:v>
                </c:pt>
                <c:pt idx="9">
                  <c:v>51.266218390616046</c:v>
                </c:pt>
                <c:pt idx="10">
                  <c:v>50.099930152190531</c:v>
                </c:pt>
              </c:numCache>
            </c:numRef>
          </c:val>
          <c:smooth val="0"/>
          <c:extLst>
            <c:ext xmlns:c16="http://schemas.microsoft.com/office/drawing/2014/chart" uri="{C3380CC4-5D6E-409C-BE32-E72D297353CC}">
              <c16:uniqueId val="{0000000E-0AFD-4710-8DC5-FCFD618DE449}"/>
            </c:ext>
          </c:extLst>
        </c:ser>
        <c:ser>
          <c:idx val="8"/>
          <c:order val="8"/>
          <c:spPr>
            <a:ln w="28575" cap="rnd" cmpd="sng" algn="ctr">
              <a:solidFill>
                <a:schemeClr val="accent1">
                  <a:tint val="74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kursa'!$H$58:$R$58</c:f>
              <c:numCache>
                <c:formatCode>##,#00</c:formatCode>
                <c:ptCount val="11"/>
                <c:pt idx="0">
                  <c:v>67.678479463063553</c:v>
                </c:pt>
                <c:pt idx="1">
                  <c:v>57.788223811969416</c:v>
                </c:pt>
                <c:pt idx="2">
                  <c:v>53.621882530067857</c:v>
                </c:pt>
                <c:pt idx="3">
                  <c:v>51.9</c:v>
                </c:pt>
                <c:pt idx="4">
                  <c:v>57</c:v>
                </c:pt>
                <c:pt idx="5">
                  <c:v>56.510139896775023</c:v>
                </c:pt>
                <c:pt idx="6">
                  <c:v>55.1</c:v>
                </c:pt>
                <c:pt idx="7">
                  <c:v>51.881338524528623</c:v>
                </c:pt>
                <c:pt idx="8">
                  <c:v>51.504941452514551</c:v>
                </c:pt>
                <c:pt idx="9">
                  <c:v>50.432621343614159</c:v>
                </c:pt>
                <c:pt idx="10">
                  <c:v>49.295643527109632</c:v>
                </c:pt>
              </c:numCache>
            </c:numRef>
          </c:val>
          <c:smooth val="0"/>
          <c:extLst>
            <c:ext xmlns:c16="http://schemas.microsoft.com/office/drawing/2014/chart" uri="{C3380CC4-5D6E-409C-BE32-E72D297353CC}">
              <c16:uniqueId val="{0000000F-0AFD-4710-8DC5-FCFD618DE449}"/>
            </c:ext>
          </c:extLst>
        </c:ser>
        <c:ser>
          <c:idx val="9"/>
          <c:order val="9"/>
          <c:spPr>
            <a:ln w="28575" cap="rnd" cmpd="sng" algn="ctr">
              <a:solidFill>
                <a:schemeClr val="accent1">
                  <a:tint val="63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kursa'!$H$59:$R$59</c:f>
              <c:numCache>
                <c:formatCode>##,#00</c:formatCode>
                <c:ptCount val="11"/>
                <c:pt idx="0">
                  <c:v>67.678479463063553</c:v>
                </c:pt>
                <c:pt idx="1">
                  <c:v>57.788223811969416</c:v>
                </c:pt>
                <c:pt idx="2">
                  <c:v>53.621882530067857</c:v>
                </c:pt>
                <c:pt idx="3">
                  <c:v>51.9</c:v>
                </c:pt>
                <c:pt idx="4">
                  <c:v>57</c:v>
                </c:pt>
                <c:pt idx="5">
                  <c:v>56.510139896775023</c:v>
                </c:pt>
                <c:pt idx="6">
                  <c:v>55.1</c:v>
                </c:pt>
                <c:pt idx="7">
                  <c:v>51.034864806346505</c:v>
                </c:pt>
                <c:pt idx="8">
                  <c:v>50.653620106192001</c:v>
                </c:pt>
                <c:pt idx="9">
                  <c:v>49.599024296612278</c:v>
                </c:pt>
                <c:pt idx="10">
                  <c:v>48.491356902028748</c:v>
                </c:pt>
              </c:numCache>
            </c:numRef>
          </c:val>
          <c:smooth val="0"/>
          <c:extLst>
            <c:ext xmlns:c16="http://schemas.microsoft.com/office/drawing/2014/chart" uri="{C3380CC4-5D6E-409C-BE32-E72D297353CC}">
              <c16:uniqueId val="{00000010-0AFD-4710-8DC5-FCFD618DE449}"/>
            </c:ext>
          </c:extLst>
        </c:ser>
        <c:ser>
          <c:idx val="10"/>
          <c:order val="10"/>
          <c:spPr>
            <a:ln w="28575" cap="rnd" cmpd="sng" algn="ctr">
              <a:solidFill>
                <a:schemeClr val="accent1">
                  <a:tint val="52000"/>
                  <a:shade val="95000"/>
                  <a:satMod val="105000"/>
                </a:schemeClr>
              </a:solidFill>
              <a:prstDash val="solid"/>
              <a:round/>
            </a:ln>
            <a:effectLst/>
          </c:spPr>
          <c:marker>
            <c:symbol val="none"/>
          </c:marker>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kursa'!$H$60:$R$60</c:f>
              <c:numCache>
                <c:formatCode>##,#00</c:formatCode>
                <c:ptCount val="11"/>
                <c:pt idx="0">
                  <c:v>67.678479463063553</c:v>
                </c:pt>
                <c:pt idx="1">
                  <c:v>57.788223811969416</c:v>
                </c:pt>
                <c:pt idx="2">
                  <c:v>53.621882530067857</c:v>
                </c:pt>
                <c:pt idx="3">
                  <c:v>51.9</c:v>
                </c:pt>
                <c:pt idx="4">
                  <c:v>57</c:v>
                </c:pt>
                <c:pt idx="5">
                  <c:v>56.510139896775023</c:v>
                </c:pt>
                <c:pt idx="6">
                  <c:v>55.1</c:v>
                </c:pt>
                <c:pt idx="7">
                  <c:v>50.188391088164394</c:v>
                </c:pt>
                <c:pt idx="8">
                  <c:v>49.802298759869437</c:v>
                </c:pt>
                <c:pt idx="9">
                  <c:v>48.765427249610397</c:v>
                </c:pt>
                <c:pt idx="10">
                  <c:v>47.687070276947864</c:v>
                </c:pt>
              </c:numCache>
            </c:numRef>
          </c:val>
          <c:smooth val="0"/>
          <c:extLst>
            <c:ext xmlns:c16="http://schemas.microsoft.com/office/drawing/2014/chart" uri="{C3380CC4-5D6E-409C-BE32-E72D297353CC}">
              <c16:uniqueId val="{00000011-0AFD-4710-8DC5-FCFD618DE449}"/>
            </c:ext>
          </c:extLst>
        </c:ser>
        <c:ser>
          <c:idx val="11"/>
          <c:order val="11"/>
          <c:spPr>
            <a:ln w="28575" cap="rnd" cmpd="sng" algn="ctr">
              <a:solidFill>
                <a:schemeClr val="accent1">
                  <a:tint val="41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2-0AFD-4710-8DC5-FCFD618DE449}"/>
                </c:ext>
              </c:extLst>
            </c:dLbl>
            <c:dLbl>
              <c:idx val="1"/>
              <c:delete val="1"/>
              <c:extLst>
                <c:ext xmlns:c15="http://schemas.microsoft.com/office/drawing/2012/chart" uri="{CE6537A1-D6FC-4f65-9D91-7224C49458BB}"/>
                <c:ext xmlns:c16="http://schemas.microsoft.com/office/drawing/2014/chart" uri="{C3380CC4-5D6E-409C-BE32-E72D297353CC}">
                  <c16:uniqueId val="{00000013-0AFD-4710-8DC5-FCFD618DE449}"/>
                </c:ext>
              </c:extLst>
            </c:dLbl>
            <c:dLbl>
              <c:idx val="2"/>
              <c:delete val="1"/>
              <c:extLst>
                <c:ext xmlns:c15="http://schemas.microsoft.com/office/drawing/2012/chart" uri="{CE6537A1-D6FC-4f65-9D91-7224C49458BB}"/>
                <c:ext xmlns:c16="http://schemas.microsoft.com/office/drawing/2014/chart" uri="{C3380CC4-5D6E-409C-BE32-E72D297353CC}">
                  <c16:uniqueId val="{00000014-0AFD-4710-8DC5-FCFD618DE449}"/>
                </c:ext>
              </c:extLst>
            </c:dLbl>
            <c:dLbl>
              <c:idx val="3"/>
              <c:delete val="1"/>
              <c:extLst>
                <c:ext xmlns:c15="http://schemas.microsoft.com/office/drawing/2012/chart" uri="{CE6537A1-D6FC-4f65-9D91-7224C49458BB}"/>
                <c:ext xmlns:c16="http://schemas.microsoft.com/office/drawing/2014/chart" uri="{C3380CC4-5D6E-409C-BE32-E72D297353CC}">
                  <c16:uniqueId val="{00000015-0AFD-4710-8DC5-FCFD618DE449}"/>
                </c:ext>
              </c:extLst>
            </c:dLbl>
            <c:dLbl>
              <c:idx val="4"/>
              <c:delete val="1"/>
              <c:extLst>
                <c:ext xmlns:c15="http://schemas.microsoft.com/office/drawing/2012/chart" uri="{CE6537A1-D6FC-4f65-9D91-7224C49458BB}"/>
                <c:ext xmlns:c16="http://schemas.microsoft.com/office/drawing/2014/chart" uri="{C3380CC4-5D6E-409C-BE32-E72D297353CC}">
                  <c16:uniqueId val="{00000016-0AFD-4710-8DC5-FCFD618DE449}"/>
                </c:ext>
              </c:extLst>
            </c:dLbl>
            <c:dLbl>
              <c:idx val="5"/>
              <c:delete val="1"/>
              <c:extLst>
                <c:ext xmlns:c15="http://schemas.microsoft.com/office/drawing/2012/chart" uri="{CE6537A1-D6FC-4f65-9D91-7224C49458BB}"/>
                <c:ext xmlns:c16="http://schemas.microsoft.com/office/drawing/2014/chart" uri="{C3380CC4-5D6E-409C-BE32-E72D297353CC}">
                  <c16:uniqueId val="{00000017-0AFD-4710-8DC5-FCFD618DE449}"/>
                </c:ext>
              </c:extLst>
            </c:dLbl>
            <c:dLbl>
              <c:idx val="6"/>
              <c:delete val="1"/>
              <c:extLst>
                <c:ext xmlns:c15="http://schemas.microsoft.com/office/drawing/2012/chart" uri="{CE6537A1-D6FC-4f65-9D91-7224C49458BB}"/>
                <c:ext xmlns:c16="http://schemas.microsoft.com/office/drawing/2014/chart" uri="{C3380CC4-5D6E-409C-BE32-E72D297353CC}">
                  <c16:uniqueId val="{00000018-0AFD-4710-8DC5-FCFD618DE449}"/>
                </c:ext>
              </c:extLst>
            </c:dLbl>
            <c:dLbl>
              <c:idx val="7"/>
              <c:layout>
                <c:manualLayout>
                  <c:x val="-9.4257881796395923E-2"/>
                  <c:y val="1.919880207281782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0AFD-4710-8DC5-FCFD618DE449}"/>
                </c:ext>
              </c:extLst>
            </c:dLbl>
            <c:dLbl>
              <c:idx val="8"/>
              <c:layout>
                <c:manualLayout>
                  <c:x val="-9.0746907624689205E-2"/>
                  <c:y val="3.648798707853825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0AFD-4710-8DC5-FCFD618DE449}"/>
                </c:ext>
              </c:extLst>
            </c:dLbl>
            <c:dLbl>
              <c:idx val="9"/>
              <c:layout>
                <c:manualLayout>
                  <c:x val="-8.6020077529834621E-2"/>
                  <c:y val="1.2101756511205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0AFD-4710-8DC5-FCFD618DE449}"/>
                </c:ext>
              </c:extLst>
            </c:dLbl>
            <c:dLbl>
              <c:idx val="10"/>
              <c:layout>
                <c:manualLayout>
                  <c:x val="-4.0597692086908107E-3"/>
                  <c:y val="2.347230634632209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0AFD-4710-8DC5-FCFD618DE44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2016</c:v>
                </c:pt>
                <c:pt idx="1">
                  <c:v>2017</c:v>
                </c:pt>
                <c:pt idx="2">
                  <c:v>2018</c:v>
                </c:pt>
                <c:pt idx="3">
                  <c:v>2019</c:v>
                </c:pt>
                <c:pt idx="4">
                  <c:v>2020</c:v>
                </c:pt>
                <c:pt idx="5">
                  <c:v>2021</c:v>
                </c:pt>
                <c:pt idx="6">
                  <c:v>2022</c:v>
                </c:pt>
                <c:pt idx="7">
                  <c:v>2023</c:v>
                </c:pt>
                <c:pt idx="8">
                  <c:v>2024</c:v>
                </c:pt>
                <c:pt idx="9">
                  <c:v>2025</c:v>
                </c:pt>
                <c:pt idx="10">
                  <c:v>2026</c:v>
                </c:pt>
              </c:numCache>
            </c:numRef>
          </c:cat>
          <c:val>
            <c:numRef>
              <c:f>'uticaj promene kursa'!$H$61:$R$61</c:f>
              <c:numCache>
                <c:formatCode>##,#00</c:formatCode>
                <c:ptCount val="11"/>
                <c:pt idx="0">
                  <c:v>67.678479463063553</c:v>
                </c:pt>
                <c:pt idx="1">
                  <c:v>57.788223811969416</c:v>
                </c:pt>
                <c:pt idx="2">
                  <c:v>53.621882530067857</c:v>
                </c:pt>
                <c:pt idx="3">
                  <c:v>51.9</c:v>
                </c:pt>
                <c:pt idx="4">
                  <c:v>57</c:v>
                </c:pt>
                <c:pt idx="5">
                  <c:v>56.510139896775023</c:v>
                </c:pt>
                <c:pt idx="6">
                  <c:v>55.1</c:v>
                </c:pt>
                <c:pt idx="7">
                  <c:v>49.341917369982291</c:v>
                </c:pt>
                <c:pt idx="8">
                  <c:v>48.950977413546887</c:v>
                </c:pt>
                <c:pt idx="9">
                  <c:v>47.931830202608502</c:v>
                </c:pt>
                <c:pt idx="10">
                  <c:v>46.88278365186698</c:v>
                </c:pt>
              </c:numCache>
            </c:numRef>
          </c:val>
          <c:smooth val="0"/>
          <c:extLst>
            <c:ext xmlns:c16="http://schemas.microsoft.com/office/drawing/2014/chart" uri="{C3380CC4-5D6E-409C-BE32-E72D297353CC}">
              <c16:uniqueId val="{0000001B-0AFD-4710-8DC5-FCFD618DE449}"/>
            </c:ext>
          </c:extLst>
        </c:ser>
        <c:dLbls>
          <c:showLegendKey val="0"/>
          <c:showVal val="0"/>
          <c:showCatName val="0"/>
          <c:showSerName val="0"/>
          <c:showPercent val="0"/>
          <c:showBubbleSize val="0"/>
        </c:dLbls>
        <c:marker val="1"/>
        <c:smooth val="0"/>
        <c:axId val="75069312"/>
        <c:axId val="75070848"/>
      </c:lineChart>
      <c:catAx>
        <c:axId val="75069312"/>
        <c:scaling>
          <c:orientation val="minMax"/>
        </c:scaling>
        <c:delete val="0"/>
        <c:axPos val="b"/>
        <c:majorGridlines>
          <c:spPr>
            <a:ln w="9525" cap="flat" cmpd="sng" algn="ctr">
              <a:noFill/>
              <a:prstDash val="solid"/>
              <a:round/>
            </a:ln>
            <a:effectLst/>
          </c:spPr>
        </c:majorGridlines>
        <c:minorGridlines>
          <c:spPr>
            <a:ln w="9525" cap="flat" cmpd="sng" algn="ctr">
              <a:noFill/>
              <a:prstDash val="solid"/>
              <a:round/>
            </a:ln>
            <a:effectLst/>
          </c:spPr>
        </c:min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800" b="1" i="0" u="none" strike="noStrike" kern="1200" baseline="0">
                <a:solidFill>
                  <a:schemeClr val="tx1"/>
                </a:solidFill>
                <a:latin typeface="+mn-lt"/>
                <a:ea typeface="+mn-ea"/>
                <a:cs typeface="+mn-cs"/>
              </a:defRPr>
            </a:pPr>
            <a:endParaRPr lang="sr-Latn-RS"/>
          </a:p>
        </c:txPr>
        <c:crossAx val="75070848"/>
        <c:crosses val="autoZero"/>
        <c:auto val="0"/>
        <c:lblAlgn val="ctr"/>
        <c:lblOffset val="100"/>
        <c:noMultiLvlLbl val="0"/>
      </c:catAx>
      <c:valAx>
        <c:axId val="75070848"/>
        <c:scaling>
          <c:orientation val="minMax"/>
          <c:max val="70"/>
          <c:min val="45"/>
        </c:scaling>
        <c:delete val="0"/>
        <c:axPos val="l"/>
        <c:majorGridlines>
          <c:spPr>
            <a:ln w="9525" cap="flat" cmpd="sng" algn="ctr">
              <a:noFill/>
              <a:prstDash val="solid"/>
              <a:round/>
            </a:ln>
            <a:effectLst/>
          </c:spPr>
        </c:majorGridlines>
        <c:numFmt formatCode="##,#00"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800" b="1" i="0" u="none" strike="noStrike" kern="1200" baseline="0">
                <a:solidFill>
                  <a:schemeClr val="tx1"/>
                </a:solidFill>
                <a:latin typeface="+mn-lt"/>
                <a:ea typeface="+mn-ea"/>
                <a:cs typeface="+mn-cs"/>
              </a:defRPr>
            </a:pPr>
            <a:endParaRPr lang="sr-Latn-RS"/>
          </a:p>
        </c:txPr>
        <c:crossAx val="75069312"/>
        <c:crosses val="autoZero"/>
        <c:crossBetween val="between"/>
        <c:majorUnit val="10"/>
        <c:minorUnit val="2"/>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withinLinear" id="14">
  <a:schemeClr val="accent1"/>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withinLinear" id="16">
  <a:schemeClr val="accent3"/>
</cs:colorStyle>
</file>

<file path=word/charts/colors50.xml><?xml version="1.0" encoding="utf-8"?>
<cs:colorStyle xmlns:cs="http://schemas.microsoft.com/office/drawing/2012/chartStyle" xmlns:a="http://schemas.openxmlformats.org/drawingml/2006/main" meth="withinLinear" id="16">
  <a:schemeClr val="accent3"/>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50.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5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4.xml><?xml version="1.0" encoding="utf-8"?>
<cs:chartStyle xmlns:cs="http://schemas.microsoft.com/office/drawing/2012/chartStyle" xmlns:a="http://schemas.openxmlformats.org/drawingml/2006/main" id="10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0.08408</cdr:x>
      <cdr:y>0.71166</cdr:y>
    </cdr:from>
    <cdr:to>
      <cdr:x>0.90931</cdr:x>
      <cdr:y>0.92885</cdr:y>
    </cdr:to>
    <cdr:grpSp>
      <cdr:nvGrpSpPr>
        <cdr:cNvPr id="9" name="Group 8">
          <a:extLst xmlns:a="http://schemas.openxmlformats.org/drawingml/2006/main">
            <a:ext uri="{FF2B5EF4-FFF2-40B4-BE49-F238E27FC236}">
              <a16:creationId xmlns:a16="http://schemas.microsoft.com/office/drawing/2014/main" id="{D826C8D3-8C33-4439-AE96-2E607EE03160}"/>
            </a:ext>
          </a:extLst>
        </cdr:cNvPr>
        <cdr:cNvGrpSpPr/>
      </cdr:nvGrpSpPr>
      <cdr:grpSpPr>
        <a:xfrm xmlns:a="http://schemas.openxmlformats.org/drawingml/2006/main">
          <a:off x="230643" y="1409044"/>
          <a:ext cx="2263771" cy="430022"/>
          <a:chOff x="-19080" y="-213509"/>
          <a:chExt cx="2267555" cy="556713"/>
        </a:xfrm>
      </cdr:grpSpPr>
      <cdr:grpSp>
        <cdr:nvGrpSpPr>
          <cdr:cNvPr id="10" name="Group 9">
            <a:extLst xmlns:a="http://schemas.openxmlformats.org/drawingml/2006/main">
              <a:ext uri="{FF2B5EF4-FFF2-40B4-BE49-F238E27FC236}">
                <a16:creationId xmlns:a16="http://schemas.microsoft.com/office/drawing/2014/main" id="{7907F2C1-0652-4BF0-87FC-B9FFA921F61E}"/>
              </a:ext>
            </a:extLst>
          </cdr:cNvPr>
          <cdr:cNvGrpSpPr/>
        </cdr:nvGrpSpPr>
        <cdr:grpSpPr>
          <a:xfrm xmlns:a="http://schemas.openxmlformats.org/drawingml/2006/main">
            <a:off x="683767" y="-213509"/>
            <a:ext cx="1564708" cy="295284"/>
            <a:chOff x="682627" y="-213502"/>
            <a:chExt cx="1562100" cy="295273"/>
          </a:xfrm>
        </cdr:grpSpPr>
        <cdr:sp macro="" textlink="">
          <cdr:nvSpPr>
            <cdr:cNvPr id="13" name="TextBox 5"/>
            <cdr:cNvSpPr txBox="1"/>
          </cdr:nvSpPr>
          <cdr:spPr>
            <a:xfrm xmlns:a="http://schemas.openxmlformats.org/drawingml/2006/main">
              <a:off x="682627" y="-156096"/>
              <a:ext cx="469049" cy="180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A651"/>
                  </a:solidFill>
                </a:rPr>
                <a:t>Храна</a:t>
              </a:r>
              <a:endParaRPr lang="en-GB" sz="700" b="0">
                <a:solidFill>
                  <a:srgbClr val="00A651"/>
                </a:solidFill>
              </a:endParaRPr>
            </a:p>
          </cdr:txBody>
        </cdr:sp>
        <cdr:sp macro="" textlink="">
          <cdr:nvSpPr>
            <cdr:cNvPr id="14" name="TextBox 1"/>
            <cdr:cNvSpPr txBox="1"/>
          </cdr:nvSpPr>
          <cdr:spPr>
            <a:xfrm xmlns:a="http://schemas.openxmlformats.org/drawingml/2006/main">
              <a:off x="1145262" y="-174156"/>
              <a:ext cx="576965" cy="2165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EC008C"/>
                  </a:solidFill>
                </a:rPr>
                <a:t>Метали</a:t>
              </a:r>
              <a:endParaRPr lang="en-GB" sz="700" b="0">
                <a:solidFill>
                  <a:srgbClr val="EC008C"/>
                </a:solidFill>
              </a:endParaRPr>
            </a:p>
          </cdr:txBody>
        </cdr:sp>
        <cdr:sp macro="" textlink="">
          <cdr:nvSpPr>
            <cdr:cNvPr id="15" name="TextBox 1"/>
            <cdr:cNvSpPr txBox="1"/>
          </cdr:nvSpPr>
          <cdr:spPr>
            <a:xfrm xmlns:a="http://schemas.openxmlformats.org/drawingml/2006/main">
              <a:off x="1622678" y="-213502"/>
              <a:ext cx="622049" cy="29527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3891"/>
                  </a:solidFill>
                </a:rPr>
                <a:t>Просечна цена нафте</a:t>
              </a:r>
              <a:endParaRPr lang="en-GB" sz="700" b="0">
                <a:solidFill>
                  <a:srgbClr val="003891"/>
                </a:solidFill>
              </a:endParaRPr>
            </a:p>
          </cdr:txBody>
        </cdr:sp>
      </cdr:grpSp>
      <cdr:sp macro="" textlink="">
        <cdr:nvSpPr>
          <cdr:cNvPr id="11" name="TextBox 1"/>
          <cdr:cNvSpPr txBox="1"/>
        </cdr:nvSpPr>
        <cdr:spPr>
          <a:xfrm xmlns:a="http://schemas.openxmlformats.org/drawingml/2006/main">
            <a:off x="-19080" y="20467"/>
            <a:ext cx="794653" cy="16609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окт.</a:t>
            </a:r>
            <a:r>
              <a:rPr lang="sr-Cyrl-RS" sz="700" b="0" baseline="0">
                <a:solidFill>
                  <a:schemeClr val="tx2"/>
                </a:solidFill>
              </a:rPr>
              <a:t> 2022.</a:t>
            </a:r>
            <a:endParaRPr lang="en-GB" sz="700" b="0">
              <a:solidFill>
                <a:schemeClr val="tx2"/>
              </a:solidFill>
            </a:endParaRPr>
          </a:p>
        </cdr:txBody>
      </cdr:sp>
      <cdr:sp macro="" textlink="">
        <cdr:nvSpPr>
          <cdr:cNvPr id="12" name="TextBox 1"/>
          <cdr:cNvSpPr txBox="1"/>
        </cdr:nvSpPr>
        <cdr:spPr>
          <a:xfrm xmlns:a="http://schemas.openxmlformats.org/drawingml/2006/main">
            <a:off x="-19080" y="179742"/>
            <a:ext cx="794653" cy="163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апр</a:t>
            </a:r>
            <a:r>
              <a:rPr lang="en-GB" sz="700" b="0">
                <a:solidFill>
                  <a:schemeClr val="tx2"/>
                </a:solidFill>
              </a:rPr>
              <a:t>.</a:t>
            </a:r>
            <a:r>
              <a:rPr lang="sr-Cyrl-RS" sz="700" b="0" baseline="0">
                <a:solidFill>
                  <a:schemeClr val="tx2"/>
                </a:solidFill>
              </a:rPr>
              <a:t> 2023.</a:t>
            </a:r>
            <a:endParaRPr lang="en-GB" sz="700" b="0">
              <a:solidFill>
                <a:schemeClr val="tx2"/>
              </a:solidFill>
            </a:endParaRPr>
          </a:p>
        </cdr:txBody>
      </cdr:sp>
    </cdr:grpSp>
  </cdr:relSizeAnchor>
</c:userShapes>
</file>

<file path=word/drawings/drawing2.xml><?xml version="1.0" encoding="utf-8"?>
<c:userShapes xmlns:c="http://schemas.openxmlformats.org/drawingml/2006/chart">
  <cdr:relSizeAnchor xmlns:cdr="http://schemas.openxmlformats.org/drawingml/2006/chartDrawing">
    <cdr:from>
      <cdr:x>0.05959</cdr:x>
      <cdr:y>0.61594</cdr:y>
    </cdr:from>
    <cdr:to>
      <cdr:x>0.46719</cdr:x>
      <cdr:y>0.85192</cdr:y>
    </cdr:to>
    <cdr:sp macro="" textlink="">
      <cdr:nvSpPr>
        <cdr:cNvPr id="2" name="TextBox 1"/>
        <cdr:cNvSpPr txBox="1"/>
      </cdr:nvSpPr>
      <cdr:spPr>
        <a:xfrm xmlns:a="http://schemas.openxmlformats.org/drawingml/2006/main">
          <a:off x="79373" y="753914"/>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0.60816</cdr:y>
    </cdr:from>
    <cdr:to>
      <cdr:x>0.91769</cdr:x>
      <cdr:y>0.84414</cdr:y>
    </cdr:to>
    <cdr:sp macro="" textlink="">
      <cdr:nvSpPr>
        <cdr:cNvPr id="3" name="TextBox 1"/>
        <cdr:cNvSpPr txBox="1"/>
      </cdr:nvSpPr>
      <cdr:spPr>
        <a:xfrm xmlns:a="http://schemas.openxmlformats.org/drawingml/2006/main">
          <a:off x="679452" y="744389"/>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3.xml><?xml version="1.0" encoding="utf-8"?>
<c:userShapes xmlns:c="http://schemas.openxmlformats.org/drawingml/2006/chart">
  <cdr:relSizeAnchor xmlns:cdr="http://schemas.openxmlformats.org/drawingml/2006/chartDrawing">
    <cdr:from>
      <cdr:x>0.06674</cdr:x>
      <cdr:y>0.6149</cdr:y>
    </cdr:from>
    <cdr:to>
      <cdr:x>0.47434</cdr:x>
      <cdr:y>0.85088</cdr:y>
    </cdr:to>
    <cdr:sp macro="" textlink="">
      <cdr:nvSpPr>
        <cdr:cNvPr id="2" name="TextBox 1"/>
        <cdr:cNvSpPr txBox="1"/>
      </cdr:nvSpPr>
      <cdr:spPr>
        <a:xfrm xmlns:a="http://schemas.openxmlformats.org/drawingml/2006/main">
          <a:off x="88899" y="752639"/>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0.61895</cdr:y>
    </cdr:from>
    <cdr:to>
      <cdr:x>0.92484</cdr:x>
      <cdr:y>0.85493</cdr:y>
    </cdr:to>
    <cdr:sp macro="" textlink="">
      <cdr:nvSpPr>
        <cdr:cNvPr id="3" name="TextBox 1"/>
        <cdr:cNvSpPr txBox="1"/>
      </cdr:nvSpPr>
      <cdr:spPr>
        <a:xfrm xmlns:a="http://schemas.openxmlformats.org/drawingml/2006/main">
          <a:off x="688978" y="757596"/>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4.xml><?xml version="1.0" encoding="utf-8"?>
<c:userShapes xmlns:c="http://schemas.openxmlformats.org/drawingml/2006/chart">
  <cdr:relSizeAnchor xmlns:cdr="http://schemas.openxmlformats.org/drawingml/2006/chartDrawing">
    <cdr:from>
      <cdr:x>0.05959</cdr:x>
      <cdr:y>0.20976</cdr:y>
    </cdr:from>
    <cdr:to>
      <cdr:x>0.46719</cdr:x>
      <cdr:y>0.44574</cdr:y>
    </cdr:to>
    <cdr:sp macro="" textlink="">
      <cdr:nvSpPr>
        <cdr:cNvPr id="2" name="TextBox 1"/>
        <cdr:cNvSpPr txBox="1"/>
      </cdr:nvSpPr>
      <cdr:spPr>
        <a:xfrm xmlns:a="http://schemas.openxmlformats.org/drawingml/2006/main">
          <a:off x="79374" y="264294"/>
          <a:ext cx="542923" cy="29733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0.20965</cdr:y>
    </cdr:from>
    <cdr:to>
      <cdr:x>0.92484</cdr:x>
      <cdr:y>0.44563</cdr:y>
    </cdr:to>
    <cdr:sp macro="" textlink="">
      <cdr:nvSpPr>
        <cdr:cNvPr id="3" name="TextBox 1"/>
        <cdr:cNvSpPr txBox="1"/>
      </cdr:nvSpPr>
      <cdr:spPr>
        <a:xfrm xmlns:a="http://schemas.openxmlformats.org/drawingml/2006/main">
          <a:off x="690337" y="268009"/>
          <a:ext cx="543981" cy="30167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5.xml><?xml version="1.0" encoding="utf-8"?>
<c:userShapes xmlns:c="http://schemas.openxmlformats.org/drawingml/2006/chart">
  <cdr:relSizeAnchor xmlns:cdr="http://schemas.openxmlformats.org/drawingml/2006/chartDrawing">
    <cdr:from>
      <cdr:x>0.05959</cdr:x>
      <cdr:y>0.20976</cdr:y>
    </cdr:from>
    <cdr:to>
      <cdr:x>0.46719</cdr:x>
      <cdr:y>0.44574</cdr:y>
    </cdr:to>
    <cdr:sp macro="" textlink="">
      <cdr:nvSpPr>
        <cdr:cNvPr id="2" name="TextBox 1"/>
        <cdr:cNvSpPr txBox="1"/>
      </cdr:nvSpPr>
      <cdr:spPr>
        <a:xfrm xmlns:a="http://schemas.openxmlformats.org/drawingml/2006/main">
          <a:off x="79374" y="279397"/>
          <a:ext cx="542923"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0.21691</cdr:y>
    </cdr:from>
    <cdr:to>
      <cdr:x>0.92484</cdr:x>
      <cdr:y>0.45289</cdr:y>
    </cdr:to>
    <cdr:sp macro="" textlink="">
      <cdr:nvSpPr>
        <cdr:cNvPr id="3" name="TextBox 1"/>
        <cdr:cNvSpPr txBox="1"/>
      </cdr:nvSpPr>
      <cdr:spPr>
        <a:xfrm xmlns:a="http://schemas.openxmlformats.org/drawingml/2006/main">
          <a:off x="688978" y="288922"/>
          <a:ext cx="542910"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6.xml><?xml version="1.0" encoding="utf-8"?>
<c:userShapes xmlns:c="http://schemas.openxmlformats.org/drawingml/2006/chart">
  <cdr:relSizeAnchor xmlns:cdr="http://schemas.openxmlformats.org/drawingml/2006/chartDrawing">
    <cdr:from>
      <cdr:x>0.06674</cdr:x>
      <cdr:y>0.55531</cdr:y>
    </cdr:from>
    <cdr:to>
      <cdr:x>0.47434</cdr:x>
      <cdr:y>0.79129</cdr:y>
    </cdr:to>
    <cdr:sp macro="" textlink="">
      <cdr:nvSpPr>
        <cdr:cNvPr id="2" name="TextBox 1"/>
        <cdr:cNvSpPr txBox="1"/>
      </cdr:nvSpPr>
      <cdr:spPr>
        <a:xfrm xmlns:a="http://schemas.openxmlformats.org/drawingml/2006/main">
          <a:off x="88899" y="559751"/>
          <a:ext cx="542923"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0.54531</cdr:y>
    </cdr:from>
    <cdr:to>
      <cdr:x>0.92484</cdr:x>
      <cdr:y>0.78129</cdr:y>
    </cdr:to>
    <cdr:sp macro="" textlink="">
      <cdr:nvSpPr>
        <cdr:cNvPr id="3" name="TextBox 1"/>
        <cdr:cNvSpPr txBox="1"/>
      </cdr:nvSpPr>
      <cdr:spPr>
        <a:xfrm xmlns:a="http://schemas.openxmlformats.org/drawingml/2006/main">
          <a:off x="688977" y="549672"/>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7.xml><?xml version="1.0" encoding="utf-8"?>
<c:userShapes xmlns:c="http://schemas.openxmlformats.org/drawingml/2006/chart">
  <cdr:relSizeAnchor xmlns:cdr="http://schemas.openxmlformats.org/drawingml/2006/chartDrawing">
    <cdr:from>
      <cdr:x>0.05959</cdr:x>
      <cdr:y>0.5553</cdr:y>
    </cdr:from>
    <cdr:to>
      <cdr:x>0.46719</cdr:x>
      <cdr:y>0.79128</cdr:y>
    </cdr:to>
    <cdr:sp macro="" textlink="">
      <cdr:nvSpPr>
        <cdr:cNvPr id="2" name="TextBox 1"/>
        <cdr:cNvSpPr txBox="1"/>
      </cdr:nvSpPr>
      <cdr:spPr>
        <a:xfrm xmlns:a="http://schemas.openxmlformats.org/drawingml/2006/main">
          <a:off x="79374" y="559745"/>
          <a:ext cx="542923"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0.54593</cdr:y>
    </cdr:from>
    <cdr:to>
      <cdr:x>0.92484</cdr:x>
      <cdr:y>0.78191</cdr:y>
    </cdr:to>
    <cdr:sp macro="" textlink="">
      <cdr:nvSpPr>
        <cdr:cNvPr id="3" name="TextBox 1"/>
        <cdr:cNvSpPr txBox="1"/>
      </cdr:nvSpPr>
      <cdr:spPr>
        <a:xfrm xmlns:a="http://schemas.openxmlformats.org/drawingml/2006/main">
          <a:off x="688977" y="550297"/>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8.xml><?xml version="1.0" encoding="utf-8"?>
<c:userShapes xmlns:c="http://schemas.openxmlformats.org/drawingml/2006/chart">
  <cdr:relSizeAnchor xmlns:cdr="http://schemas.openxmlformats.org/drawingml/2006/chartDrawing">
    <cdr:from>
      <cdr:x>0.05959</cdr:x>
      <cdr:y>0.18683</cdr:y>
    </cdr:from>
    <cdr:to>
      <cdr:x>0.46719</cdr:x>
      <cdr:y>0.42282</cdr:y>
    </cdr:to>
    <cdr:sp macro="" textlink="">
      <cdr:nvSpPr>
        <cdr:cNvPr id="2" name="TextBox 1"/>
        <cdr:cNvSpPr txBox="1"/>
      </cdr:nvSpPr>
      <cdr:spPr>
        <a:xfrm xmlns:a="http://schemas.openxmlformats.org/drawingml/2006/main">
          <a:off x="79374" y="228680"/>
          <a:ext cx="542923" cy="28885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0.18809</cdr:y>
    </cdr:from>
    <cdr:to>
      <cdr:x>0.91769</cdr:x>
      <cdr:y>0.42407</cdr:y>
    </cdr:to>
    <cdr:sp macro="" textlink="">
      <cdr:nvSpPr>
        <cdr:cNvPr id="3" name="TextBox 1"/>
        <cdr:cNvSpPr txBox="1"/>
      </cdr:nvSpPr>
      <cdr:spPr>
        <a:xfrm xmlns:a="http://schemas.openxmlformats.org/drawingml/2006/main">
          <a:off x="679453" y="230222"/>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9.xml><?xml version="1.0" encoding="utf-8"?>
<c:userShapes xmlns:c="http://schemas.openxmlformats.org/drawingml/2006/chart">
  <cdr:relSizeAnchor xmlns:cdr="http://schemas.openxmlformats.org/drawingml/2006/chartDrawing">
    <cdr:from>
      <cdr:x>0.06674</cdr:x>
      <cdr:y>0.15508</cdr:y>
    </cdr:from>
    <cdr:to>
      <cdr:x>0.47434</cdr:x>
      <cdr:y>0.39106</cdr:y>
    </cdr:to>
    <cdr:sp macro="" textlink="">
      <cdr:nvSpPr>
        <cdr:cNvPr id="2" name="TextBox 1"/>
        <cdr:cNvSpPr txBox="1"/>
      </cdr:nvSpPr>
      <cdr:spPr>
        <a:xfrm xmlns:a="http://schemas.openxmlformats.org/drawingml/2006/main">
          <a:off x="88898" y="189817"/>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0.15508</cdr:y>
    </cdr:from>
    <cdr:to>
      <cdr:x>0.92484</cdr:x>
      <cdr:y>0.39106</cdr:y>
    </cdr:to>
    <cdr:sp macro="" textlink="">
      <cdr:nvSpPr>
        <cdr:cNvPr id="3" name="TextBox 1"/>
        <cdr:cNvSpPr txBox="1"/>
      </cdr:nvSpPr>
      <cdr:spPr>
        <a:xfrm xmlns:a="http://schemas.openxmlformats.org/drawingml/2006/main">
          <a:off x="688977" y="18981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0.xml><?xml version="1.0" encoding="utf-8"?>
<c:userShapes xmlns:c="http://schemas.openxmlformats.org/drawingml/2006/chart">
  <cdr:relSizeAnchor xmlns:cdr="http://schemas.openxmlformats.org/drawingml/2006/chartDrawing">
    <cdr:from>
      <cdr:x>0.05959</cdr:x>
      <cdr:y>0.63166</cdr:y>
    </cdr:from>
    <cdr:to>
      <cdr:x>0.46719</cdr:x>
      <cdr:y>0.86764</cdr:y>
    </cdr:to>
    <cdr:sp macro="" textlink="">
      <cdr:nvSpPr>
        <cdr:cNvPr id="2" name="TextBox 1"/>
        <cdr:cNvSpPr txBox="1"/>
      </cdr:nvSpPr>
      <cdr:spPr>
        <a:xfrm xmlns:a="http://schemas.openxmlformats.org/drawingml/2006/main">
          <a:off x="79374" y="773152"/>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0.63166</cdr:y>
    </cdr:from>
    <cdr:to>
      <cdr:x>0.92484</cdr:x>
      <cdr:y>0.86764</cdr:y>
    </cdr:to>
    <cdr:sp macro="" textlink="">
      <cdr:nvSpPr>
        <cdr:cNvPr id="3" name="TextBox 1"/>
        <cdr:cNvSpPr txBox="1"/>
      </cdr:nvSpPr>
      <cdr:spPr>
        <a:xfrm xmlns:a="http://schemas.openxmlformats.org/drawingml/2006/main">
          <a:off x="688976" y="773152"/>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1.xml><?xml version="1.0" encoding="utf-8"?>
<c:userShapes xmlns:c="http://schemas.openxmlformats.org/drawingml/2006/chart">
  <cdr:relSizeAnchor xmlns:cdr="http://schemas.openxmlformats.org/drawingml/2006/chartDrawing">
    <cdr:from>
      <cdr:x>0.06674</cdr:x>
      <cdr:y>0.62451</cdr:y>
    </cdr:from>
    <cdr:to>
      <cdr:x>0.47434</cdr:x>
      <cdr:y>0.86049</cdr:y>
    </cdr:to>
    <cdr:sp macro="" textlink="">
      <cdr:nvSpPr>
        <cdr:cNvPr id="2" name="TextBox 1"/>
        <cdr:cNvSpPr txBox="1"/>
      </cdr:nvSpPr>
      <cdr:spPr>
        <a:xfrm xmlns:a="http://schemas.openxmlformats.org/drawingml/2006/main">
          <a:off x="88899" y="764400"/>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0.62451</cdr:y>
    </cdr:from>
    <cdr:to>
      <cdr:x>0.92484</cdr:x>
      <cdr:y>0.86049</cdr:y>
    </cdr:to>
    <cdr:sp macro="" textlink="">
      <cdr:nvSpPr>
        <cdr:cNvPr id="3" name="TextBox 1"/>
        <cdr:cNvSpPr txBox="1"/>
      </cdr:nvSpPr>
      <cdr:spPr>
        <a:xfrm xmlns:a="http://schemas.openxmlformats.org/drawingml/2006/main">
          <a:off x="688976" y="764400"/>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2.xml><?xml version="1.0" encoding="utf-8"?>
<c:userShapes xmlns:c="http://schemas.openxmlformats.org/drawingml/2006/chart">
  <cdr:relSizeAnchor xmlns:cdr="http://schemas.openxmlformats.org/drawingml/2006/chartDrawing">
    <cdr:from>
      <cdr:x>0.64236</cdr:x>
      <cdr:y>0.05136</cdr:y>
    </cdr:from>
    <cdr:to>
      <cdr:x>0.97569</cdr:x>
      <cdr:y>0.79056</cdr:y>
    </cdr:to>
    <cdr:sp macro="" textlink="">
      <cdr:nvSpPr>
        <cdr:cNvPr id="3" name="TextBox 1">
          <a:extLst xmlns:a="http://schemas.openxmlformats.org/drawingml/2006/main">
            <a:ext uri="{FF2B5EF4-FFF2-40B4-BE49-F238E27FC236}">
              <a16:creationId xmlns:a16="http://schemas.microsoft.com/office/drawing/2014/main" id="{CB67022E-D6AD-4B7B-A85C-598295CBC51B}"/>
            </a:ext>
          </a:extLst>
        </cdr:cNvPr>
        <cdr:cNvSpPr txBox="1"/>
      </cdr:nvSpPr>
      <cdr:spPr>
        <a:xfrm xmlns:a="http://schemas.openxmlformats.org/drawingml/2006/main">
          <a:off x="1762122" y="103678"/>
          <a:ext cx="914391" cy="1492207"/>
        </a:xfrm>
        <a:prstGeom xmlns:a="http://schemas.openxmlformats.org/drawingml/2006/main" prst="rect">
          <a:avLst/>
        </a:prstGeom>
        <a:solidFill xmlns:a="http://schemas.openxmlformats.org/drawingml/2006/main">
          <a:schemeClr val="accent5">
            <a:alpha val="10000"/>
          </a:schemeClr>
        </a:solidFill>
        <a:ln xmlns:a="http://schemas.openxmlformats.org/drawingml/2006/main">
          <a:solidFill>
            <a:schemeClr val="accent1"/>
          </a:solidFill>
          <a:prstDash val="dash"/>
        </a:ln>
      </cdr:spPr>
      <cdr:txBody>
        <a:bodyPr xmlns:a="http://schemas.openxmlformats.org/drawingml/2006/main" wrap="square" rtlCol="0" anchor="t"/>
        <a:lstStyle xmlns:a="http://schemas.openxmlformats.org/drawingml/2006/main"/>
        <a:p xmlns:a="http://schemas.openxmlformats.org/drawingml/2006/main">
          <a:endParaRPr lang="en-GB"/>
        </a:p>
      </cdr:txBody>
    </cdr:sp>
  </cdr:relSizeAnchor>
</c:userShapes>
</file>

<file path=word/drawings/drawing13.xml><?xml version="1.0" encoding="utf-8"?>
<c:userShapes xmlns:c="http://schemas.openxmlformats.org/drawingml/2006/chart">
  <cdr:relSizeAnchor xmlns:cdr="http://schemas.openxmlformats.org/drawingml/2006/chartDrawing">
    <cdr:from>
      <cdr:x>0.59204</cdr:x>
      <cdr:y>0</cdr:y>
    </cdr:from>
    <cdr:to>
      <cdr:x>0.98231</cdr:x>
      <cdr:y>0.73936</cdr:y>
    </cdr:to>
    <cdr:sp macro="" textlink="">
      <cdr:nvSpPr>
        <cdr:cNvPr id="3" name="TextBox 2"/>
        <cdr:cNvSpPr txBox="1"/>
      </cdr:nvSpPr>
      <cdr:spPr>
        <a:xfrm xmlns:a="http://schemas.openxmlformats.org/drawingml/2006/main">
          <a:off x="1624084" y="0"/>
          <a:ext cx="1070589" cy="1562944"/>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0.58458</cdr:x>
      <cdr:y>0</cdr:y>
    </cdr:from>
    <cdr:to>
      <cdr:x>0.97619</cdr:x>
      <cdr:y>0.73863</cdr:y>
    </cdr:to>
    <cdr:sp macro="" textlink="">
      <cdr:nvSpPr>
        <cdr:cNvPr id="3" name="TextBox 2"/>
        <cdr:cNvSpPr txBox="1"/>
      </cdr:nvSpPr>
      <cdr:spPr>
        <a:xfrm xmlns:a="http://schemas.openxmlformats.org/drawingml/2006/main">
          <a:off x="1603611" y="0"/>
          <a:ext cx="1074273" cy="15604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0.57798</cdr:x>
      <cdr:y>0.02446</cdr:y>
    </cdr:from>
    <cdr:to>
      <cdr:x>0.97062</cdr:x>
      <cdr:y>0.78514</cdr:y>
    </cdr:to>
    <cdr:sp macro="" textlink="">
      <cdr:nvSpPr>
        <cdr:cNvPr id="3" name="TextBox 2"/>
        <cdr:cNvSpPr txBox="1"/>
      </cdr:nvSpPr>
      <cdr:spPr>
        <a:xfrm xmlns:a="http://schemas.openxmlformats.org/drawingml/2006/main">
          <a:off x="1585519" y="52048"/>
          <a:ext cx="1077091" cy="161864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6.xml><?xml version="1.0" encoding="utf-8"?>
<c:userShapes xmlns:c="http://schemas.openxmlformats.org/drawingml/2006/chart">
  <cdr:relSizeAnchor xmlns:cdr="http://schemas.openxmlformats.org/drawingml/2006/chartDrawing">
    <cdr:from>
      <cdr:x>0.66671</cdr:x>
      <cdr:y>0</cdr:y>
    </cdr:from>
    <cdr:to>
      <cdr:x>1</cdr:x>
      <cdr:y>0.15397</cdr:y>
    </cdr:to>
    <cdr:sp macro="" textlink="">
      <cdr:nvSpPr>
        <cdr:cNvPr id="2" name="TextBox 1">
          <a:extLst xmlns:a="http://schemas.openxmlformats.org/drawingml/2006/main">
            <a:ext uri="{FF2B5EF4-FFF2-40B4-BE49-F238E27FC236}">
              <a16:creationId xmlns:a16="http://schemas.microsoft.com/office/drawing/2014/main" id="{EEBA72B3-E404-4722-5BD3-9A173FE23DD3}"/>
            </a:ext>
          </a:extLst>
        </cdr:cNvPr>
        <cdr:cNvSpPr txBox="1"/>
      </cdr:nvSpPr>
      <cdr:spPr>
        <a:xfrm xmlns:a="http://schemas.openxmlformats.org/drawingml/2006/main">
          <a:off x="1828915" y="0"/>
          <a:ext cx="914285" cy="27588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a:solidFill>
                <a:schemeClr val="tx2"/>
              </a:solidFill>
            </a:rPr>
            <a:t>Стопа становништва ван радне снаге</a:t>
          </a:r>
          <a:endParaRPr lang="en-US" sz="750">
            <a:solidFill>
              <a:schemeClr val="tx2"/>
            </a:solidFill>
          </a:endParaRPr>
        </a:p>
      </cdr:txBody>
    </cdr:sp>
  </cdr:relSizeAnchor>
  <cdr:relSizeAnchor xmlns:cdr="http://schemas.openxmlformats.org/drawingml/2006/chartDrawing">
    <cdr:from>
      <cdr:x>0.35123</cdr:x>
      <cdr:y>0</cdr:y>
    </cdr:from>
    <cdr:to>
      <cdr:x>0.65307</cdr:x>
      <cdr:y>0.08</cdr:y>
    </cdr:to>
    <cdr:sp macro="" textlink="">
      <cdr:nvSpPr>
        <cdr:cNvPr id="3" name="TextBox 1">
          <a:extLst xmlns:a="http://schemas.openxmlformats.org/drawingml/2006/main">
            <a:ext uri="{FF2B5EF4-FFF2-40B4-BE49-F238E27FC236}">
              <a16:creationId xmlns:a16="http://schemas.microsoft.com/office/drawing/2014/main" id="{D63F64B9-2A3E-9C8E-FD5C-33974146D41E}"/>
            </a:ext>
          </a:extLst>
        </cdr:cNvPr>
        <cdr:cNvSpPr txBox="1"/>
      </cdr:nvSpPr>
      <cdr:spPr>
        <a:xfrm xmlns:a="http://schemas.openxmlformats.org/drawingml/2006/main">
          <a:off x="963501" y="0"/>
          <a:ext cx="828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a:solidFill>
                <a:schemeClr val="tx2"/>
              </a:solidFill>
            </a:rPr>
            <a:t>Стопа запослености</a:t>
          </a:r>
          <a:endParaRPr lang="en-US" sz="750">
            <a:solidFill>
              <a:schemeClr val="tx2"/>
            </a:solidFill>
          </a:endParaRPr>
        </a:p>
      </cdr:txBody>
    </cdr:sp>
  </cdr:relSizeAnchor>
  <cdr:relSizeAnchor xmlns:cdr="http://schemas.openxmlformats.org/drawingml/2006/chartDrawing">
    <cdr:from>
      <cdr:x>0</cdr:x>
      <cdr:y>0</cdr:y>
    </cdr:from>
    <cdr:to>
      <cdr:x>0.34121</cdr:x>
      <cdr:y>0.08</cdr:y>
    </cdr:to>
    <cdr:sp macro="" textlink="">
      <cdr:nvSpPr>
        <cdr:cNvPr id="4" name="TextBox 1">
          <a:extLst xmlns:a="http://schemas.openxmlformats.org/drawingml/2006/main">
            <a:ext uri="{FF2B5EF4-FFF2-40B4-BE49-F238E27FC236}">
              <a16:creationId xmlns:a16="http://schemas.microsoft.com/office/drawing/2014/main" id="{FD5E4A56-9597-87E6-88AD-15B99CCAA48D}"/>
            </a:ext>
          </a:extLst>
        </cdr:cNvPr>
        <cdr:cNvSpPr txBox="1"/>
      </cdr:nvSpPr>
      <cdr:spPr>
        <a:xfrm xmlns:a="http://schemas.openxmlformats.org/drawingml/2006/main">
          <a:off x="0" y="0"/>
          <a:ext cx="936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sr-Cyrl-RS" sz="750">
              <a:solidFill>
                <a:schemeClr val="tx2"/>
              </a:solidFill>
            </a:rPr>
            <a:t>Стопа незапослености</a:t>
          </a:r>
          <a:endParaRPr lang="en-US" sz="750">
            <a:solidFill>
              <a:schemeClr val="tx2"/>
            </a:solidFill>
          </a:endParaRPr>
        </a:p>
      </cdr:txBody>
    </cdr:sp>
  </cdr:relSizeAnchor>
</c:userShapes>
</file>

<file path=word/drawings/drawing17.xml><?xml version="1.0" encoding="utf-8"?>
<c:userShapes xmlns:c="http://schemas.openxmlformats.org/drawingml/2006/chart">
  <cdr:relSizeAnchor xmlns:cdr="http://schemas.openxmlformats.org/drawingml/2006/chartDrawing">
    <cdr:from>
      <cdr:x>0.0878</cdr:x>
      <cdr:y>0.72193</cdr:y>
    </cdr:from>
    <cdr:to>
      <cdr:x>0.95377</cdr:x>
      <cdr:y>0.72193</cdr:y>
    </cdr:to>
    <cdr:cxnSp macro="">
      <cdr:nvCxnSpPr>
        <cdr:cNvPr id="3" name="Straight Connector 2">
          <a:extLst xmlns:a="http://schemas.openxmlformats.org/drawingml/2006/main">
            <a:ext uri="{FF2B5EF4-FFF2-40B4-BE49-F238E27FC236}">
              <a16:creationId xmlns:a16="http://schemas.microsoft.com/office/drawing/2014/main" id="{92170C42-51AD-40FC-A279-09E604F64C1D}"/>
            </a:ext>
          </a:extLst>
        </cdr:cNvPr>
        <cdr:cNvCxnSpPr/>
      </cdr:nvCxnSpPr>
      <cdr:spPr>
        <a:xfrm xmlns:a="http://schemas.openxmlformats.org/drawingml/2006/main" flipV="1">
          <a:off x="240520" y="1305002"/>
          <a:ext cx="2372307" cy="0"/>
        </a:xfrm>
        <a:prstGeom xmlns:a="http://schemas.openxmlformats.org/drawingml/2006/main" prst="line">
          <a:avLst/>
        </a:prstGeom>
        <a:ln xmlns:a="http://schemas.openxmlformats.org/drawingml/2006/main" w="31750">
          <a:solidFill>
            <a:schemeClr val="bg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8.xml><?xml version="1.0" encoding="utf-8"?>
<c:userShapes xmlns:c="http://schemas.openxmlformats.org/drawingml/2006/chart">
  <cdr:relSizeAnchor xmlns:cdr="http://schemas.openxmlformats.org/drawingml/2006/chartDrawing">
    <cdr:from>
      <cdr:x>0.80976</cdr:x>
      <cdr:y>0.00888</cdr:y>
    </cdr:from>
    <cdr:to>
      <cdr:x>0.94583</cdr:x>
      <cdr:y>0.69978</cdr:y>
    </cdr:to>
    <cdr:sp macro="" textlink="">
      <cdr:nvSpPr>
        <cdr:cNvPr id="2" name="TextBox 1"/>
        <cdr:cNvSpPr txBox="1"/>
      </cdr:nvSpPr>
      <cdr:spPr>
        <a:xfrm xmlns:a="http://schemas.openxmlformats.org/drawingml/2006/main">
          <a:off x="2221334" y="14537"/>
          <a:ext cx="373267" cy="1131024"/>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530" b="1">
              <a:solidFill>
                <a:schemeClr val="tx2"/>
              </a:solidFill>
              <a:latin typeface="+mn-lt"/>
              <a:cs typeface="Arial" panose="020B0604020202020204" pitchFamily="34" charset="0"/>
            </a:rPr>
            <a:t>ПРОЈЕКЦИЈА</a:t>
          </a:r>
        </a:p>
      </cdr:txBody>
    </cdr:sp>
  </cdr:relSizeAnchor>
</c:userShapes>
</file>

<file path=word/drawings/drawing19.xml><?xml version="1.0" encoding="utf-8"?>
<c:userShapes xmlns:c="http://schemas.openxmlformats.org/drawingml/2006/chart">
  <cdr:relSizeAnchor xmlns:cdr="http://schemas.openxmlformats.org/drawingml/2006/chartDrawing">
    <cdr:from>
      <cdr:x>0.59869</cdr:x>
      <cdr:y>0</cdr:y>
    </cdr:from>
    <cdr:to>
      <cdr:x>0.9881</cdr:x>
      <cdr:y>0.76585</cdr:y>
    </cdr:to>
    <cdr:sp macro="" textlink="">
      <cdr:nvSpPr>
        <cdr:cNvPr id="2" name="TextBox 1"/>
        <cdr:cNvSpPr txBox="1"/>
      </cdr:nvSpPr>
      <cdr:spPr>
        <a:xfrm xmlns:a="http://schemas.openxmlformats.org/drawingml/2006/main">
          <a:off x="1648327" y="0"/>
          <a:ext cx="1072136" cy="16392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0.xml><?xml version="1.0" encoding="utf-8"?>
<c:userShapes xmlns:c="http://schemas.openxmlformats.org/drawingml/2006/chart">
  <cdr:relSizeAnchor xmlns:cdr="http://schemas.openxmlformats.org/drawingml/2006/chartDrawing">
    <cdr:from>
      <cdr:x>0.63371</cdr:x>
      <cdr:y>0.01417</cdr:y>
    </cdr:from>
    <cdr:to>
      <cdr:x>0.98264</cdr:x>
      <cdr:y>0.75123</cdr:y>
    </cdr:to>
    <cdr:sp macro="" textlink="">
      <cdr:nvSpPr>
        <cdr:cNvPr id="2" name="TextBox 1"/>
        <cdr:cNvSpPr txBox="1"/>
      </cdr:nvSpPr>
      <cdr:spPr>
        <a:xfrm xmlns:a="http://schemas.openxmlformats.org/drawingml/2006/main">
          <a:off x="1738396" y="28890"/>
          <a:ext cx="957180" cy="15027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1.xml><?xml version="1.0" encoding="utf-8"?>
<c:userShapes xmlns:c="http://schemas.openxmlformats.org/drawingml/2006/chart">
  <cdr:relSizeAnchor xmlns:cdr="http://schemas.openxmlformats.org/drawingml/2006/chartDrawing">
    <cdr:from>
      <cdr:x>0.5994</cdr:x>
      <cdr:y>0.31197</cdr:y>
    </cdr:from>
    <cdr:to>
      <cdr:x>0.5994</cdr:x>
      <cdr:y>0.34818</cdr:y>
    </cdr:to>
    <cdr:cxnSp macro="">
      <cdr:nvCxnSpPr>
        <cdr:cNvPr id="3" name="Straight Arrow Connector 2">
          <a:extLst xmlns:a="http://schemas.openxmlformats.org/drawingml/2006/main">
            <a:ext uri="{FF2B5EF4-FFF2-40B4-BE49-F238E27FC236}">
              <a16:creationId xmlns:a16="http://schemas.microsoft.com/office/drawing/2014/main" id="{A2C96F0A-6011-F01B-019B-4CE8B6F4E1BA}"/>
            </a:ext>
          </a:extLst>
        </cdr:cNvPr>
        <cdr:cNvCxnSpPr/>
      </cdr:nvCxnSpPr>
      <cdr:spPr>
        <a:xfrm xmlns:a="http://schemas.openxmlformats.org/drawingml/2006/main" flipV="1">
          <a:off x="3927978" y="1066789"/>
          <a:ext cx="0" cy="123819"/>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2.xml><?xml version="1.0" encoding="utf-8"?>
<c:userShapes xmlns:c="http://schemas.openxmlformats.org/drawingml/2006/chart">
  <cdr:relSizeAnchor xmlns:cdr="http://schemas.openxmlformats.org/drawingml/2006/chartDrawing">
    <cdr:from>
      <cdr:x>0.11417</cdr:x>
      <cdr:y>0.10232</cdr:y>
    </cdr:from>
    <cdr:to>
      <cdr:x>0.67815</cdr:x>
      <cdr:y>0.19396</cdr:y>
    </cdr:to>
    <cdr:sp macro="" textlink="">
      <cdr:nvSpPr>
        <cdr:cNvPr id="4" name="Text Box 94"/>
        <cdr:cNvSpPr txBox="1"/>
      </cdr:nvSpPr>
      <cdr:spPr>
        <a:xfrm xmlns:a="http://schemas.openxmlformats.org/drawingml/2006/main">
          <a:off x="345586" y="414326"/>
          <a:ext cx="1707203" cy="371102"/>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ctr">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фискалног подиндекса (0,36)</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0.50413</cdr:x>
      <cdr:y>0.19408</cdr:y>
    </cdr:from>
    <cdr:to>
      <cdr:x>0.99144</cdr:x>
      <cdr:y>0.2239</cdr:y>
    </cdr:to>
    <cdr:sp macro="" textlink="">
      <cdr:nvSpPr>
        <cdr:cNvPr id="6" name="Text Box 96"/>
        <cdr:cNvSpPr txBox="1"/>
      </cdr:nvSpPr>
      <cdr:spPr>
        <a:xfrm xmlns:a="http://schemas.openxmlformats.org/drawingml/2006/main">
          <a:off x="1526032" y="785903"/>
          <a:ext cx="1475116" cy="12077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0" tIns="0" rIns="0" bIns="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финансијског подиндекса (0,49)</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0.9078</cdr:x>
      <cdr:y>0.22241</cdr:y>
    </cdr:from>
    <cdr:to>
      <cdr:x>0.93141</cdr:x>
      <cdr:y>0.24898</cdr:y>
    </cdr:to>
    <cdr:cxnSp macro="">
      <cdr:nvCxnSpPr>
        <cdr:cNvPr id="8" name="Straight Arrow Connector 7">
          <a:extLst xmlns:a="http://schemas.openxmlformats.org/drawingml/2006/main">
            <a:ext uri="{FF2B5EF4-FFF2-40B4-BE49-F238E27FC236}">
              <a16:creationId xmlns:a16="http://schemas.microsoft.com/office/drawing/2014/main" id="{B7CF4F90-DE13-DC95-B68E-578DDCB320AD}"/>
            </a:ext>
          </a:extLst>
        </cdr:cNvPr>
        <cdr:cNvCxnSpPr/>
      </cdr:nvCxnSpPr>
      <cdr:spPr>
        <a:xfrm xmlns:a="http://schemas.openxmlformats.org/drawingml/2006/main" flipH="1" flipV="1">
          <a:off x="2747963" y="900640"/>
          <a:ext cx="71442" cy="107592"/>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0.46331</cdr:x>
      <cdr:y>0.14546</cdr:y>
    </cdr:from>
    <cdr:to>
      <cdr:x>0.50189</cdr:x>
      <cdr:y>0.16531</cdr:y>
    </cdr:to>
    <cdr:cxnSp macro="">
      <cdr:nvCxnSpPr>
        <cdr:cNvPr id="2" name="Straight Arrow Connector 1"/>
        <cdr:cNvCxnSpPr/>
      </cdr:nvCxnSpPr>
      <cdr:spPr>
        <a:xfrm xmlns:a="http://schemas.openxmlformats.org/drawingml/2006/main" flipH="1" flipV="1">
          <a:off x="1402454" y="589031"/>
          <a:ext cx="116794" cy="80355"/>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3.xml><?xml version="1.0" encoding="utf-8"?>
<c:userShapes xmlns:c="http://schemas.openxmlformats.org/drawingml/2006/chart">
  <cdr:relSizeAnchor xmlns:cdr="http://schemas.openxmlformats.org/drawingml/2006/chartDrawing">
    <cdr:from>
      <cdr:x>0.83237</cdr:x>
      <cdr:y>0.04452</cdr:y>
    </cdr:from>
    <cdr:to>
      <cdr:x>0.96904</cdr:x>
      <cdr:y>0.10408</cdr:y>
    </cdr:to>
    <cdr:sp macro="" textlink="">
      <cdr:nvSpPr>
        <cdr:cNvPr id="2" name="TextBox 1"/>
        <cdr:cNvSpPr txBox="1"/>
      </cdr:nvSpPr>
      <cdr:spPr>
        <a:xfrm xmlns:a="http://schemas.openxmlformats.org/drawingml/2006/main">
          <a:off x="5378606" y="170300"/>
          <a:ext cx="883129" cy="227845"/>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latin typeface="+mj-lt"/>
          </a:endParaRPr>
        </a:p>
      </cdr:txBody>
    </cdr:sp>
  </cdr:relSizeAnchor>
</c:userShapes>
</file>

<file path=word/drawings/drawing24.xml><?xml version="1.0" encoding="utf-8"?>
<c:userShapes xmlns:c="http://schemas.openxmlformats.org/drawingml/2006/chart">
  <cdr:relSizeAnchor xmlns:cdr="http://schemas.openxmlformats.org/drawingml/2006/chartDrawing">
    <cdr:from>
      <cdr:x>0.81856</cdr:x>
      <cdr:y>0.05468</cdr:y>
    </cdr:from>
    <cdr:to>
      <cdr:x>0.82201</cdr:x>
      <cdr:y>0.76103</cdr:y>
    </cdr:to>
    <cdr:cxnSp macro="">
      <cdr:nvCxnSpPr>
        <cdr:cNvPr id="3" name="Straight Connector 2"/>
        <cdr:cNvCxnSpPr/>
      </cdr:nvCxnSpPr>
      <cdr:spPr>
        <a:xfrm xmlns:a="http://schemas.openxmlformats.org/drawingml/2006/main">
          <a:off x="2257429" y="131256"/>
          <a:ext cx="9514" cy="1695452"/>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5.xml><?xml version="1.0" encoding="utf-8"?>
<c:userShapes xmlns:c="http://schemas.openxmlformats.org/drawingml/2006/chart">
  <cdr:relSizeAnchor xmlns:cdr="http://schemas.openxmlformats.org/drawingml/2006/chartDrawing">
    <cdr:from>
      <cdr:x>0.11452</cdr:x>
      <cdr:y>0.17764</cdr:y>
    </cdr:from>
    <cdr:to>
      <cdr:x>0.34636</cdr:x>
      <cdr:y>0.5815</cdr:y>
    </cdr:to>
    <cdr:sp macro="" textlink="">
      <cdr:nvSpPr>
        <cdr:cNvPr id="11" name="Oval 10"/>
        <cdr:cNvSpPr/>
      </cdr:nvSpPr>
      <cdr:spPr>
        <a:xfrm xmlns:a="http://schemas.openxmlformats.org/drawingml/2006/main">
          <a:off x="802917" y="810478"/>
          <a:ext cx="1625484" cy="1842601"/>
        </a:xfrm>
        <a:prstGeom xmlns:a="http://schemas.openxmlformats.org/drawingml/2006/main" prst="ellipse">
          <a:avLst/>
        </a:prstGeom>
        <a:solidFill xmlns:a="http://schemas.openxmlformats.org/drawingml/2006/main">
          <a:srgbClr val="51BBE7">
            <a:alpha val="16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0.19839</cdr:x>
      <cdr:y>0.19665</cdr:y>
    </cdr:from>
    <cdr:to>
      <cdr:x>0.25213</cdr:x>
      <cdr:y>0.36468</cdr:y>
    </cdr:to>
    <cdr:sp macro="" textlink="">
      <cdr:nvSpPr>
        <cdr:cNvPr id="5" name="Straight Arrow Connector 4"/>
        <cdr:cNvSpPr/>
      </cdr:nvSpPr>
      <cdr:spPr>
        <a:xfrm xmlns:a="http://schemas.openxmlformats.org/drawingml/2006/main" flipV="1">
          <a:off x="547122" y="447674"/>
          <a:ext cx="148204" cy="382510"/>
        </a:xfrm>
        <a:prstGeom xmlns:a="http://schemas.openxmlformats.org/drawingml/2006/main" prst="straightConnector1">
          <a:avLst/>
        </a:prstGeom>
        <a:ln xmlns:a="http://schemas.openxmlformats.org/drawingml/2006/main">
          <a:solidFill>
            <a:schemeClr val="dk1">
              <a:alpha val="54000"/>
            </a:schemeClr>
          </a:solidFill>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0.22207</cdr:x>
      <cdr:y>0.12824</cdr:y>
    </cdr:from>
    <cdr:to>
      <cdr:x>0.46281</cdr:x>
      <cdr:y>0.21757</cdr:y>
    </cdr:to>
    <cdr:sp macro="" textlink="">
      <cdr:nvSpPr>
        <cdr:cNvPr id="6" name="TextBox 5"/>
        <cdr:cNvSpPr txBox="1"/>
      </cdr:nvSpPr>
      <cdr:spPr>
        <a:xfrm xmlns:a="http://schemas.openxmlformats.org/drawingml/2006/main">
          <a:off x="612426" y="291935"/>
          <a:ext cx="663924" cy="20336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0.41791</cdr:x>
      <cdr:y>0.72931</cdr:y>
    </cdr:from>
    <cdr:to>
      <cdr:x>0.6754</cdr:x>
      <cdr:y>0.82008</cdr:y>
    </cdr:to>
    <cdr:sp macro="" textlink="">
      <cdr:nvSpPr>
        <cdr:cNvPr id="7" name="TextBox 6"/>
        <cdr:cNvSpPr txBox="1"/>
      </cdr:nvSpPr>
      <cdr:spPr>
        <a:xfrm xmlns:a="http://schemas.openxmlformats.org/drawingml/2006/main">
          <a:off x="1152525" y="1660252"/>
          <a:ext cx="710094" cy="20664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Рестриктивна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0.345</cdr:x>
      <cdr:y>0.24444</cdr:y>
    </cdr:from>
    <cdr:to>
      <cdr:x>0.44961</cdr:x>
      <cdr:y>0.80159</cdr:y>
    </cdr:to>
    <cdr:sp macro="" textlink="">
      <cdr:nvSpPr>
        <cdr:cNvPr id="12" name="Oval 11"/>
        <cdr:cNvSpPr/>
      </cdr:nvSpPr>
      <cdr:spPr>
        <a:xfrm xmlns:a="http://schemas.openxmlformats.org/drawingml/2006/main">
          <a:off x="951443" y="586728"/>
          <a:ext cx="288494" cy="1337321"/>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0.10016</cdr:x>
      <cdr:y>0.23024</cdr:y>
    </cdr:from>
    <cdr:to>
      <cdr:x>0.35063</cdr:x>
      <cdr:y>0.32218</cdr:y>
    </cdr:to>
    <cdr:sp macro="" textlink="">
      <cdr:nvSpPr>
        <cdr:cNvPr id="18" name="TextBox 17"/>
        <cdr:cNvSpPr txBox="1"/>
      </cdr:nvSpPr>
      <cdr:spPr>
        <a:xfrm xmlns:a="http://schemas.openxmlformats.org/drawingml/2006/main">
          <a:off x="276225" y="524141"/>
          <a:ext cx="690751" cy="20928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Проциклична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0.24868</cdr:x>
      <cdr:y>0.60447</cdr:y>
    </cdr:from>
    <cdr:to>
      <cdr:x>0.51808</cdr:x>
      <cdr:y>0.70293</cdr:y>
    </cdr:to>
    <cdr:sp macro="" textlink="">
      <cdr:nvSpPr>
        <cdr:cNvPr id="19" name="TextBox 18"/>
        <cdr:cNvSpPr txBox="1"/>
      </cdr:nvSpPr>
      <cdr:spPr>
        <a:xfrm xmlns:a="http://schemas.openxmlformats.org/drawingml/2006/main">
          <a:off x="685800" y="1376052"/>
          <a:ext cx="742950" cy="22414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Контрациклична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0.45097</cdr:x>
      <cdr:y>0.1902</cdr:y>
    </cdr:from>
    <cdr:to>
      <cdr:x>0.67106</cdr:x>
      <cdr:y>0.7217</cdr:y>
    </cdr:to>
    <cdr:sp macro="" textlink="">
      <cdr:nvSpPr>
        <cdr:cNvPr id="10" name="Oval 9"/>
        <cdr:cNvSpPr/>
      </cdr:nvSpPr>
      <cdr:spPr>
        <a:xfrm xmlns:a="http://schemas.openxmlformats.org/drawingml/2006/main">
          <a:off x="3161821" y="867783"/>
          <a:ext cx="1543055" cy="2424955"/>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chemeClr val="accent1">
              <a:shade val="50000"/>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0.44554</cdr:x>
      <cdr:y>0.29881</cdr:y>
    </cdr:from>
    <cdr:to>
      <cdr:x>0.67695</cdr:x>
      <cdr:y>0.37657</cdr:y>
    </cdr:to>
    <cdr:sp macro="" textlink="">
      <cdr:nvSpPr>
        <cdr:cNvPr id="13" name="TextBox 12"/>
        <cdr:cNvSpPr txBox="1"/>
      </cdr:nvSpPr>
      <cdr:spPr>
        <a:xfrm xmlns:a="http://schemas.openxmlformats.org/drawingml/2006/main">
          <a:off x="1228725" y="680238"/>
          <a:ext cx="638175" cy="17701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1" baseline="0">
              <a:solidFill>
                <a:srgbClr val="44546A"/>
              </a:solidFill>
              <a:latin typeface="+mn-lt"/>
            </a:rPr>
            <a:t>Проциклична</a:t>
          </a:r>
          <a:endParaRPr lang="en-US" sz="600" b="1" baseline="0">
            <a:solidFill>
              <a:srgbClr val="44546A"/>
            </a:solidFill>
            <a:latin typeface="+mn-lt"/>
          </a:endParaRPr>
        </a:p>
      </cdr:txBody>
    </cdr:sp>
  </cdr:relSizeAnchor>
  <cdr:relSizeAnchor xmlns:cdr="http://schemas.openxmlformats.org/drawingml/2006/chartDrawing">
    <cdr:from>
      <cdr:x>0.53189</cdr:x>
      <cdr:y>0.11715</cdr:y>
    </cdr:from>
    <cdr:to>
      <cdr:x>0.78279</cdr:x>
      <cdr:y>0.20169</cdr:y>
    </cdr:to>
    <cdr:sp macro="" textlink="">
      <cdr:nvSpPr>
        <cdr:cNvPr id="15" name="TextBox 1"/>
        <cdr:cNvSpPr txBox="1"/>
      </cdr:nvSpPr>
      <cdr:spPr>
        <a:xfrm xmlns:a="http://schemas.openxmlformats.org/drawingml/2006/main">
          <a:off x="1466850" y="266700"/>
          <a:ext cx="691936" cy="19244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1"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0.66562</cdr:x>
      <cdr:y>0.09391</cdr:y>
    </cdr:from>
    <cdr:to>
      <cdr:x>0.82321</cdr:x>
      <cdr:y>0.75514</cdr:y>
    </cdr:to>
    <cdr:sp macro="" textlink="">
      <cdr:nvSpPr>
        <cdr:cNvPr id="16" name="Oval 15"/>
        <cdr:cNvSpPr/>
      </cdr:nvSpPr>
      <cdr:spPr>
        <a:xfrm xmlns:a="http://schemas.openxmlformats.org/drawingml/2006/main">
          <a:off x="4666776" y="428479"/>
          <a:ext cx="1104900" cy="3016846"/>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effectLst/>
          </a:endParaRPr>
        </a:p>
      </cdr:txBody>
    </cdr:sp>
  </cdr:relSizeAnchor>
  <cdr:relSizeAnchor xmlns:cdr="http://schemas.openxmlformats.org/drawingml/2006/chartDrawing">
    <cdr:from>
      <cdr:x>0.61402</cdr:x>
      <cdr:y>0.62752</cdr:y>
    </cdr:from>
    <cdr:to>
      <cdr:x>0.89293</cdr:x>
      <cdr:y>0.73222</cdr:y>
    </cdr:to>
    <cdr:sp macro="" textlink="">
      <cdr:nvSpPr>
        <cdr:cNvPr id="20" name="TextBox 1"/>
        <cdr:cNvSpPr txBox="1"/>
      </cdr:nvSpPr>
      <cdr:spPr>
        <a:xfrm xmlns:a="http://schemas.openxmlformats.org/drawingml/2006/main">
          <a:off x="1693351" y="1428543"/>
          <a:ext cx="769179" cy="23833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1" baseline="0">
              <a:solidFill>
                <a:srgbClr val="44546A"/>
              </a:solidFill>
              <a:latin typeface="+mn-lt"/>
              <a:cs typeface="Times New Roman" pitchFamily="18" charset="0"/>
            </a:rPr>
            <a:t>Контрациклична</a:t>
          </a:r>
          <a:endParaRPr lang="en-US" sz="600" b="1" baseline="0">
            <a:solidFill>
              <a:srgbClr val="44546A"/>
            </a:solidFill>
            <a:latin typeface="+mn-lt"/>
            <a:cs typeface="Times New Roman" pitchFamily="18" charset="0"/>
          </a:endParaRPr>
        </a:p>
      </cdr:txBody>
    </cdr:sp>
  </cdr:relSizeAnchor>
</c:userShapes>
</file>

<file path=word/drawings/drawing26.xml><?xml version="1.0" encoding="utf-8"?>
<c:userShapes xmlns:c="http://schemas.openxmlformats.org/drawingml/2006/chart">
  <cdr:relSizeAnchor xmlns:cdr="http://schemas.openxmlformats.org/drawingml/2006/chartDrawing">
    <cdr:from>
      <cdr:x>0.04375</cdr:x>
      <cdr:y>0.88368</cdr:y>
    </cdr:from>
    <cdr:to>
      <cdr:x>0.16667</cdr:x>
      <cdr:y>0.93576</cdr:y>
    </cdr:to>
    <cdr:sp macro="" textlink="">
      <cdr:nvSpPr>
        <cdr:cNvPr id="2"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0.04792</cdr:x>
      <cdr:y>0.73785</cdr:y>
    </cdr:from>
    <cdr:to>
      <cdr:x>0.24167</cdr:x>
      <cdr:y>0.86979</cdr:y>
    </cdr:to>
    <cdr:sp macro="" textlink="">
      <cdr:nvSpPr>
        <cdr:cNvPr id="3" name="TextBox 2"/>
        <cdr:cNvSpPr txBox="1"/>
      </cdr:nvSpPr>
      <cdr:spPr>
        <a:xfrm xmlns:a="http://schemas.openxmlformats.org/drawingml/2006/main">
          <a:off x="228061" y="2482144"/>
          <a:ext cx="922095" cy="4438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800">
            <a:latin typeface="+mj-lt"/>
          </a:endParaRPr>
        </a:p>
      </cdr:txBody>
    </cdr:sp>
  </cdr:relSizeAnchor>
  <cdr:relSizeAnchor xmlns:cdr="http://schemas.openxmlformats.org/drawingml/2006/chartDrawing">
    <cdr:from>
      <cdr:x>0.66875</cdr:x>
      <cdr:y>0.74826</cdr:y>
    </cdr:from>
    <cdr:to>
      <cdr:x>0.9125</cdr:x>
      <cdr:y>0.84549</cdr:y>
    </cdr:to>
    <cdr:sp macro="" textlink="">
      <cdr:nvSpPr>
        <cdr:cNvPr id="4"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0.76703</cdr:x>
      <cdr:y>0.16819</cdr:y>
    </cdr:from>
    <cdr:to>
      <cdr:x>0.98856</cdr:x>
      <cdr:y>0.2903</cdr:y>
    </cdr:to>
    <cdr:sp macro="" textlink="">
      <cdr:nvSpPr>
        <cdr:cNvPr id="5" name="TextBox 1"/>
        <cdr:cNvSpPr txBox="1"/>
      </cdr:nvSpPr>
      <cdr:spPr>
        <a:xfrm xmlns:a="http://schemas.openxmlformats.org/drawingml/2006/main">
          <a:off x="3650440" y="565780"/>
          <a:ext cx="1054306"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0.73125</cdr:x>
      <cdr:y>0.8206</cdr:y>
    </cdr:from>
    <cdr:to>
      <cdr:x>0.95417</cdr:x>
      <cdr:y>0.94271</cdr:y>
    </cdr:to>
    <cdr:sp macro="" textlink="">
      <cdr:nvSpPr>
        <cdr:cNvPr id="6" name="TextBox 1"/>
        <cdr:cNvSpPr txBox="1"/>
      </cdr:nvSpPr>
      <cdr:spPr>
        <a:xfrm xmlns:a="http://schemas.openxmlformats.org/drawingml/2006/main">
          <a:off x="3480164" y="2760516"/>
          <a:ext cx="1060921"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0.04928</cdr:x>
      <cdr:y>0.22036</cdr:y>
    </cdr:from>
    <cdr:to>
      <cdr:x>0.27219</cdr:x>
      <cdr:y>0.34247</cdr:y>
    </cdr:to>
    <cdr:sp macro="" textlink="">
      <cdr:nvSpPr>
        <cdr:cNvPr id="7" name="TextBox 1"/>
        <cdr:cNvSpPr txBox="1"/>
      </cdr:nvSpPr>
      <cdr:spPr>
        <a:xfrm xmlns:a="http://schemas.openxmlformats.org/drawingml/2006/main">
          <a:off x="234530" y="741312"/>
          <a:ext cx="1060873" cy="410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Cambria" panose="02040503050406030204" pitchFamily="18" charset="0"/>
          </a:endParaRPr>
        </a:p>
      </cdr:txBody>
    </cdr:sp>
  </cdr:relSizeAnchor>
  <cdr:relSizeAnchor xmlns:cdr="http://schemas.openxmlformats.org/drawingml/2006/chartDrawing">
    <cdr:from>
      <cdr:x>0.04375</cdr:x>
      <cdr:y>0.88368</cdr:y>
    </cdr:from>
    <cdr:to>
      <cdr:x>0.16667</cdr:x>
      <cdr:y>0.93576</cdr:y>
    </cdr:to>
    <cdr:sp macro="" textlink="">
      <cdr:nvSpPr>
        <cdr:cNvPr id="14"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0.00886</cdr:x>
      <cdr:y>0.88532</cdr:y>
    </cdr:from>
    <cdr:to>
      <cdr:x>0.29242</cdr:x>
      <cdr:y>0.98853</cdr:y>
    </cdr:to>
    <cdr:sp macro="" textlink="">
      <cdr:nvSpPr>
        <cdr:cNvPr id="15" name="TextBox 2"/>
        <cdr:cNvSpPr txBox="1"/>
      </cdr:nvSpPr>
      <cdr:spPr>
        <a:xfrm xmlns:a="http://schemas.openxmlformats.org/drawingml/2006/main">
          <a:off x="24446" y="2451100"/>
          <a:ext cx="782004" cy="2857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0">
              <a:solidFill>
                <a:srgbClr val="44546A"/>
              </a:solidFill>
              <a:latin typeface="Calibri" panose="020F0502020204030204" pitchFamily="34" charset="0"/>
            </a:rPr>
            <a:t>проциклично</a:t>
          </a:r>
          <a:r>
            <a:rPr lang="sr-Cyrl-CS" sz="600" b="0" baseline="0">
              <a:solidFill>
                <a:srgbClr val="44546A"/>
              </a:solidFill>
              <a:latin typeface="Calibri" panose="020F0502020204030204" pitchFamily="34" charset="0"/>
            </a:rPr>
            <a:t> - рестриктивна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0.66875</cdr:x>
      <cdr:y>0.74826</cdr:y>
    </cdr:from>
    <cdr:to>
      <cdr:x>0.9125</cdr:x>
      <cdr:y>0.84549</cdr:y>
    </cdr:to>
    <cdr:sp macro="" textlink="">
      <cdr:nvSpPr>
        <cdr:cNvPr id="16"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0.76215</cdr:x>
      <cdr:y>0.00589</cdr:y>
    </cdr:from>
    <cdr:to>
      <cdr:x>1</cdr:x>
      <cdr:y>0.11468</cdr:y>
    </cdr:to>
    <cdr:sp macro="" textlink="">
      <cdr:nvSpPr>
        <cdr:cNvPr id="17" name="TextBox 1"/>
        <cdr:cNvSpPr txBox="1"/>
      </cdr:nvSpPr>
      <cdr:spPr>
        <a:xfrm xmlns:a="http://schemas.openxmlformats.org/drawingml/2006/main">
          <a:off x="2101850" y="16300"/>
          <a:ext cx="655955" cy="3012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проциклично</a:t>
          </a:r>
          <a:r>
            <a:rPr lang="sr-Cyrl-CS" sz="600" b="0" baseline="0">
              <a:solidFill>
                <a:srgbClr val="44546A"/>
              </a:solidFill>
              <a:latin typeface="Calibri" panose="020F0502020204030204" pitchFamily="34" charset="0"/>
            </a:rPr>
            <a:t> - експанзивна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0.71379</cdr:x>
      <cdr:y>0.87789</cdr:y>
    </cdr:from>
    <cdr:to>
      <cdr:x>1</cdr:x>
      <cdr:y>1</cdr:y>
    </cdr:to>
    <cdr:sp macro="" textlink="">
      <cdr:nvSpPr>
        <cdr:cNvPr id="18" name="TextBox 1"/>
        <cdr:cNvSpPr txBox="1"/>
      </cdr:nvSpPr>
      <cdr:spPr>
        <a:xfrm xmlns:a="http://schemas.openxmlformats.org/drawingml/2006/main">
          <a:off x="1968500" y="2430526"/>
          <a:ext cx="789305" cy="33807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контрациклично</a:t>
          </a:r>
          <a:r>
            <a:rPr lang="sr-Cyrl-CS" sz="600" b="0" baseline="0">
              <a:solidFill>
                <a:srgbClr val="44546A"/>
              </a:solidFill>
              <a:latin typeface="Calibri" panose="020F0502020204030204" pitchFamily="34" charset="0"/>
            </a:rPr>
            <a:t> - рестриктивна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0.01592</cdr:x>
      <cdr:y>0</cdr:y>
    </cdr:from>
    <cdr:to>
      <cdr:x>0.29223</cdr:x>
      <cdr:y>0.11468</cdr:y>
    </cdr:to>
    <cdr:sp macro="" textlink="">
      <cdr:nvSpPr>
        <cdr:cNvPr id="19" name="TextBox 1"/>
        <cdr:cNvSpPr txBox="1"/>
      </cdr:nvSpPr>
      <cdr:spPr>
        <a:xfrm xmlns:a="http://schemas.openxmlformats.org/drawingml/2006/main">
          <a:off x="43891" y="-4564685"/>
          <a:ext cx="762009" cy="31750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контрациклично</a:t>
          </a:r>
          <a:r>
            <a:rPr lang="sr-Cyrl-CS" sz="600" b="0" baseline="0">
              <a:solidFill>
                <a:srgbClr val="44546A"/>
              </a:solidFill>
              <a:latin typeface="Calibri" panose="020F0502020204030204" pitchFamily="34" charset="0"/>
            </a:rPr>
            <a:t> - експанзивна</a:t>
          </a:r>
          <a:endParaRPr lang="sr-Cyrl-CS" sz="600" b="0">
            <a:solidFill>
              <a:srgbClr val="44546A"/>
            </a:solidFill>
            <a:latin typeface="Calibri" panose="020F0502020204030204" pitchFamily="34" charset="0"/>
          </a:endParaRPr>
        </a:p>
      </cdr:txBody>
    </cdr:sp>
  </cdr:relSizeAnchor>
</c:userShapes>
</file>

<file path=word/drawings/drawing27.xml><?xml version="1.0" encoding="utf-8"?>
<c:userShapes xmlns:c="http://schemas.openxmlformats.org/drawingml/2006/chart">
  <cdr:relSizeAnchor xmlns:cdr="http://schemas.openxmlformats.org/drawingml/2006/chartDrawing">
    <cdr:from>
      <cdr:x>0.09769</cdr:x>
      <cdr:y>0.57666</cdr:y>
    </cdr:from>
    <cdr:to>
      <cdr:x>0.96645</cdr:x>
      <cdr:y>0.57962</cdr:y>
    </cdr:to>
    <cdr:sp macro="" textlink="">
      <cdr:nvSpPr>
        <cdr:cNvPr id="3" name="Straight Connector 2"/>
        <cdr:cNvSpPr/>
      </cdr:nvSpPr>
      <cdr:spPr>
        <a:xfrm xmlns:a="http://schemas.openxmlformats.org/drawingml/2006/main">
          <a:off x="267970" y="1285286"/>
          <a:ext cx="2383200" cy="6598"/>
        </a:xfrm>
        <a:prstGeom xmlns:a="http://schemas.openxmlformats.org/drawingml/2006/main" prst="line">
          <a:avLst/>
        </a:prstGeom>
        <a:ln xmlns:a="http://schemas.openxmlformats.org/drawingml/2006/main" w="15875">
          <a:solidFill>
            <a:schemeClr val="dk1">
              <a:shade val="95000"/>
              <a:satMod val="10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0.10008</cdr:x>
      <cdr:y>0.16514</cdr:y>
    </cdr:from>
    <cdr:to>
      <cdr:x>0.9692</cdr:x>
      <cdr:y>0.16651</cdr:y>
    </cdr:to>
    <cdr:cxnSp macro="">
      <cdr:nvCxnSpPr>
        <cdr:cNvPr id="4" name="Straight Connector 3">
          <a:extLst xmlns:a="http://schemas.openxmlformats.org/drawingml/2006/main">
            <a:ext uri="{FF2B5EF4-FFF2-40B4-BE49-F238E27FC236}">
              <a16:creationId xmlns:a16="http://schemas.microsoft.com/office/drawing/2014/main" id="{12B4E1F9-C0BE-5F5D-96A4-48B91145F0C8}"/>
            </a:ext>
          </a:extLst>
        </cdr:cNvPr>
        <cdr:cNvCxnSpPr/>
      </cdr:nvCxnSpPr>
      <cdr:spPr>
        <a:xfrm xmlns:a="http://schemas.openxmlformats.org/drawingml/2006/main">
          <a:off x="274539" y="368077"/>
          <a:ext cx="2384170" cy="3053"/>
        </a:xfrm>
        <a:prstGeom xmlns:a="http://schemas.openxmlformats.org/drawingml/2006/main" prst="line">
          <a:avLst/>
        </a:prstGeom>
        <a:ln xmlns:a="http://schemas.openxmlformats.org/drawingml/2006/main" w="15875">
          <a:solidFill>
            <a:schemeClr val="accent2">
              <a:shade val="95000"/>
              <a:satMod val="105000"/>
              <a:alpha val="70000"/>
            </a:schemeClr>
          </a:solidFill>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0.10371</cdr:x>
      <cdr:y>0.30399</cdr:y>
    </cdr:from>
    <cdr:to>
      <cdr:x>0.95077</cdr:x>
      <cdr:y>0.30694</cdr:y>
    </cdr:to>
    <cdr:sp macro="" textlink="">
      <cdr:nvSpPr>
        <cdr:cNvPr id="5" name="Straight Connector 4"/>
        <cdr:cNvSpPr/>
      </cdr:nvSpPr>
      <cdr:spPr>
        <a:xfrm xmlns:a="http://schemas.openxmlformats.org/drawingml/2006/main">
          <a:off x="284498" y="677539"/>
          <a:ext cx="2323655" cy="6575"/>
        </a:xfrm>
        <a:prstGeom xmlns:a="http://schemas.openxmlformats.org/drawingml/2006/main" prst="line">
          <a:avLst/>
        </a:prstGeom>
        <a:ln xmlns:a="http://schemas.openxmlformats.org/drawingml/2006/main" w="15875">
          <a:solidFill>
            <a:schemeClr val="accent3">
              <a:lumMod val="7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A7BC54-AC2B-4667-84E8-C1FF5C554D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96</Pages>
  <Words>41254</Words>
  <Characters>235148</Characters>
  <Application>Microsoft Office Word</Application>
  <DocSecurity>0</DocSecurity>
  <Lines>1959</Lines>
  <Paragraphs>551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Nenad Jevtović</dc:creator>
  <cp:keywords/>
  <dc:description/>
  <cp:lastModifiedBy>Ivana Vojinović</cp:lastModifiedBy>
  <cp:revision>2</cp:revision>
  <cp:lastPrinted>2023-06-09T05:36:00Z</cp:lastPrinted>
  <dcterms:created xsi:type="dcterms:W3CDTF">2023-06-09T11:17:00Z</dcterms:created>
  <dcterms:modified xsi:type="dcterms:W3CDTF">2023-06-09T11:17:00Z</dcterms:modified>
</cp:coreProperties>
</file>