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9ADE7" w14:textId="77777777" w:rsidR="007D778B" w:rsidRDefault="00FD1A9A" w:rsidP="007D778B">
      <w:pPr>
        <w:spacing w:after="0" w:line="240" w:lineRule="auto"/>
        <w:ind w:right="79"/>
        <w:jc w:val="center"/>
      </w:pPr>
      <w:r w:rsidRPr="007D778B">
        <w:t>ИЗЈАВ</w:t>
      </w:r>
      <w:r w:rsidR="00A6213E" w:rsidRPr="007D778B">
        <w:rPr>
          <w:lang w:val="sr-Cyrl-RS"/>
        </w:rPr>
        <w:t>А</w:t>
      </w:r>
      <w:r w:rsidRPr="007D778B">
        <w:t xml:space="preserve"> О УСКЛАЂЕНОСТИ ПРОПИСА </w:t>
      </w:r>
    </w:p>
    <w:p w14:paraId="4BA165C4" w14:textId="77777777" w:rsidR="00AE18D9" w:rsidRDefault="00FD1A9A" w:rsidP="007D778B">
      <w:pPr>
        <w:spacing w:after="0" w:line="240" w:lineRule="auto"/>
        <w:ind w:right="79"/>
        <w:jc w:val="center"/>
      </w:pPr>
      <w:r w:rsidRPr="007D778B">
        <w:t>СА ПРОПИСИМА ЕВРОПСКЕ УНИЈЕ</w:t>
      </w:r>
    </w:p>
    <w:p w14:paraId="09C9E3E7" w14:textId="77777777" w:rsidR="007D778B" w:rsidRPr="007D778B" w:rsidRDefault="007D778B" w:rsidP="007D778B">
      <w:pPr>
        <w:spacing w:after="0" w:line="240" w:lineRule="auto"/>
        <w:ind w:right="79"/>
        <w:jc w:val="center"/>
      </w:pPr>
    </w:p>
    <w:p w14:paraId="2138C446" w14:textId="77777777" w:rsidR="00A6213E" w:rsidRPr="007D778B" w:rsidRDefault="00A6213E" w:rsidP="00695412">
      <w:pPr>
        <w:numPr>
          <w:ilvl w:val="0"/>
          <w:numId w:val="1"/>
        </w:numPr>
        <w:ind w:right="151" w:hanging="240"/>
        <w:rPr>
          <w:szCs w:val="24"/>
        </w:rPr>
      </w:pPr>
      <w:r w:rsidRPr="007D778B">
        <w:rPr>
          <w:szCs w:val="24"/>
        </w:rPr>
        <w:t>О</w:t>
      </w:r>
      <w:r w:rsidR="00FD1A9A" w:rsidRPr="007D778B">
        <w:rPr>
          <w:szCs w:val="24"/>
        </w:rPr>
        <w:t>влашћени предлагач прописа</w:t>
      </w:r>
      <w:r w:rsidRPr="007D778B">
        <w:rPr>
          <w:szCs w:val="24"/>
          <w:lang w:val="sr-Cyrl-RS"/>
        </w:rPr>
        <w:t>: Влада</w:t>
      </w:r>
    </w:p>
    <w:p w14:paraId="19CE837B" w14:textId="77777777" w:rsidR="00AE18D9" w:rsidRPr="007D778B" w:rsidRDefault="00A6213E" w:rsidP="00695412">
      <w:pPr>
        <w:ind w:left="273" w:right="151"/>
        <w:rPr>
          <w:szCs w:val="24"/>
        </w:rPr>
      </w:pPr>
      <w:r w:rsidRPr="007D778B">
        <w:rPr>
          <w:szCs w:val="24"/>
          <w:lang w:val="sr-Cyrl-RS"/>
        </w:rPr>
        <w:t>Обрађивач:</w:t>
      </w:r>
      <w:r w:rsidR="00FD1A9A" w:rsidRPr="007D778B">
        <w:rPr>
          <w:szCs w:val="24"/>
        </w:rPr>
        <w:t xml:space="preserve"> Министарство за бригу о породици и демографију</w:t>
      </w:r>
    </w:p>
    <w:p w14:paraId="2296B531" w14:textId="77777777" w:rsidR="00AE18D9" w:rsidRPr="007D778B" w:rsidRDefault="00FD1A9A" w:rsidP="00695412">
      <w:pPr>
        <w:numPr>
          <w:ilvl w:val="0"/>
          <w:numId w:val="1"/>
        </w:numPr>
        <w:spacing w:after="15"/>
        <w:ind w:right="151" w:hanging="240"/>
        <w:rPr>
          <w:szCs w:val="24"/>
        </w:rPr>
      </w:pPr>
      <w:r w:rsidRPr="007D778B">
        <w:rPr>
          <w:szCs w:val="24"/>
        </w:rPr>
        <w:t>Назив прописа</w:t>
      </w:r>
    </w:p>
    <w:p w14:paraId="0AB1D26D" w14:textId="77777777" w:rsidR="00A6213E" w:rsidRPr="007D778B" w:rsidRDefault="00A6213E" w:rsidP="00695412">
      <w:pPr>
        <w:spacing w:after="292" w:line="228" w:lineRule="auto"/>
        <w:ind w:left="29" w:right="0" w:hanging="10"/>
        <w:rPr>
          <w:szCs w:val="24"/>
        </w:rPr>
      </w:pPr>
      <w:r w:rsidRPr="007D778B">
        <w:rPr>
          <w:szCs w:val="24"/>
          <w:lang w:val="sr-Cyrl-RS"/>
        </w:rPr>
        <w:t xml:space="preserve">Предлог </w:t>
      </w:r>
      <w:r w:rsidRPr="007D778B">
        <w:rPr>
          <w:szCs w:val="24"/>
        </w:rPr>
        <w:t>з</w:t>
      </w:r>
      <w:r w:rsidR="00FD1A9A" w:rsidRPr="007D778B">
        <w:rPr>
          <w:szCs w:val="24"/>
        </w:rPr>
        <w:t>акон</w:t>
      </w:r>
      <w:r w:rsidR="007D778B" w:rsidRPr="007D778B">
        <w:rPr>
          <w:szCs w:val="24"/>
          <w:lang w:val="sr-Cyrl-RS"/>
        </w:rPr>
        <w:t>а</w:t>
      </w:r>
      <w:r w:rsidR="00FD1A9A" w:rsidRPr="007D778B">
        <w:rPr>
          <w:szCs w:val="24"/>
        </w:rPr>
        <w:t xml:space="preserve"> о изменама и допунама Закона о финансијској подршци породици са децом </w:t>
      </w:r>
    </w:p>
    <w:p w14:paraId="62E246DC" w14:textId="77777777" w:rsidR="00AE18D9" w:rsidRPr="007D778B" w:rsidRDefault="00FD1A9A" w:rsidP="00695412">
      <w:pPr>
        <w:spacing w:after="292" w:line="228" w:lineRule="auto"/>
        <w:ind w:left="29" w:right="0" w:hanging="10"/>
        <w:rPr>
          <w:szCs w:val="24"/>
        </w:rPr>
      </w:pPr>
      <w:r w:rsidRPr="007D778B">
        <w:rPr>
          <w:szCs w:val="24"/>
        </w:rPr>
        <w:t>Law оп Financial Support for Families with Children</w:t>
      </w:r>
    </w:p>
    <w:p w14:paraId="1DC546A8" w14:textId="77777777" w:rsidR="00AE18D9" w:rsidRPr="007D778B" w:rsidRDefault="00695412" w:rsidP="00695412">
      <w:pPr>
        <w:spacing w:after="290"/>
        <w:ind w:left="33" w:right="130"/>
        <w:rPr>
          <w:szCs w:val="24"/>
        </w:rPr>
      </w:pPr>
      <w:r w:rsidRPr="007D778B">
        <w:rPr>
          <w:szCs w:val="24"/>
          <w:lang w:val="sr-Cyrl-RS"/>
        </w:rPr>
        <w:t>3</w:t>
      </w:r>
      <w:r w:rsidR="00FD1A9A" w:rsidRPr="007D778B">
        <w:rPr>
          <w:szCs w:val="24"/>
        </w:rPr>
        <w:t>.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дагьем тексту: Споразум):</w:t>
      </w:r>
    </w:p>
    <w:p w14:paraId="3434619D" w14:textId="77777777" w:rsidR="00AE18D9" w:rsidRPr="007D778B" w:rsidRDefault="00FD1A9A" w:rsidP="00695412">
      <w:pPr>
        <w:spacing w:after="37"/>
        <w:ind w:left="33" w:right="10"/>
        <w:rPr>
          <w:szCs w:val="24"/>
        </w:rPr>
      </w:pPr>
      <w:r w:rsidRPr="007D778B">
        <w:rPr>
          <w:szCs w:val="24"/>
        </w:rPr>
        <w:t>а) Одредба Споразума која се односи на нормативну садржину прописа,</w:t>
      </w:r>
    </w:p>
    <w:p w14:paraId="5891A1EB" w14:textId="77777777" w:rsidR="00AE18D9" w:rsidRPr="007D778B" w:rsidRDefault="00FD1A9A" w:rsidP="00695412">
      <w:pPr>
        <w:spacing w:after="278" w:line="228" w:lineRule="auto"/>
        <w:ind w:left="29" w:right="0" w:hanging="10"/>
        <w:rPr>
          <w:szCs w:val="24"/>
        </w:rPr>
      </w:pPr>
      <w:r w:rsidRPr="007D778B">
        <w:rPr>
          <w:szCs w:val="24"/>
        </w:rPr>
        <w:t>Чл. 51. Споразума о стабилизацији и придруживању између Европске заједнице и њених држава и Републике Србије.</w:t>
      </w:r>
    </w:p>
    <w:p w14:paraId="65FDA510" w14:textId="77777777" w:rsidR="00AE18D9" w:rsidRPr="007D778B" w:rsidRDefault="00FD1A9A" w:rsidP="00695412">
      <w:pPr>
        <w:ind w:left="33" w:right="533"/>
        <w:rPr>
          <w:szCs w:val="24"/>
        </w:rPr>
      </w:pPr>
      <w:r w:rsidRPr="007D778B">
        <w:rPr>
          <w:szCs w:val="24"/>
        </w:rPr>
        <w:t xml:space="preserve">б) Прелазни рок за усклађивање законодавства према одредбама Споразума, </w:t>
      </w:r>
      <w:r w:rsidRPr="007D778B">
        <w:rPr>
          <w:noProof/>
          <w:szCs w:val="24"/>
        </w:rPr>
        <w:drawing>
          <wp:inline distT="0" distB="0" distL="0" distR="0" wp14:anchorId="455DB566" wp14:editId="3704EF6F">
            <wp:extent cx="3048" cy="3048"/>
            <wp:effectExtent l="0" t="0" r="0" b="0"/>
            <wp:docPr id="1555" name="Picture 1555"/>
            <wp:cNvGraphicFramePr/>
            <a:graphic xmlns:a="http://schemas.openxmlformats.org/drawingml/2006/main">
              <a:graphicData uri="http://schemas.openxmlformats.org/drawingml/2006/picture">
                <pic:pic xmlns:pic="http://schemas.openxmlformats.org/drawingml/2006/picture">
                  <pic:nvPicPr>
                    <pic:cNvPr id="1555" name="Picture 1555"/>
                    <pic:cNvPicPr/>
                  </pic:nvPicPr>
                  <pic:blipFill>
                    <a:blip r:embed="rId8"/>
                    <a:stretch>
                      <a:fillRect/>
                    </a:stretch>
                  </pic:blipFill>
                  <pic:spPr>
                    <a:xfrm>
                      <a:off x="0" y="0"/>
                      <a:ext cx="3048" cy="3048"/>
                    </a:xfrm>
                    <a:prstGeom prst="rect">
                      <a:avLst/>
                    </a:prstGeom>
                  </pic:spPr>
                </pic:pic>
              </a:graphicData>
            </a:graphic>
          </wp:inline>
        </w:drawing>
      </w:r>
      <w:r w:rsidRPr="007D778B">
        <w:rPr>
          <w:szCs w:val="24"/>
        </w:rPr>
        <w:t>Општи рок за усклађивање законодавства према члану 72. Споразума.</w:t>
      </w:r>
    </w:p>
    <w:p w14:paraId="4EB237D8" w14:textId="77777777" w:rsidR="00AE18D9" w:rsidRPr="007D778B" w:rsidRDefault="00FD1A9A" w:rsidP="00695412">
      <w:pPr>
        <w:ind w:left="33" w:right="10"/>
        <w:rPr>
          <w:szCs w:val="24"/>
        </w:rPr>
      </w:pPr>
      <w:r w:rsidRPr="007D778B">
        <w:rPr>
          <w:szCs w:val="24"/>
        </w:rPr>
        <w:t>в) Оцена испуњености обавезе које произлазе из наведене одредбе Споразума, Испуњава у потпуности</w:t>
      </w:r>
    </w:p>
    <w:p w14:paraId="26153BED" w14:textId="77777777" w:rsidR="00AE18D9" w:rsidRPr="007D778B" w:rsidRDefault="00FD1A9A" w:rsidP="00695412">
      <w:pPr>
        <w:ind w:left="33" w:right="10"/>
        <w:rPr>
          <w:szCs w:val="24"/>
        </w:rPr>
      </w:pPr>
      <w:r w:rsidRPr="007D778B">
        <w:rPr>
          <w:szCs w:val="24"/>
        </w:rPr>
        <w:t>г) Разлози за делимично испуњавање, односно неиспуњавање обавеза које произлазе из наведене одредбе Споразума,</w:t>
      </w:r>
    </w:p>
    <w:p w14:paraId="17A8C080" w14:textId="77777777" w:rsidR="002E6CFF" w:rsidRDefault="00FD1A9A" w:rsidP="00695412">
      <w:pPr>
        <w:spacing w:after="0"/>
        <w:ind w:left="33" w:right="10"/>
        <w:rPr>
          <w:szCs w:val="24"/>
        </w:rPr>
      </w:pPr>
      <w:r w:rsidRPr="007D778B">
        <w:rPr>
          <w:szCs w:val="24"/>
        </w:rPr>
        <w:t xml:space="preserve">д) Веза са Националним програмом за усвајање правних тековина Европске уније. </w:t>
      </w:r>
    </w:p>
    <w:p w14:paraId="3FEDBA54" w14:textId="77777777" w:rsidR="00AE18D9" w:rsidRPr="007D778B" w:rsidRDefault="00FD1A9A" w:rsidP="00695412">
      <w:pPr>
        <w:spacing w:after="0"/>
        <w:ind w:left="33" w:right="10"/>
        <w:rPr>
          <w:szCs w:val="24"/>
        </w:rPr>
      </w:pPr>
      <w:r w:rsidRPr="007D778B">
        <w:rPr>
          <w:szCs w:val="24"/>
        </w:rPr>
        <w:t>Део 3.2. Слобода кретања радника, тачка 3.2.2. Координација система социјалне сигурности</w:t>
      </w:r>
    </w:p>
    <w:p w14:paraId="1E11FB77" w14:textId="77777777" w:rsidR="00AE18D9" w:rsidRPr="007D778B" w:rsidRDefault="00FD1A9A" w:rsidP="00695412">
      <w:pPr>
        <w:spacing w:after="284" w:line="228" w:lineRule="auto"/>
        <w:ind w:left="19" w:right="0" w:firstLine="62"/>
        <w:rPr>
          <w:szCs w:val="24"/>
        </w:rPr>
      </w:pPr>
      <w:r w:rsidRPr="007D778B">
        <w:rPr>
          <w:szCs w:val="24"/>
        </w:rPr>
        <w:t>Део 3.19. Социјална п</w:t>
      </w:r>
      <w:r w:rsidR="002E6CFF">
        <w:rPr>
          <w:szCs w:val="24"/>
        </w:rPr>
        <w:t>олитика и запошљавање, тачка З.</w:t>
      </w:r>
      <w:r w:rsidRPr="007D778B">
        <w:rPr>
          <w:szCs w:val="24"/>
        </w:rPr>
        <w:t>19.5. Социјална укљученост</w:t>
      </w:r>
    </w:p>
    <w:p w14:paraId="32E8BAA1" w14:textId="77777777" w:rsidR="00AE18D9" w:rsidRPr="007D778B" w:rsidRDefault="00FD1A9A" w:rsidP="00695412">
      <w:pPr>
        <w:ind w:left="96" w:right="10"/>
        <w:rPr>
          <w:szCs w:val="24"/>
        </w:rPr>
      </w:pPr>
      <w:r w:rsidRPr="007D778B">
        <w:rPr>
          <w:szCs w:val="24"/>
        </w:rPr>
        <w:t>4. Усклађеност прописа са прописима Европске уније:</w:t>
      </w:r>
    </w:p>
    <w:p w14:paraId="254C8762" w14:textId="77777777" w:rsidR="00AE18D9" w:rsidRPr="007D778B" w:rsidRDefault="00FD1A9A" w:rsidP="00695412">
      <w:pPr>
        <w:spacing w:after="24"/>
        <w:ind w:left="110" w:right="10"/>
        <w:rPr>
          <w:szCs w:val="24"/>
        </w:rPr>
      </w:pPr>
      <w:r w:rsidRPr="007D778B">
        <w:rPr>
          <w:szCs w:val="24"/>
        </w:rPr>
        <w:t>а) Навођење одредби примарних извора права Европске уније и оцене усклађености са њима,</w:t>
      </w:r>
    </w:p>
    <w:p w14:paraId="03F28CBA" w14:textId="77777777" w:rsidR="00AE18D9" w:rsidRPr="007D778B" w:rsidRDefault="00FD1A9A" w:rsidP="00695412">
      <w:pPr>
        <w:spacing w:after="271" w:line="228" w:lineRule="auto"/>
        <w:ind w:left="298" w:right="0" w:hanging="10"/>
        <w:rPr>
          <w:szCs w:val="24"/>
        </w:rPr>
      </w:pPr>
      <w:r w:rsidRPr="007D778B">
        <w:rPr>
          <w:szCs w:val="24"/>
        </w:rPr>
        <w:t>Уговор о функционисању Европске уније, Наслов IV „Слобода кретања луди, услуга и капитала”, члан 48.</w:t>
      </w:r>
    </w:p>
    <w:p w14:paraId="0B0D720C" w14:textId="77777777" w:rsidR="00925885" w:rsidRDefault="00FD1A9A" w:rsidP="00695412">
      <w:pPr>
        <w:spacing w:after="0"/>
        <w:ind w:left="125" w:right="10"/>
        <w:rPr>
          <w:szCs w:val="24"/>
        </w:rPr>
      </w:pPr>
      <w:r w:rsidRPr="007D778B">
        <w:rPr>
          <w:szCs w:val="24"/>
        </w:rPr>
        <w:t xml:space="preserve">б) Навођење секундарних извора права Европске уније и оцене усклађености са њима, </w:t>
      </w:r>
    </w:p>
    <w:p w14:paraId="1DDCEBDC" w14:textId="77777777" w:rsidR="00AE18D9" w:rsidRPr="007D778B" w:rsidRDefault="00FD1A9A" w:rsidP="00695412">
      <w:pPr>
        <w:spacing w:after="0"/>
        <w:ind w:left="125" w:right="10"/>
        <w:rPr>
          <w:szCs w:val="24"/>
        </w:rPr>
      </w:pPr>
      <w:r w:rsidRPr="007D778B">
        <w:rPr>
          <w:szCs w:val="24"/>
        </w:rPr>
        <w:t>Уредба ЕУ 883/2004 о координацији система социјалне сигурности.</w:t>
      </w:r>
    </w:p>
    <w:p w14:paraId="3F5124EC" w14:textId="77777777" w:rsidR="00AE18D9" w:rsidRPr="007D778B" w:rsidRDefault="00FD1A9A" w:rsidP="00695412">
      <w:pPr>
        <w:spacing w:after="18" w:line="228" w:lineRule="auto"/>
        <w:ind w:left="140" w:right="0" w:hanging="10"/>
        <w:rPr>
          <w:szCs w:val="24"/>
        </w:rPr>
      </w:pPr>
      <w:r w:rsidRPr="007D778B">
        <w:rPr>
          <w:szCs w:val="24"/>
        </w:rPr>
        <w:t>Нормативни садржај прописа је повезан са Уредбом али се не врши транспоновање.</w:t>
      </w:r>
    </w:p>
    <w:p w14:paraId="27024EF2" w14:textId="77777777" w:rsidR="00AE18D9" w:rsidRPr="007D778B" w:rsidRDefault="00FD1A9A" w:rsidP="00695412">
      <w:pPr>
        <w:spacing w:after="18" w:line="228" w:lineRule="auto"/>
        <w:ind w:left="140" w:right="0" w:hanging="10"/>
        <w:rPr>
          <w:szCs w:val="24"/>
        </w:rPr>
      </w:pPr>
      <w:r w:rsidRPr="007D778B">
        <w:rPr>
          <w:szCs w:val="24"/>
        </w:rPr>
        <w:lastRenderedPageBreak/>
        <w:t>Директива ЕУ 2019/1158 о равнотежи између пословног и приватног живота родитеља и старатеља.</w:t>
      </w:r>
    </w:p>
    <w:p w14:paraId="1E9B7242" w14:textId="77777777" w:rsidR="00AE18D9" w:rsidRPr="007D778B" w:rsidRDefault="00FD1A9A" w:rsidP="00695412">
      <w:pPr>
        <w:spacing w:after="296" w:line="228" w:lineRule="auto"/>
        <w:ind w:left="149" w:right="0" w:hanging="10"/>
        <w:rPr>
          <w:szCs w:val="24"/>
        </w:rPr>
      </w:pPr>
      <w:r w:rsidRPr="007D778B">
        <w:rPr>
          <w:szCs w:val="24"/>
        </w:rPr>
        <w:t>Нормативни садржај прописа је повезан са Директивом али се не врши транспоновање.</w:t>
      </w:r>
    </w:p>
    <w:p w14:paraId="4C7B075F" w14:textId="77777777" w:rsidR="00AE18D9" w:rsidRPr="007D778B" w:rsidRDefault="00FD1A9A" w:rsidP="00695412">
      <w:pPr>
        <w:spacing w:after="0" w:line="240" w:lineRule="auto"/>
        <w:ind w:left="154" w:right="14"/>
        <w:rPr>
          <w:szCs w:val="24"/>
        </w:rPr>
      </w:pPr>
      <w:r w:rsidRPr="007D778B">
        <w:rPr>
          <w:szCs w:val="24"/>
        </w:rPr>
        <w:t>в) Навођење осталих извора права Европске уније и усклађеност са њима,</w:t>
      </w:r>
    </w:p>
    <w:p w14:paraId="26D6A699" w14:textId="77777777" w:rsidR="00A6213E" w:rsidRPr="007D778B" w:rsidRDefault="00A6213E" w:rsidP="00695412">
      <w:pPr>
        <w:spacing w:after="0" w:line="240" w:lineRule="auto"/>
        <w:ind w:left="154" w:right="14"/>
        <w:rPr>
          <w:szCs w:val="24"/>
        </w:rPr>
      </w:pPr>
    </w:p>
    <w:p w14:paraId="13C20251" w14:textId="77777777" w:rsidR="00AE18D9" w:rsidRPr="007D778B" w:rsidRDefault="00FD1A9A" w:rsidP="00695412">
      <w:pPr>
        <w:spacing w:after="0" w:line="240" w:lineRule="auto"/>
        <w:ind w:left="33" w:right="14"/>
        <w:rPr>
          <w:szCs w:val="24"/>
        </w:rPr>
      </w:pPr>
      <w:r w:rsidRPr="007D778B">
        <w:rPr>
          <w:szCs w:val="24"/>
        </w:rPr>
        <w:t>г) Разлози за делимичну усклађеност, односно неусклађеност,</w:t>
      </w:r>
    </w:p>
    <w:p w14:paraId="14DFA2E3" w14:textId="77777777" w:rsidR="00AE18D9" w:rsidRPr="007D778B" w:rsidRDefault="00FD1A9A" w:rsidP="00695412">
      <w:pPr>
        <w:spacing w:after="18" w:line="228" w:lineRule="auto"/>
        <w:ind w:left="29" w:right="0" w:hanging="10"/>
        <w:rPr>
          <w:szCs w:val="24"/>
        </w:rPr>
      </w:pPr>
      <w:r w:rsidRPr="007D778B">
        <w:rPr>
          <w:szCs w:val="24"/>
        </w:rPr>
        <w:t>Нормативни садржај прописа је повезан са уредбом али се не врши транспоновање.</w:t>
      </w:r>
    </w:p>
    <w:p w14:paraId="6278A08D" w14:textId="77777777" w:rsidR="00AE18D9" w:rsidRPr="007D778B" w:rsidRDefault="00FD1A9A" w:rsidP="00695412">
      <w:pPr>
        <w:spacing w:after="282" w:line="228" w:lineRule="auto"/>
        <w:ind w:left="29" w:right="0" w:hanging="10"/>
        <w:rPr>
          <w:szCs w:val="24"/>
        </w:rPr>
      </w:pPr>
      <w:r w:rsidRPr="007D778B">
        <w:rPr>
          <w:szCs w:val="24"/>
        </w:rPr>
        <w:t>Према Националним програмом за усвајање правних тековина Европске уније предвиђено је усклађивање до 2025. године.</w:t>
      </w:r>
    </w:p>
    <w:p w14:paraId="48B42301" w14:textId="77777777" w:rsidR="00AE18D9" w:rsidRPr="007D778B" w:rsidRDefault="00FD1A9A" w:rsidP="00695412">
      <w:pPr>
        <w:spacing w:after="10"/>
        <w:ind w:left="33" w:right="10"/>
        <w:rPr>
          <w:szCs w:val="24"/>
        </w:rPr>
      </w:pPr>
      <w:r w:rsidRPr="007D778B">
        <w:rPr>
          <w:szCs w:val="24"/>
        </w:rPr>
        <w:t>д) Рок у којем је предвиђено постизање потпуне усклађености прописа са прописима Европске уније.</w:t>
      </w:r>
    </w:p>
    <w:p w14:paraId="41AFB8C7" w14:textId="77777777" w:rsidR="00AE18D9" w:rsidRPr="007D778B" w:rsidRDefault="00FD1A9A" w:rsidP="00695412">
      <w:pPr>
        <w:spacing w:after="234"/>
        <w:ind w:left="33" w:right="10"/>
        <w:rPr>
          <w:szCs w:val="24"/>
        </w:rPr>
      </w:pPr>
      <w:r w:rsidRPr="007D778B">
        <w:rPr>
          <w:szCs w:val="24"/>
        </w:rPr>
        <w:t>До краја 2025. године.</w:t>
      </w:r>
    </w:p>
    <w:p w14:paraId="0D5074DA" w14:textId="77777777" w:rsidR="00AE18D9" w:rsidRPr="007D778B" w:rsidRDefault="00FD1A9A" w:rsidP="00695412">
      <w:pPr>
        <w:numPr>
          <w:ilvl w:val="0"/>
          <w:numId w:val="2"/>
        </w:numPr>
        <w:spacing w:after="281"/>
        <w:ind w:right="62"/>
        <w:rPr>
          <w:szCs w:val="24"/>
        </w:rPr>
      </w:pPr>
      <w:r w:rsidRPr="007D778B">
        <w:rPr>
          <w:szCs w:val="24"/>
        </w:rPr>
        <w:t>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14:paraId="629F7867" w14:textId="77777777" w:rsidR="00AE18D9" w:rsidRDefault="00FD1A9A" w:rsidP="00695412">
      <w:pPr>
        <w:numPr>
          <w:ilvl w:val="0"/>
          <w:numId w:val="2"/>
        </w:numPr>
        <w:spacing w:after="0"/>
        <w:ind w:right="62"/>
        <w:rPr>
          <w:szCs w:val="24"/>
        </w:rPr>
      </w:pPr>
      <w:r w:rsidRPr="007D778B">
        <w:rPr>
          <w:szCs w:val="24"/>
        </w:rPr>
        <w:t>Да ли су претходно наведени извори права Европске уније преведени на српски језик?</w:t>
      </w:r>
    </w:p>
    <w:p w14:paraId="1ADB03E0" w14:textId="77777777" w:rsidR="002E6CFF" w:rsidRPr="007D778B" w:rsidRDefault="002E6CFF" w:rsidP="002E6CFF">
      <w:pPr>
        <w:spacing w:after="0"/>
        <w:ind w:left="33" w:right="62"/>
        <w:rPr>
          <w:szCs w:val="24"/>
        </w:rPr>
      </w:pPr>
    </w:p>
    <w:p w14:paraId="5F3076E6" w14:textId="77777777" w:rsidR="00AE18D9" w:rsidRPr="007D778B" w:rsidRDefault="002E6CFF" w:rsidP="002E6CFF">
      <w:pPr>
        <w:spacing w:after="185" w:line="259" w:lineRule="auto"/>
        <w:ind w:left="82" w:right="0" w:firstLine="638"/>
        <w:rPr>
          <w:szCs w:val="24"/>
        </w:rPr>
      </w:pPr>
      <w:r>
        <w:rPr>
          <w:szCs w:val="24"/>
          <w:lang w:val="sr-Cyrl-BA"/>
        </w:rPr>
        <w:t>Д</w:t>
      </w:r>
      <w:r>
        <w:rPr>
          <w:szCs w:val="24"/>
        </w:rPr>
        <w:t>а</w:t>
      </w:r>
    </w:p>
    <w:p w14:paraId="614E3D2E" w14:textId="77777777" w:rsidR="00A6213E" w:rsidRPr="007D778B" w:rsidRDefault="00FD1A9A" w:rsidP="00695412">
      <w:pPr>
        <w:numPr>
          <w:ilvl w:val="0"/>
          <w:numId w:val="2"/>
        </w:numPr>
        <w:spacing w:after="234"/>
        <w:ind w:right="62"/>
        <w:rPr>
          <w:szCs w:val="24"/>
        </w:rPr>
      </w:pPr>
      <w:r w:rsidRPr="007D778B">
        <w:rPr>
          <w:szCs w:val="24"/>
        </w:rPr>
        <w:t xml:space="preserve">Да ли је пропис преведен на неки службени језик Европске уније? </w:t>
      </w:r>
    </w:p>
    <w:p w14:paraId="118DEF92" w14:textId="77777777" w:rsidR="00AE18D9" w:rsidRPr="007D778B" w:rsidRDefault="00A6213E" w:rsidP="00695412">
      <w:pPr>
        <w:spacing w:after="234"/>
        <w:ind w:left="33" w:right="62" w:firstLine="687"/>
        <w:rPr>
          <w:szCs w:val="24"/>
        </w:rPr>
      </w:pPr>
      <w:r w:rsidRPr="007D778B">
        <w:rPr>
          <w:szCs w:val="24"/>
          <w:lang w:val="sr-Cyrl-RS"/>
        </w:rPr>
        <w:t>Н</w:t>
      </w:r>
      <w:r w:rsidRPr="007D778B">
        <w:rPr>
          <w:szCs w:val="24"/>
        </w:rPr>
        <w:t>е</w:t>
      </w:r>
    </w:p>
    <w:p w14:paraId="0D2C700F" w14:textId="77777777" w:rsidR="00AE18D9" w:rsidRPr="007D778B" w:rsidRDefault="00FD1A9A" w:rsidP="00695412">
      <w:pPr>
        <w:numPr>
          <w:ilvl w:val="0"/>
          <w:numId w:val="2"/>
        </w:numPr>
        <w:spacing w:after="10"/>
        <w:ind w:right="62"/>
        <w:rPr>
          <w:szCs w:val="24"/>
        </w:rPr>
      </w:pPr>
      <w:r w:rsidRPr="007D778B">
        <w:rPr>
          <w:szCs w:val="24"/>
        </w:rPr>
        <w:t>Сарадња са Европском унијом и учешће консултаната у изради прописа и њихово мишљење о усклађености.</w:t>
      </w:r>
    </w:p>
    <w:p w14:paraId="7CD3B5E1" w14:textId="77777777" w:rsidR="00A6213E" w:rsidRPr="007D778B" w:rsidRDefault="00A6213E" w:rsidP="002E6CFF">
      <w:pPr>
        <w:spacing w:after="10"/>
        <w:ind w:left="33" w:right="62"/>
        <w:rPr>
          <w:szCs w:val="24"/>
        </w:rPr>
      </w:pPr>
    </w:p>
    <w:p w14:paraId="60F56F0C" w14:textId="77777777" w:rsidR="00AE18D9" w:rsidRPr="007D778B" w:rsidRDefault="00FD1A9A" w:rsidP="00695412">
      <w:pPr>
        <w:spacing w:after="246" w:line="228" w:lineRule="auto"/>
        <w:ind w:left="116" w:right="0" w:hanging="10"/>
        <w:rPr>
          <w:szCs w:val="24"/>
        </w:rPr>
      </w:pPr>
      <w:r w:rsidRPr="007D778B">
        <w:rPr>
          <w:szCs w:val="24"/>
        </w:rPr>
        <w:t>Нису вршене неформалне консултације са ЕК</w:t>
      </w:r>
    </w:p>
    <w:p w14:paraId="42B2185E" w14:textId="77777777" w:rsidR="00AE18D9" w:rsidRPr="007D778B" w:rsidRDefault="00AE18D9" w:rsidP="00695412">
      <w:pPr>
        <w:spacing w:after="353" w:line="259" w:lineRule="auto"/>
        <w:ind w:left="10" w:right="14" w:hanging="10"/>
        <w:rPr>
          <w:szCs w:val="24"/>
        </w:rPr>
      </w:pPr>
    </w:p>
    <w:sectPr w:rsidR="00AE18D9" w:rsidRPr="007D778B" w:rsidSect="00695412">
      <w:headerReference w:type="default" r:id="rId9"/>
      <w:pgSz w:w="11907" w:h="16840" w:code="9"/>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2670D" w14:textId="77777777" w:rsidR="00DA3BDE" w:rsidRDefault="00DA3BDE" w:rsidP="00A6213E">
      <w:pPr>
        <w:spacing w:after="0" w:line="240" w:lineRule="auto"/>
      </w:pPr>
      <w:r>
        <w:separator/>
      </w:r>
    </w:p>
  </w:endnote>
  <w:endnote w:type="continuationSeparator" w:id="0">
    <w:p w14:paraId="4A05A239" w14:textId="77777777" w:rsidR="00DA3BDE" w:rsidRDefault="00DA3BDE" w:rsidP="00A62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46A0A" w14:textId="77777777" w:rsidR="00DA3BDE" w:rsidRDefault="00DA3BDE" w:rsidP="00A6213E">
      <w:pPr>
        <w:spacing w:after="0" w:line="240" w:lineRule="auto"/>
      </w:pPr>
      <w:r>
        <w:separator/>
      </w:r>
    </w:p>
  </w:footnote>
  <w:footnote w:type="continuationSeparator" w:id="0">
    <w:p w14:paraId="7D915C4A" w14:textId="77777777" w:rsidR="00DA3BDE" w:rsidRDefault="00DA3BDE" w:rsidP="00A621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008303"/>
      <w:docPartObj>
        <w:docPartGallery w:val="Page Numbers (Top of Page)"/>
        <w:docPartUnique/>
      </w:docPartObj>
    </w:sdtPr>
    <w:sdtEndPr>
      <w:rPr>
        <w:noProof/>
      </w:rPr>
    </w:sdtEndPr>
    <w:sdtContent>
      <w:p w14:paraId="37B48469" w14:textId="77777777" w:rsidR="00A6213E" w:rsidRDefault="00A6213E">
        <w:pPr>
          <w:pStyle w:val="Header"/>
          <w:jc w:val="center"/>
        </w:pPr>
        <w:r>
          <w:fldChar w:fldCharType="begin"/>
        </w:r>
        <w:r>
          <w:instrText xml:space="preserve"> PAGE   \* MERGEFORMAT </w:instrText>
        </w:r>
        <w:r>
          <w:fldChar w:fldCharType="separate"/>
        </w:r>
        <w:r w:rsidR="002E6CFF">
          <w:rPr>
            <w:noProof/>
          </w:rPr>
          <w:t>2</w:t>
        </w:r>
        <w:r>
          <w:rPr>
            <w:noProof/>
          </w:rPr>
          <w:fldChar w:fldCharType="end"/>
        </w:r>
      </w:p>
    </w:sdtContent>
  </w:sdt>
  <w:p w14:paraId="23487E39" w14:textId="77777777" w:rsidR="00A6213E" w:rsidRDefault="00A621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530BE1"/>
    <w:multiLevelType w:val="hybridMultilevel"/>
    <w:tmpl w:val="F3128D4E"/>
    <w:lvl w:ilvl="0" w:tplc="62D4C628">
      <w:start w:val="5"/>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50601EA">
      <w:start w:val="1"/>
      <w:numFmt w:val="lowerLetter"/>
      <w:lvlText w:val="%2"/>
      <w:lvlJc w:val="left"/>
      <w:pPr>
        <w:ind w:left="1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DD49BDA">
      <w:start w:val="1"/>
      <w:numFmt w:val="lowerRoman"/>
      <w:lvlText w:val="%3"/>
      <w:lvlJc w:val="left"/>
      <w:pPr>
        <w:ind w:left="1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246F09A">
      <w:start w:val="1"/>
      <w:numFmt w:val="decimal"/>
      <w:lvlText w:val="%4"/>
      <w:lvlJc w:val="left"/>
      <w:pPr>
        <w:ind w:left="2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164436">
      <w:start w:val="1"/>
      <w:numFmt w:val="lowerLetter"/>
      <w:lvlText w:val="%5"/>
      <w:lvlJc w:val="left"/>
      <w:pPr>
        <w:ind w:left="3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B41AB0">
      <w:start w:val="1"/>
      <w:numFmt w:val="lowerRoman"/>
      <w:lvlText w:val="%6"/>
      <w:lvlJc w:val="left"/>
      <w:pPr>
        <w:ind w:left="4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45AB58C">
      <w:start w:val="1"/>
      <w:numFmt w:val="decimal"/>
      <w:lvlText w:val="%7"/>
      <w:lvlJc w:val="left"/>
      <w:pPr>
        <w:ind w:left="4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DFC9DCE">
      <w:start w:val="1"/>
      <w:numFmt w:val="lowerLetter"/>
      <w:lvlText w:val="%8"/>
      <w:lvlJc w:val="left"/>
      <w:pPr>
        <w:ind w:left="5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18344E">
      <w:start w:val="1"/>
      <w:numFmt w:val="lowerRoman"/>
      <w:lvlText w:val="%9"/>
      <w:lvlJc w:val="left"/>
      <w:pPr>
        <w:ind w:left="6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7880D31"/>
    <w:multiLevelType w:val="hybridMultilevel"/>
    <w:tmpl w:val="954E3668"/>
    <w:lvl w:ilvl="0" w:tplc="C6900C5A">
      <w:start w:val="1"/>
      <w:numFmt w:val="decimal"/>
      <w:lvlText w:val="%1."/>
      <w:lvlJc w:val="left"/>
      <w:pPr>
        <w:ind w:left="2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7CAEECA">
      <w:start w:val="1"/>
      <w:numFmt w:val="lowerLetter"/>
      <w:lvlText w:val="%2"/>
      <w:lvlJc w:val="left"/>
      <w:pPr>
        <w:ind w:left="10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39AE978">
      <w:start w:val="1"/>
      <w:numFmt w:val="lowerRoman"/>
      <w:lvlText w:val="%3"/>
      <w:lvlJc w:val="left"/>
      <w:pPr>
        <w:ind w:left="18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3C66D62">
      <w:start w:val="1"/>
      <w:numFmt w:val="decimal"/>
      <w:lvlText w:val="%4"/>
      <w:lvlJc w:val="left"/>
      <w:pPr>
        <w:ind w:left="25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BD6535C">
      <w:start w:val="1"/>
      <w:numFmt w:val="lowerLetter"/>
      <w:lvlText w:val="%5"/>
      <w:lvlJc w:val="left"/>
      <w:pPr>
        <w:ind w:left="32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778E88C">
      <w:start w:val="1"/>
      <w:numFmt w:val="lowerRoman"/>
      <w:lvlText w:val="%6"/>
      <w:lvlJc w:val="left"/>
      <w:pPr>
        <w:ind w:left="39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2689DE0">
      <w:start w:val="1"/>
      <w:numFmt w:val="decimal"/>
      <w:lvlText w:val="%7"/>
      <w:lvlJc w:val="left"/>
      <w:pPr>
        <w:ind w:left="46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784F338">
      <w:start w:val="1"/>
      <w:numFmt w:val="lowerLetter"/>
      <w:lvlText w:val="%8"/>
      <w:lvlJc w:val="left"/>
      <w:pPr>
        <w:ind w:left="54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B6EBC2E">
      <w:start w:val="1"/>
      <w:numFmt w:val="lowerRoman"/>
      <w:lvlText w:val="%9"/>
      <w:lvlJc w:val="left"/>
      <w:pPr>
        <w:ind w:left="61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16cid:durableId="1797601077">
    <w:abstractNumId w:val="1"/>
  </w:num>
  <w:num w:numId="2" w16cid:durableId="824514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8D9"/>
    <w:rsid w:val="002E6CFF"/>
    <w:rsid w:val="00480978"/>
    <w:rsid w:val="00695412"/>
    <w:rsid w:val="007D778B"/>
    <w:rsid w:val="00925885"/>
    <w:rsid w:val="00A6213E"/>
    <w:rsid w:val="00AE18D9"/>
    <w:rsid w:val="00DA3BDE"/>
    <w:rsid w:val="00ED0A43"/>
    <w:rsid w:val="00FD1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ED447F"/>
  <w15:docId w15:val="{8DFD8F91-E6C4-41F9-AAF0-103F92A48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1" w:line="248" w:lineRule="auto"/>
      <w:ind w:right="293"/>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21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213E"/>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A621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213E"/>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61F9B-B040-4993-9AA4-5C935B8F3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cp:lastModifiedBy>Ivana Vojinović</cp:lastModifiedBy>
  <cp:revision>2</cp:revision>
  <dcterms:created xsi:type="dcterms:W3CDTF">2023-05-22T09:34:00Z</dcterms:created>
  <dcterms:modified xsi:type="dcterms:W3CDTF">2023-05-22T09:34:00Z</dcterms:modified>
</cp:coreProperties>
</file>