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D39" w:rsidRPr="00A42D4F" w:rsidRDefault="00B75D39" w:rsidP="00B75D39">
      <w:pPr>
        <w:tabs>
          <w:tab w:val="clear" w:pos="1440"/>
        </w:tabs>
        <w:spacing w:before="120"/>
        <w:jc w:val="center"/>
        <w:rPr>
          <w:b/>
          <w:szCs w:val="24"/>
        </w:rPr>
      </w:pPr>
      <w:r w:rsidRPr="00A42D4F">
        <w:rPr>
          <w:b/>
          <w:szCs w:val="24"/>
        </w:rPr>
        <w:t>О Б Р А З Л О Ж Е Њ Е</w:t>
      </w:r>
    </w:p>
    <w:p w:rsidR="00B75D39" w:rsidRPr="00A42D4F" w:rsidRDefault="003223A3" w:rsidP="00FA0011">
      <w:pPr>
        <w:tabs>
          <w:tab w:val="clear" w:pos="1440"/>
        </w:tabs>
        <w:spacing w:before="120"/>
        <w:jc w:val="left"/>
        <w:rPr>
          <w:b/>
          <w:szCs w:val="24"/>
        </w:rPr>
      </w:pPr>
      <w:r w:rsidRPr="00A42D4F">
        <w:rPr>
          <w:b/>
          <w:szCs w:val="24"/>
        </w:rPr>
        <w:t>I. УСТАВНИ ОСНОВ</w:t>
      </w:r>
    </w:p>
    <w:p w:rsidR="00B75D39" w:rsidRPr="00A42D4F" w:rsidRDefault="00B75D39" w:rsidP="00B75D39">
      <w:pPr>
        <w:tabs>
          <w:tab w:val="clear" w:pos="1440"/>
          <w:tab w:val="left" w:pos="720"/>
        </w:tabs>
        <w:spacing w:before="120"/>
        <w:rPr>
          <w:szCs w:val="24"/>
        </w:rPr>
      </w:pPr>
      <w:r w:rsidRPr="00A42D4F">
        <w:rPr>
          <w:color w:val="000000"/>
          <w:szCs w:val="24"/>
        </w:rPr>
        <w:tab/>
        <w:t xml:space="preserve">Уставни основ за доношење </w:t>
      </w:r>
      <w:r w:rsidR="000B5307" w:rsidRPr="00A42D4F">
        <w:rPr>
          <w:color w:val="000000"/>
          <w:szCs w:val="24"/>
        </w:rPr>
        <w:t>овог з</w:t>
      </w:r>
      <w:r w:rsidRPr="00A42D4F">
        <w:rPr>
          <w:color w:val="000000"/>
          <w:szCs w:val="24"/>
        </w:rPr>
        <w:t>акона садржан је у члану 97. тачка</w:t>
      </w:r>
      <w:r w:rsidRPr="00A42D4F">
        <w:rPr>
          <w:szCs w:val="24"/>
        </w:rPr>
        <w:t xml:space="preserve"> 12.</w:t>
      </w:r>
      <w:r w:rsidRPr="00A42D4F">
        <w:rPr>
          <w:color w:val="000000"/>
          <w:szCs w:val="24"/>
        </w:rPr>
        <w:t xml:space="preserve"> Устава Републике Србије, којим се утврђује да Република Србија</w:t>
      </w:r>
      <w:r w:rsidR="006C740D" w:rsidRPr="00A42D4F">
        <w:rPr>
          <w:color w:val="000000"/>
          <w:szCs w:val="24"/>
        </w:rPr>
        <w:t>,</w:t>
      </w:r>
      <w:r w:rsidRPr="00A42D4F">
        <w:rPr>
          <w:color w:val="000000"/>
          <w:szCs w:val="24"/>
        </w:rPr>
        <w:t xml:space="preserve"> између осталог, уређује </w:t>
      </w:r>
      <w:r w:rsidRPr="00A42D4F">
        <w:t>и организацију и коришћење простора</w:t>
      </w:r>
      <w:r w:rsidRPr="00A42D4F">
        <w:rPr>
          <w:szCs w:val="24"/>
        </w:rPr>
        <w:t>.</w:t>
      </w:r>
    </w:p>
    <w:p w:rsidR="0099336B" w:rsidRPr="00A42D4F" w:rsidRDefault="003223A3" w:rsidP="0099336B">
      <w:pPr>
        <w:tabs>
          <w:tab w:val="clear" w:pos="1440"/>
        </w:tabs>
        <w:spacing w:before="120"/>
        <w:rPr>
          <w:b/>
          <w:szCs w:val="24"/>
        </w:rPr>
      </w:pPr>
      <w:r w:rsidRPr="00A42D4F">
        <w:rPr>
          <w:b/>
          <w:szCs w:val="24"/>
        </w:rPr>
        <w:t>II. РАЗЛОЗИ ЗА ДОНОШЕЊЕ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 Реализација Пројекта изградње станова за припаднике служба безбедности започета је усвајањем Закона о посебним условима за реализацију пројекта изградње станова за припаднике снага безбедности у мају месецу 2018. године. Сви уговори за извођење радова били су типа „кључ у руке</w:t>
      </w:r>
      <w:r w:rsidR="00A42D4F">
        <w:rPr>
          <w:lang w:val="sr-Cyrl-RS"/>
        </w:rPr>
        <w:t>”</w:t>
      </w:r>
      <w:r w:rsidRPr="00A42D4F">
        <w:t xml:space="preserve"> у складу са одредбама предметног закона, и отпочели са реализацијом од фебруара месеца 2019. године.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 У овом тренутку реализација пројекта IА и IБ фазе је 99%, док је кумулативно са до сада уговореним радовима и из II фазе реализација 97% укупног обима посла. Обухват уговорених радова је изградња 5.953 стамбене јединице, од тога је изграђено 5.267 станова и у изградњи је 686 стамбених јединица.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 Током реализације пројекта настале су околности које су могле негативно утицати на успешност реализације целокупног пројекта. Како би предупредили негативне ефекте и  успешно управљали ризицима који се у старту нису могли предвидети, вршене су измене Закона, како би се створио законски оквир за континуирани наставак реализације пројекта који је од значаја за Републику Србију. 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 Главне одредбе измена Закона везане за изградњу објеката односиле су се на: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>- могућност измене типа уговора за извођење радова, чиме су смањени ризици Извођача радова приликом калкулисања укупно понуђене цене извођења радова и створен законски оквир за повећање укупно уговорене цене извођ</w:t>
      </w:r>
      <w:r w:rsidR="00A42D4F">
        <w:rPr>
          <w:lang w:val="sr-Cyrl-RS"/>
        </w:rPr>
        <w:t>е</w:t>
      </w:r>
      <w:r w:rsidRPr="00A42D4F">
        <w:t>ња радова у односу на реалне околности и услове изградње објеката у уговореном року за извршење посла.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>- повећање цене грађења објеката по m² бруто грађевинске површине по SRPS U.C2.100:2002, чиме је редефинисана цена грађења овог типа објеката на бази тржишних кретања у тренутку доношења измене Закона.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У посматраном временском оквиру од почетка изградње објеката (фебруар 2019. године) до сада (март 2023. године) према доступним подацима Републичког завода за статистику, инфлаторна кретања могу се поделити на два периода. 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Први посматрани период, од фебруара 2019. до децембра 2020. године,  односи се на благи раст инфлације и умерено повећање цене рада номинално. Остварена годишња инфлација мерена индексом потрошачких цена у 2019. години је 1,7%, а 2020. године 1,6%. Наведени параметри су предвидивог карактера и може се сматрати да су укалкулисани приликом сачињавања понуде за временски период трајања уговора.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 Други период, од јануар</w:t>
      </w:r>
      <w:r w:rsidR="00572A70">
        <w:rPr>
          <w:lang w:val="sr-Cyrl-RS"/>
        </w:rPr>
        <w:t>а</w:t>
      </w:r>
      <w:r w:rsidRPr="00A42D4F">
        <w:t xml:space="preserve"> 2021. године до данас (март 2023. године) обележен је великим инфлаторним притиском, динамичним номиналним растом зарада, повећаним трошковима финансирања, отежаним условима набавке потребних материјала и опреме, немогућност сагледавања ризика посла извођача радова и повећаним ризицима целокупног пословања. Према доступним подацима РЗС у категоријама које непосредно утичу на цену изградње објеката, елементи и материјали за уграђивање у грађевинарству, просечне бруто зараде – грађевинарство</w:t>
      </w:r>
      <w:r w:rsidR="00A42D4F">
        <w:rPr>
          <w:lang w:val="sr-Cyrl-RS"/>
        </w:rPr>
        <w:t xml:space="preserve"> </w:t>
      </w:r>
      <w:r w:rsidRPr="00A42D4F">
        <w:t>-</w:t>
      </w:r>
      <w:r w:rsidR="00A42D4F">
        <w:rPr>
          <w:lang w:val="sr-Cyrl-RS"/>
        </w:rPr>
        <w:t xml:space="preserve"> </w:t>
      </w:r>
      <w:r w:rsidRPr="00A42D4F">
        <w:t>изградња зграда и течна горива и мазива, имају промену цене од 33,6%, 26,4%, 167,7% респективно кум</w:t>
      </w:r>
      <w:r w:rsidR="00A42D4F">
        <w:rPr>
          <w:lang w:val="sr-Cyrl-RS"/>
        </w:rPr>
        <w:t>у</w:t>
      </w:r>
      <w:r w:rsidRPr="00A42D4F">
        <w:t xml:space="preserve">лативно за посматрани период од децембра 2022. године. Како наведене категорије процентуално различито утичу на формирање цене грађења изводи се закључак да је кумулативна разлика у цени изградње овог типа објеката за тражени квалитет, за посматрани период 40,8% (елементи и материјали за уграђивање у грађевинарству 55%, </w:t>
      </w:r>
      <w:r w:rsidRPr="00A42D4F">
        <w:lastRenderedPageBreak/>
        <w:t>просечне бруто зараде – грађевинарство</w:t>
      </w:r>
      <w:r w:rsidR="00A42D4F">
        <w:rPr>
          <w:lang w:val="sr-Cyrl-RS"/>
        </w:rPr>
        <w:t xml:space="preserve"> </w:t>
      </w:r>
      <w:r w:rsidRPr="00A42D4F">
        <w:t>-</w:t>
      </w:r>
      <w:r w:rsidR="00A42D4F">
        <w:rPr>
          <w:lang w:val="sr-Cyrl-RS"/>
        </w:rPr>
        <w:t xml:space="preserve"> </w:t>
      </w:r>
      <w:r w:rsidRPr="00A42D4F">
        <w:t xml:space="preserve">изградња зграда 40% и течна горива и мазива 5%). </w:t>
      </w:r>
    </w:p>
    <w:p w:rsidR="00D601F1" w:rsidRPr="00A42D4F" w:rsidRDefault="00D601F1" w:rsidP="00A42D4F">
      <w:pPr>
        <w:tabs>
          <w:tab w:val="left" w:pos="709"/>
        </w:tabs>
        <w:spacing w:before="0" w:after="0"/>
      </w:pPr>
      <w:r w:rsidRPr="00A42D4F">
        <w:t xml:space="preserve">          Од момента усвајања Закона о посебним условима за реализацију </w:t>
      </w:r>
      <w:r w:rsidR="00572A70" w:rsidRPr="00A42D4F">
        <w:t xml:space="preserve">пројекта </w:t>
      </w:r>
      <w:r w:rsidRPr="00A42D4F">
        <w:t>изградње станова за припаднике снага безбедности (мај 2018.) и отпочињања реализације Пројекта (фебруар 2019.) ванредна дешавања као што су пандемија Ковида</w:t>
      </w:r>
      <w:r w:rsidR="00A42D4F">
        <w:rPr>
          <w:lang w:val="sr-Cyrl-RS"/>
        </w:rPr>
        <w:t xml:space="preserve"> </w:t>
      </w:r>
      <w:r w:rsidRPr="00A42D4F">
        <w:t>19, рат у Украјини, криза са енергентима итд. имала су за последицу озбиљан поремећај светске привреде а самим тим и привреде у Републици Србији.</w:t>
      </w:r>
    </w:p>
    <w:p w:rsidR="00D601F1" w:rsidRPr="00A42D4F" w:rsidRDefault="00D601F1" w:rsidP="00A42D4F">
      <w:pPr>
        <w:tabs>
          <w:tab w:val="left" w:pos="709"/>
        </w:tabs>
        <w:spacing w:before="0" w:after="0"/>
      </w:pPr>
      <w:r w:rsidRPr="00A42D4F">
        <w:t xml:space="preserve">          С обзиром на одредбе Закона о посебним условима за реализацију пројекта изградње станова за припаднике снага безбедности, који дефинише да средства за израду техничке документације, изградњу стамбених зграда за колективно становање и изградњу комуналне и остале инфраструктуре унутар стамбеног комплекса  обезбеђује и финансира Република Србија, уважавајући регулисање пројектованог/предвиђеног ГАП-а средствима из </w:t>
      </w:r>
      <w:r w:rsidR="00A42D4F" w:rsidRPr="00A42D4F">
        <w:t xml:space="preserve">буџета </w:t>
      </w:r>
      <w:r w:rsidRPr="00A42D4F">
        <w:t>РС, одобрено повећање вредности изведених радова, наведене поремећаје на тржишту, анализиране услове и ризике, званичне индексе инфлације НБС, најављени раст зарада запослених, значајно повећање цена финансирања и најављеног инфлаторног притиска, као реалну последицу треба да има потребу за променом купопродајних цена станова у наредном периоду, као реалног вида санирања повећаних трошкова у реализацији Пројекта ССБ.</w:t>
      </w:r>
    </w:p>
    <w:p w:rsidR="00D601F1" w:rsidRPr="00A42D4F" w:rsidRDefault="00A42D4F" w:rsidP="00A42D4F">
      <w:pPr>
        <w:tabs>
          <w:tab w:val="left" w:pos="709"/>
        </w:tabs>
        <w:spacing w:before="0" w:after="0"/>
      </w:pPr>
      <w:r>
        <w:tab/>
      </w:r>
      <w:r w:rsidR="00D601F1" w:rsidRPr="00A42D4F">
        <w:t>У том смислу неопходно је извршити свеобухватну корекцију укупних трошкова који се односе на реализацију Пројекта ССБ а самим тим и корекцију купопродајних цена станова, која би у сваком случају била нижа од цене која влада на тржишту, како би се GAP задржао у оквирима прихватљивог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Ради ублажавања негативних утицаја на цене набавке материјала и опреме и извођења радова са Извршиоцима из IБ фазе реализације, у новембру 2021. године, потписани су анекси уговора којима је дефинисано повећање укупно уговорене цене радова за 9% за реализацију од 1.</w:t>
      </w:r>
      <w:r w:rsidR="00572A70">
        <w:rPr>
          <w:lang w:val="sr-Cyrl-RS"/>
        </w:rPr>
        <w:t xml:space="preserve"> јануара </w:t>
      </w:r>
      <w:r w:rsidRPr="00A42D4F">
        <w:t>2021. године до уговореног рока за извођ</w:t>
      </w:r>
      <w:r w:rsidR="00A42D4F">
        <w:rPr>
          <w:lang w:val="sr-Cyrl-RS"/>
        </w:rPr>
        <w:t>е</w:t>
      </w:r>
      <w:r w:rsidRPr="00A42D4F">
        <w:t xml:space="preserve">ње.  </w:t>
      </w:r>
    </w:p>
    <w:p w:rsidR="00C61778" w:rsidRPr="00A42D4F" w:rsidRDefault="00C61778" w:rsidP="00A42D4F">
      <w:pPr>
        <w:tabs>
          <w:tab w:val="left" w:pos="709"/>
        </w:tabs>
        <w:spacing w:before="0" w:after="0"/>
      </w:pPr>
      <w:r w:rsidRPr="00A42D4F">
        <w:t xml:space="preserve">          Сви наведени и анализирани фактори и ризици, пројектовани индекси инфлације НБС, најављени динамични раст зарада Владе </w:t>
      </w:r>
      <w:r w:rsidR="00572A70" w:rsidRPr="00A42D4F">
        <w:t xml:space="preserve">Републике </w:t>
      </w:r>
      <w:r w:rsidRPr="00A42D4F">
        <w:t>Србије, представља основ за формирање цене и</w:t>
      </w:r>
      <w:r w:rsidR="00A42D4F">
        <w:rPr>
          <w:lang w:val="sr-Cyrl-RS"/>
        </w:rPr>
        <w:t>з</w:t>
      </w:r>
      <w:r w:rsidRPr="00A42D4F">
        <w:t>градње објеката у наредном периоду.</w:t>
      </w:r>
    </w:p>
    <w:p w:rsidR="00C61778" w:rsidRPr="00A42D4F" w:rsidRDefault="00C61778" w:rsidP="00A42D4F">
      <w:pPr>
        <w:tabs>
          <w:tab w:val="left" w:pos="709"/>
        </w:tabs>
        <w:spacing w:before="0" w:after="0"/>
        <w:rPr>
          <w:color w:val="000000"/>
        </w:rPr>
      </w:pPr>
      <w:r w:rsidRPr="00A42D4F">
        <w:t xml:space="preserve">          Цена изградње објеката по m² стамбене јединице представља један о главних елемената формирања укупног економског сагледавања реализације предметног пројекта.  Као таква може значајно одступати од дефинисаних оквира, чиме може бити угрожен наставак планиране реализације Пројекта. </w:t>
      </w:r>
      <w:r w:rsidR="00D546A3" w:rsidRPr="00A42D4F">
        <w:rPr>
          <w:color w:val="000000"/>
        </w:rPr>
        <w:t xml:space="preserve">         </w:t>
      </w:r>
    </w:p>
    <w:p w:rsidR="00D546A3" w:rsidRPr="00A42D4F" w:rsidRDefault="00D546A3" w:rsidP="00A42D4F">
      <w:pPr>
        <w:tabs>
          <w:tab w:val="left" w:pos="709"/>
        </w:tabs>
        <w:spacing w:before="120"/>
        <w:rPr>
          <w:color w:val="000000"/>
        </w:rPr>
      </w:pPr>
      <w:r w:rsidRPr="00A42D4F">
        <w:rPr>
          <w:color w:val="000000"/>
        </w:rPr>
        <w:t xml:space="preserve">   </w:t>
      </w:r>
    </w:p>
    <w:p w:rsidR="00B75D39" w:rsidRPr="00A42D4F" w:rsidRDefault="003223A3" w:rsidP="00A42D4F">
      <w:pPr>
        <w:tabs>
          <w:tab w:val="clear" w:pos="1440"/>
          <w:tab w:val="left" w:pos="709"/>
        </w:tabs>
        <w:spacing w:before="120"/>
        <w:rPr>
          <w:b/>
          <w:szCs w:val="24"/>
        </w:rPr>
      </w:pPr>
      <w:r w:rsidRPr="00A42D4F">
        <w:rPr>
          <w:b/>
          <w:szCs w:val="24"/>
        </w:rPr>
        <w:t>III. ОБЈАШЊЕЊЕ ОСНОВНИХ ПРАВНИХ ИНСТИТУТА И ПОЈЕДИНАЧНИХ РЕШЕЊА</w:t>
      </w:r>
      <w:r w:rsidRPr="00A42D4F">
        <w:rPr>
          <w:szCs w:val="24"/>
        </w:rPr>
        <w:t xml:space="preserve"> </w:t>
      </w:r>
    </w:p>
    <w:p w:rsidR="00B1711A" w:rsidRPr="00A42D4F" w:rsidRDefault="00B1711A" w:rsidP="00A42D4F">
      <w:pPr>
        <w:tabs>
          <w:tab w:val="left" w:pos="709"/>
        </w:tabs>
        <w:spacing w:before="0" w:after="0"/>
        <w:rPr>
          <w:b/>
          <w:bCs/>
        </w:rPr>
      </w:pPr>
      <w:r w:rsidRPr="00A42D4F">
        <w:t xml:space="preserve">            </w:t>
      </w:r>
      <w:r w:rsidR="00801734" w:rsidRPr="00A42D4F">
        <w:t xml:space="preserve"> </w:t>
      </w:r>
      <w:r w:rsidR="00571A71" w:rsidRPr="00A42D4F">
        <w:t xml:space="preserve">Чланом 1. </w:t>
      </w:r>
      <w:r w:rsidR="00A42D4F">
        <w:rPr>
          <w:lang w:val="sr-Cyrl-RS"/>
        </w:rPr>
        <w:t>Предлога</w:t>
      </w:r>
      <w:r w:rsidR="002320F9" w:rsidRPr="00A42D4F">
        <w:t xml:space="preserve"> </w:t>
      </w:r>
      <w:r w:rsidR="00B02688" w:rsidRPr="00A42D4F">
        <w:t>з</w:t>
      </w:r>
      <w:r w:rsidR="00571A71" w:rsidRPr="00A42D4F">
        <w:t>акона</w:t>
      </w:r>
      <w:r w:rsidR="00C61778" w:rsidRPr="00A42D4F">
        <w:t xml:space="preserve"> прописана је измена члана 10. став 5. Закона, из разлога наведених у тачки II. образложења.</w:t>
      </w:r>
    </w:p>
    <w:p w:rsidR="00801734" w:rsidRPr="00A42D4F" w:rsidRDefault="00B1711A" w:rsidP="00A42D4F">
      <w:pPr>
        <w:tabs>
          <w:tab w:val="left" w:pos="709"/>
        </w:tabs>
        <w:spacing w:before="0" w:after="0"/>
      </w:pPr>
      <w:r w:rsidRPr="00A42D4F">
        <w:t xml:space="preserve">             </w:t>
      </w:r>
      <w:r w:rsidR="00571A71" w:rsidRPr="00A42D4F">
        <w:t xml:space="preserve">Чланом 2. </w:t>
      </w:r>
      <w:r w:rsidR="00A42D4F">
        <w:rPr>
          <w:lang w:val="sr-Cyrl-RS"/>
        </w:rPr>
        <w:t>Предлога</w:t>
      </w:r>
      <w:r w:rsidR="00801734" w:rsidRPr="00A42D4F">
        <w:t xml:space="preserve"> закона</w:t>
      </w:r>
      <w:r w:rsidR="00C61778" w:rsidRPr="00A42D4F">
        <w:t xml:space="preserve"> прописано је </w:t>
      </w:r>
      <w:r w:rsidR="00C61778" w:rsidRPr="00A42D4F">
        <w:rPr>
          <w:bCs/>
          <w:szCs w:val="24"/>
          <w:lang w:eastAsia="sr-Latn-BA"/>
        </w:rPr>
        <w:t>поступци покренути до дана ступања на снагу овог закона окончаће се по одредбама овог закона</w:t>
      </w:r>
    </w:p>
    <w:p w:rsidR="00801734" w:rsidRPr="00A42D4F" w:rsidRDefault="0070774A" w:rsidP="00A42D4F">
      <w:pPr>
        <w:tabs>
          <w:tab w:val="left" w:pos="709"/>
        </w:tabs>
        <w:spacing w:before="0" w:after="0"/>
      </w:pPr>
      <w:r w:rsidRPr="00A42D4F">
        <w:t xml:space="preserve">             </w:t>
      </w:r>
      <w:r w:rsidR="00571A71" w:rsidRPr="00A42D4F">
        <w:t>Чла</w:t>
      </w:r>
      <w:r w:rsidR="00B1711A" w:rsidRPr="00A42D4F">
        <w:t>н</w:t>
      </w:r>
      <w:r w:rsidR="00571A71" w:rsidRPr="00A42D4F">
        <w:t xml:space="preserve">ом 3. </w:t>
      </w:r>
      <w:r w:rsidR="00A42D4F">
        <w:rPr>
          <w:lang w:val="sr-Cyrl-RS"/>
        </w:rPr>
        <w:t>Предлога</w:t>
      </w:r>
      <w:r w:rsidR="00801734" w:rsidRPr="00A42D4F">
        <w:t xml:space="preserve"> закона</w:t>
      </w:r>
      <w:r w:rsidR="00C61778" w:rsidRPr="00A42D4F">
        <w:t xml:space="preserve"> прописано је ступање на снагу закона.</w:t>
      </w:r>
    </w:p>
    <w:p w:rsidR="00BF746A" w:rsidRPr="00A42D4F" w:rsidRDefault="0070774A" w:rsidP="00A42D4F">
      <w:pPr>
        <w:tabs>
          <w:tab w:val="left" w:pos="709"/>
        </w:tabs>
        <w:spacing w:before="0" w:after="0"/>
      </w:pPr>
      <w:r w:rsidRPr="00A42D4F">
        <w:t xml:space="preserve">             </w:t>
      </w:r>
    </w:p>
    <w:p w:rsidR="00372562" w:rsidRPr="00A42D4F" w:rsidRDefault="003223A3" w:rsidP="00A42D4F">
      <w:pPr>
        <w:tabs>
          <w:tab w:val="left" w:pos="709"/>
        </w:tabs>
        <w:rPr>
          <w:b/>
        </w:rPr>
      </w:pPr>
      <w:r w:rsidRPr="00A42D4F">
        <w:rPr>
          <w:b/>
        </w:rPr>
        <w:t>IV. ФИНАНСИЈСКА СРЕДСТВА ПОТРЕБНА ЗА СПРОВОЂЕЊЕ ОВОГ ЗАКОНА</w:t>
      </w:r>
    </w:p>
    <w:p w:rsidR="00FA0011" w:rsidRPr="00A42D4F" w:rsidRDefault="00372562" w:rsidP="00A42D4F">
      <w:pPr>
        <w:tabs>
          <w:tab w:val="clear" w:pos="1440"/>
          <w:tab w:val="left" w:pos="709"/>
          <w:tab w:val="left" w:pos="851"/>
        </w:tabs>
        <w:rPr>
          <w:b/>
        </w:rPr>
      </w:pPr>
      <w:r w:rsidRPr="00A42D4F">
        <w:rPr>
          <w:szCs w:val="24"/>
        </w:rPr>
        <w:tab/>
      </w:r>
      <w:r w:rsidR="00FA0011" w:rsidRPr="00A42D4F">
        <w:rPr>
          <w:szCs w:val="24"/>
        </w:rPr>
        <w:t xml:space="preserve">За спровођење овог закона нису потребна додатна финансијска средства из </w:t>
      </w:r>
      <w:r w:rsidR="00FA0011" w:rsidRPr="00A42D4F">
        <w:rPr>
          <w:szCs w:val="24"/>
        </w:rPr>
        <w:lastRenderedPageBreak/>
        <w:t>буџета Републике Србије.</w:t>
      </w:r>
    </w:p>
    <w:p w:rsidR="00BF5C42" w:rsidRPr="00A42D4F" w:rsidRDefault="00835E88" w:rsidP="00A42D4F">
      <w:pPr>
        <w:tabs>
          <w:tab w:val="left" w:pos="709"/>
        </w:tabs>
        <w:spacing w:after="0"/>
        <w:rPr>
          <w:b/>
          <w:bCs/>
          <w:szCs w:val="24"/>
        </w:rPr>
      </w:pPr>
      <w:r w:rsidRPr="00A42D4F">
        <w:rPr>
          <w:b/>
        </w:rPr>
        <w:t>V</w:t>
      </w:r>
      <w:r w:rsidR="003223A3" w:rsidRPr="00A42D4F">
        <w:rPr>
          <w:b/>
        </w:rPr>
        <w:t xml:space="preserve">. </w:t>
      </w:r>
      <w:r w:rsidR="003223A3" w:rsidRPr="00A42D4F">
        <w:rPr>
          <w:b/>
          <w:bCs/>
          <w:szCs w:val="24"/>
        </w:rPr>
        <w:t xml:space="preserve">РАЗЛОЗИ ЗБОГ КОЈИХ СЕ ПРЕДЛАЖЕ ДА </w:t>
      </w:r>
      <w:r w:rsidR="00372562" w:rsidRPr="00A42D4F">
        <w:rPr>
          <w:b/>
          <w:bCs/>
          <w:szCs w:val="24"/>
        </w:rPr>
        <w:t xml:space="preserve">ОВАЈ </w:t>
      </w:r>
      <w:r w:rsidR="003223A3" w:rsidRPr="00A42D4F">
        <w:rPr>
          <w:b/>
          <w:bCs/>
          <w:szCs w:val="24"/>
        </w:rPr>
        <w:t xml:space="preserve">ЗАКОН СТУПИ НА СНАГУ </w:t>
      </w:r>
      <w:r w:rsidR="00372562" w:rsidRPr="00A42D4F">
        <w:rPr>
          <w:rFonts w:eastAsia="Calibri"/>
          <w:b/>
          <w:szCs w:val="24"/>
          <w:lang w:eastAsia="sr-Latn-BA"/>
        </w:rPr>
        <w:t>НАРЕДНОГ ДАНА</w:t>
      </w:r>
      <w:r w:rsidR="003223A3" w:rsidRPr="00A42D4F">
        <w:rPr>
          <w:b/>
          <w:bCs/>
          <w:szCs w:val="24"/>
        </w:rPr>
        <w:t xml:space="preserve"> ОД ДАНА ОБЈАВЉИВАЊА У „СЛУЖБЕНОМ ГЛАСНИКУ РЕПУБЛИКЕ СРБИЈЕ</w:t>
      </w:r>
      <w:r w:rsidR="00372562" w:rsidRPr="00A42D4F">
        <w:rPr>
          <w:b/>
          <w:color w:val="000000"/>
        </w:rPr>
        <w:t>”</w:t>
      </w:r>
    </w:p>
    <w:p w:rsidR="00BF5C42" w:rsidRDefault="00BF5C42" w:rsidP="00A42D4F">
      <w:pPr>
        <w:tabs>
          <w:tab w:val="clear" w:pos="1440"/>
          <w:tab w:val="left" w:pos="709"/>
          <w:tab w:val="left" w:pos="851"/>
        </w:tabs>
        <w:spacing w:after="0"/>
        <w:rPr>
          <w:rFonts w:eastAsia="Calibri"/>
          <w:szCs w:val="24"/>
          <w:lang w:eastAsia="sr-Latn-BA"/>
        </w:rPr>
      </w:pPr>
      <w:r w:rsidRPr="00A42D4F">
        <w:rPr>
          <w:b/>
          <w:bCs/>
          <w:szCs w:val="24"/>
        </w:rPr>
        <w:t xml:space="preserve">        </w:t>
      </w:r>
      <w:r w:rsidR="00372562" w:rsidRPr="00A42D4F">
        <w:rPr>
          <w:b/>
          <w:bCs/>
          <w:szCs w:val="24"/>
        </w:rPr>
        <w:tab/>
      </w:r>
      <w:r w:rsidRPr="00A42D4F">
        <w:rPr>
          <w:rFonts w:eastAsia="Calibri"/>
          <w:szCs w:val="24"/>
          <w:lang w:eastAsia="sr-Latn-BA"/>
        </w:rPr>
        <w:t>Предлаже се да овај закон ступи на снагу наредног дана од дана објављивања у „Службеном гласнику Републике Србије</w:t>
      </w:r>
      <w:r w:rsidR="00372562" w:rsidRPr="00A42D4F">
        <w:rPr>
          <w:color w:val="000000"/>
        </w:rPr>
        <w:t>”</w:t>
      </w:r>
      <w:r w:rsidRPr="00A42D4F">
        <w:rPr>
          <w:rFonts w:eastAsia="Calibri"/>
          <w:szCs w:val="24"/>
          <w:lang w:eastAsia="sr-Latn-BA"/>
        </w:rPr>
        <w:t xml:space="preserve">, будући да за то постоје нарочито оправдани разлози који се огледају у неопходности да </w:t>
      </w:r>
      <w:r w:rsidR="00EA13A9" w:rsidRPr="00A42D4F">
        <w:rPr>
          <w:rFonts w:eastAsia="Calibri"/>
          <w:szCs w:val="24"/>
          <w:lang w:eastAsia="sr-Latn-BA"/>
        </w:rPr>
        <w:t>се предложена измена што пре примењује</w:t>
      </w:r>
      <w:r w:rsidR="003223A3" w:rsidRPr="00A42D4F">
        <w:rPr>
          <w:rFonts w:eastAsia="Calibri"/>
          <w:szCs w:val="24"/>
          <w:lang w:eastAsia="sr-Latn-BA"/>
        </w:rPr>
        <w:t xml:space="preserve"> приликом реализације </w:t>
      </w:r>
      <w:r w:rsidR="00372562" w:rsidRPr="00A42D4F">
        <w:rPr>
          <w:rFonts w:eastAsia="Calibri"/>
          <w:szCs w:val="24"/>
          <w:lang w:eastAsia="sr-Latn-BA"/>
        </w:rPr>
        <w:t>наведеног п</w:t>
      </w:r>
      <w:r w:rsidR="003223A3" w:rsidRPr="00A42D4F">
        <w:rPr>
          <w:rFonts w:eastAsia="Calibri"/>
          <w:szCs w:val="24"/>
          <w:lang w:eastAsia="sr-Latn-BA"/>
        </w:rPr>
        <w:t>ројекта.</w:t>
      </w:r>
    </w:p>
    <w:p w:rsidR="00A42D4F" w:rsidRDefault="00A42D4F" w:rsidP="00A42D4F">
      <w:pPr>
        <w:rPr>
          <w:bCs/>
          <w:color w:val="000000"/>
          <w:szCs w:val="24"/>
        </w:rPr>
      </w:pPr>
    </w:p>
    <w:p w:rsidR="00A42D4F" w:rsidRPr="00A42D4F" w:rsidRDefault="00A42D4F" w:rsidP="00A42D4F">
      <w:pPr>
        <w:rPr>
          <w:b/>
          <w:szCs w:val="24"/>
        </w:rPr>
      </w:pPr>
      <w:r>
        <w:rPr>
          <w:b/>
          <w:bCs/>
          <w:color w:val="000000"/>
          <w:szCs w:val="24"/>
          <w:lang w:val="en-US"/>
        </w:rPr>
        <w:t xml:space="preserve">VI. </w:t>
      </w:r>
      <w:r w:rsidRPr="00A42D4F">
        <w:rPr>
          <w:b/>
          <w:bCs/>
          <w:color w:val="000000"/>
          <w:szCs w:val="24"/>
        </w:rPr>
        <w:t xml:space="preserve">ПРЕГЛЕД ОДРЕДАБА ВАЖЕЋЕГ </w:t>
      </w:r>
      <w:r>
        <w:rPr>
          <w:b/>
          <w:bCs/>
          <w:color w:val="000000"/>
          <w:szCs w:val="24"/>
          <w:lang w:val="sr-Cyrl-RS"/>
        </w:rPr>
        <w:t>ЗАКОНА</w:t>
      </w:r>
      <w:r w:rsidRPr="00A42D4F">
        <w:rPr>
          <w:b/>
          <w:bCs/>
          <w:color w:val="000000"/>
          <w:szCs w:val="24"/>
        </w:rPr>
        <w:t xml:space="preserve"> КОЈЕ СЕ МЕЊАЈУ, ОДНОСНО ДОПУЊУЈУ</w:t>
      </w:r>
    </w:p>
    <w:p w:rsidR="00A42D4F" w:rsidRPr="009236F6" w:rsidRDefault="00A42D4F" w:rsidP="00A42D4F">
      <w:pPr>
        <w:jc w:val="center"/>
        <w:rPr>
          <w:rFonts w:ascii="Verdana" w:hAnsi="Verdana"/>
          <w:b/>
          <w:bCs/>
          <w:color w:val="333333"/>
          <w:sz w:val="18"/>
          <w:szCs w:val="18"/>
          <w:lang w:val="en-US"/>
        </w:rPr>
      </w:pPr>
      <w:bookmarkStart w:id="0" w:name="clan_10"/>
      <w:bookmarkEnd w:id="0"/>
      <w:r w:rsidRPr="009236F6">
        <w:rPr>
          <w:bCs/>
          <w:color w:val="000000"/>
          <w:szCs w:val="24"/>
        </w:rPr>
        <w:t>Члан 10</w:t>
      </w:r>
      <w:r>
        <w:rPr>
          <w:rFonts w:ascii="Verdana" w:hAnsi="Verdana"/>
          <w:b/>
          <w:bCs/>
          <w:color w:val="333333"/>
          <w:sz w:val="18"/>
          <w:szCs w:val="18"/>
        </w:rPr>
        <w:t>.</w:t>
      </w:r>
      <w:r w:rsidRPr="009236F6">
        <w:rPr>
          <w:rFonts w:ascii="Verdana" w:hAnsi="Verdana"/>
          <w:b/>
          <w:bCs/>
          <w:color w:val="333333"/>
          <w:sz w:val="18"/>
          <w:szCs w:val="18"/>
          <w:lang w:val="en-US"/>
        </w:rPr>
        <w:t> </w:t>
      </w:r>
    </w:p>
    <w:p w:rsidR="00A42D4F" w:rsidRPr="009236F6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</w:rPr>
      </w:pPr>
      <w:bookmarkStart w:id="1" w:name="str_9"/>
      <w:bookmarkStart w:id="2" w:name="str_12"/>
      <w:bookmarkEnd w:id="1"/>
      <w:bookmarkEnd w:id="2"/>
      <w:r w:rsidRPr="009236F6">
        <w:rPr>
          <w:bCs/>
        </w:rPr>
        <w:t>Цена изградње стана одређује се по метру квадратном стана бруто грађевинске површине, обрачунате по SRPS U.C2.100:2002 стандарду који уређује обрачун површина и запремине објеката, за сваку локацију појединачно.</w:t>
      </w:r>
    </w:p>
    <w:p w:rsidR="00A42D4F" w:rsidRPr="009236F6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</w:rPr>
      </w:pPr>
      <w:r w:rsidRPr="009236F6">
        <w:rPr>
          <w:bCs/>
        </w:rPr>
        <w:t>Цена изградње комуналне и остале инфраструктуре унутар стамбеног комплекса одређује се за сваку локацију појединачно.</w:t>
      </w:r>
    </w:p>
    <w:p w:rsidR="00A42D4F" w:rsidRPr="009236F6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</w:rPr>
      </w:pPr>
      <w:r w:rsidRPr="009236F6">
        <w:rPr>
          <w:bCs/>
        </w:rPr>
        <w:t>Цену из ст. 1. и 2. овог члана, на предлог министра надлежног за послове грађевинарства и управљача пројектом, утврђује Комисија коју образује Влада.</w:t>
      </w:r>
    </w:p>
    <w:p w:rsidR="00A42D4F" w:rsidRPr="009236F6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</w:rPr>
      </w:pPr>
      <w:r w:rsidRPr="009236F6">
        <w:rPr>
          <w:bCs/>
        </w:rPr>
        <w:t>Битни елементи уговора о извођењу радова за изградњу стамбене зграде за колективно становање, поред услова прописаних законом којим се уређују облигациони односи јесу: укупно уговорена цена и рок грађења за обим и опис радова, дефинисан пројектном документацијом наведеном при објављивању позива за подношење понуда.</w:t>
      </w:r>
    </w:p>
    <w:p w:rsidR="00A42D4F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  <w:strike/>
        </w:rPr>
      </w:pPr>
      <w:r w:rsidRPr="009236F6">
        <w:rPr>
          <w:bCs/>
          <w:strike/>
        </w:rPr>
        <w:t>Купопродајну цену стана на свакој појединачној локацији одређује Комисија коју образује Влада, а која не може бити одређена у износу вишем од 500 евра по метру квадратном стана у динарској противвредности по средњем курсу Народне банке Србије на дан закључења уговора о куповини стана, без пореза на додату вредност.</w:t>
      </w:r>
    </w:p>
    <w:p w:rsidR="00A42D4F" w:rsidRPr="009236F6" w:rsidRDefault="00A42D4F" w:rsidP="00A42D4F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bCs/>
          <w:strike/>
        </w:rPr>
      </w:pPr>
      <w:r w:rsidRPr="009236F6">
        <w:rPr>
          <w:rFonts w:eastAsia="Calibri"/>
          <w:lang w:val="sr-Cyrl-RS"/>
        </w:rPr>
        <w:t>КУПОПРОДАЈНУ ЦЕНУ СТАНА НА СВАКОЈ ПОЈЕДИНАЧНОЈ ЛОКАЦИЈИ ОДРЕЂУЈЕ КОМИСИЈА КОЈУ ОБРАЗУЈЕ ВЛАДА, НА ОСНОВУ УСЛОВА КОЈЕ ПРОПИСУЈЕ ВЛАДА</w:t>
      </w:r>
      <w:r>
        <w:rPr>
          <w:rFonts w:eastAsia="Calibri"/>
          <w:lang w:val="sr-Cyrl-RS"/>
        </w:rPr>
        <w:t>.</w:t>
      </w:r>
    </w:p>
    <w:p w:rsidR="00A42D4F" w:rsidRDefault="00A42D4F" w:rsidP="00A42D4F">
      <w:pPr>
        <w:spacing w:after="240"/>
        <w:jc w:val="center"/>
        <w:rPr>
          <w:b/>
          <w:bCs/>
          <w:color w:val="000000"/>
          <w:szCs w:val="24"/>
          <w:lang w:val="sr-Cyrl-RS"/>
        </w:rPr>
      </w:pPr>
    </w:p>
    <w:p w:rsidR="00A42D4F" w:rsidRPr="00A42D4F" w:rsidRDefault="00A42D4F" w:rsidP="00A42D4F">
      <w:pPr>
        <w:spacing w:after="240"/>
        <w:jc w:val="center"/>
        <w:rPr>
          <w:bCs/>
          <w:color w:val="000000"/>
          <w:szCs w:val="24"/>
          <w:lang w:val="sr-Cyrl-RS"/>
        </w:rPr>
      </w:pPr>
      <w:r w:rsidRPr="00A42D4F">
        <w:rPr>
          <w:bCs/>
          <w:color w:val="000000"/>
          <w:szCs w:val="24"/>
          <w:lang w:val="sr-Cyrl-RS"/>
        </w:rPr>
        <w:t>САМОСТАЛНИ ЧЛАНОВИ ПРЕДЛОГА ЗАКОНА</w:t>
      </w:r>
    </w:p>
    <w:p w:rsidR="00A42D4F" w:rsidRPr="009236F6" w:rsidRDefault="00A42D4F" w:rsidP="00A42D4F">
      <w:pPr>
        <w:spacing w:after="240"/>
        <w:jc w:val="center"/>
        <w:rPr>
          <w:bCs/>
          <w:strike/>
          <w:color w:val="000000"/>
          <w:szCs w:val="24"/>
        </w:rPr>
      </w:pPr>
      <w:r w:rsidRPr="00285057">
        <w:rPr>
          <w:b/>
          <w:bCs/>
          <w:color w:val="000000"/>
          <w:szCs w:val="24"/>
        </w:rPr>
        <w:t xml:space="preserve"> </w:t>
      </w:r>
      <w:r w:rsidRPr="009236F6">
        <w:rPr>
          <w:bCs/>
          <w:color w:val="000000"/>
          <w:szCs w:val="24"/>
        </w:rPr>
        <w:t>Члан 2.</w:t>
      </w:r>
    </w:p>
    <w:p w:rsidR="00A42D4F" w:rsidRPr="009236F6" w:rsidRDefault="00A42D4F" w:rsidP="00A42D4F">
      <w:pPr>
        <w:spacing w:before="100" w:beforeAutospacing="1" w:after="100" w:afterAutospacing="1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572A70" w:rsidRPr="009236F6">
        <w:rPr>
          <w:color w:val="000000"/>
          <w:szCs w:val="24"/>
        </w:rPr>
        <w:t>ПОСТУПЦИ ПОКРЕНУТИ ДО ДАНА СТУПАЊА НА СНАГУ ОВОГ ЗАКОНА, ОКОНЧАЋЕ СЕ ПО ОДРЕДБАМА ОВОГ ЗАКОНА. </w:t>
      </w:r>
    </w:p>
    <w:p w:rsidR="00A42D4F" w:rsidRPr="009236F6" w:rsidRDefault="00A42D4F" w:rsidP="00A42D4F">
      <w:pPr>
        <w:jc w:val="center"/>
        <w:rPr>
          <w:strike/>
          <w:color w:val="000000"/>
          <w:szCs w:val="24"/>
        </w:rPr>
      </w:pPr>
      <w:r>
        <w:rPr>
          <w:bCs/>
          <w:color w:val="000000"/>
          <w:szCs w:val="24"/>
        </w:rPr>
        <w:lastRenderedPageBreak/>
        <w:t>Члан 3.</w:t>
      </w:r>
    </w:p>
    <w:p w:rsidR="00A42D4F" w:rsidRPr="009236F6" w:rsidRDefault="00A42D4F" w:rsidP="00A42D4F">
      <w:pPr>
        <w:spacing w:before="100" w:beforeAutospacing="1" w:after="100" w:afterAutospacing="1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572A70" w:rsidRPr="009236F6">
        <w:rPr>
          <w:color w:val="000000"/>
          <w:szCs w:val="24"/>
        </w:rPr>
        <w:t xml:space="preserve">ОВАЈ ЗАКОН СТУПА НА СНАГУ НАРЕДНОГ ДАНА ОД ДАНА ОБЈАВЉИВАЊА </w:t>
      </w:r>
      <w:r w:rsidR="00572A70">
        <w:rPr>
          <w:color w:val="000000"/>
          <w:szCs w:val="24"/>
        </w:rPr>
        <w:t>У „</w:t>
      </w:r>
      <w:r w:rsidR="00572A70" w:rsidRPr="009236F6">
        <w:rPr>
          <w:color w:val="000000"/>
          <w:szCs w:val="24"/>
        </w:rPr>
        <w:t>СЛУЖ</w:t>
      </w:r>
      <w:bookmarkStart w:id="3" w:name="_GoBack"/>
      <w:bookmarkEnd w:id="3"/>
      <w:r w:rsidR="00572A70">
        <w:rPr>
          <w:color w:val="000000"/>
          <w:szCs w:val="24"/>
        </w:rPr>
        <w:t>БЕНОМ ГЛАСНИКУ РЕПУБЛИКЕ СРБИЈЕ</w:t>
      </w:r>
      <w:r w:rsidR="00572A70">
        <w:rPr>
          <w:color w:val="000000"/>
          <w:szCs w:val="24"/>
          <w:lang w:val="sr-Cyrl-RS"/>
        </w:rPr>
        <w:t>”</w:t>
      </w:r>
      <w:r w:rsidR="00572A70" w:rsidRPr="009236F6">
        <w:rPr>
          <w:color w:val="000000"/>
          <w:szCs w:val="24"/>
        </w:rPr>
        <w:t>. </w:t>
      </w:r>
    </w:p>
    <w:p w:rsidR="00A42D4F" w:rsidRPr="00A42D4F" w:rsidRDefault="00A42D4F" w:rsidP="00A42D4F">
      <w:pPr>
        <w:tabs>
          <w:tab w:val="clear" w:pos="1440"/>
          <w:tab w:val="left" w:pos="709"/>
          <w:tab w:val="left" w:pos="851"/>
        </w:tabs>
        <w:spacing w:after="0"/>
        <w:rPr>
          <w:rFonts w:eastAsia="Calibri"/>
          <w:szCs w:val="24"/>
          <w:lang w:eastAsia="sr-Latn-BA"/>
        </w:rPr>
      </w:pPr>
    </w:p>
    <w:p w:rsidR="00BF5C42" w:rsidRPr="00A42D4F" w:rsidRDefault="00BF5C42" w:rsidP="00BF5C42">
      <w:pPr>
        <w:widowControl/>
        <w:tabs>
          <w:tab w:val="clear" w:pos="1440"/>
        </w:tabs>
        <w:spacing w:before="0" w:after="160" w:line="252" w:lineRule="auto"/>
        <w:jc w:val="left"/>
        <w:rPr>
          <w:rFonts w:ascii="Calibri" w:eastAsia="Calibri" w:hAnsi="Calibri"/>
          <w:sz w:val="22"/>
          <w:szCs w:val="22"/>
          <w:lang w:eastAsia="sr-Latn-BA"/>
        </w:rPr>
      </w:pPr>
    </w:p>
    <w:p w:rsidR="00BF5C42" w:rsidRPr="00A42D4F" w:rsidRDefault="00BF5C42" w:rsidP="00BF5C42">
      <w:pPr>
        <w:spacing w:after="0"/>
        <w:rPr>
          <w:b/>
          <w:bCs/>
          <w:szCs w:val="24"/>
        </w:rPr>
      </w:pPr>
    </w:p>
    <w:p w:rsidR="00BF5C42" w:rsidRPr="00A42D4F" w:rsidRDefault="00BF5C42" w:rsidP="00BF5C42">
      <w:pPr>
        <w:spacing w:after="0"/>
        <w:rPr>
          <w:b/>
          <w:bCs/>
          <w:szCs w:val="24"/>
        </w:rPr>
      </w:pPr>
    </w:p>
    <w:p w:rsidR="00571A71" w:rsidRPr="00A42D4F" w:rsidRDefault="00571A71">
      <w:pPr>
        <w:rPr>
          <w:b/>
        </w:rPr>
      </w:pPr>
    </w:p>
    <w:sectPr w:rsidR="00571A71" w:rsidRPr="00A42D4F" w:rsidSect="00663CE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EF3" w:rsidRDefault="00121EF3" w:rsidP="00663CEF">
      <w:pPr>
        <w:spacing w:before="0" w:after="0"/>
      </w:pPr>
      <w:r>
        <w:separator/>
      </w:r>
    </w:p>
  </w:endnote>
  <w:endnote w:type="continuationSeparator" w:id="0">
    <w:p w:rsidR="00121EF3" w:rsidRDefault="00121EF3" w:rsidP="00663C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3CEF" w:rsidRDefault="00663C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A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3CEF" w:rsidRDefault="00663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EF3" w:rsidRDefault="00121EF3" w:rsidP="00663CEF">
      <w:pPr>
        <w:spacing w:before="0" w:after="0"/>
      </w:pPr>
      <w:r>
        <w:separator/>
      </w:r>
    </w:p>
  </w:footnote>
  <w:footnote w:type="continuationSeparator" w:id="0">
    <w:p w:rsidR="00121EF3" w:rsidRDefault="00121EF3" w:rsidP="00663CE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5988F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35A"/>
    <w:multiLevelType w:val="hybridMultilevel"/>
    <w:tmpl w:val="4CD28348"/>
    <w:lvl w:ilvl="0" w:tplc="D632BEE8">
      <w:start w:val="1"/>
      <w:numFmt w:val="decimal"/>
      <w:lvlText w:val="%1)"/>
      <w:lvlJc w:val="left"/>
      <w:pPr>
        <w:ind w:left="1204" w:hanging="5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6196CA6"/>
    <w:multiLevelType w:val="hybridMultilevel"/>
    <w:tmpl w:val="F0A6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229A1"/>
    <w:multiLevelType w:val="hybridMultilevel"/>
    <w:tmpl w:val="F692EB6E"/>
    <w:lvl w:ilvl="0" w:tplc="AE1294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3B56B1"/>
    <w:multiLevelType w:val="hybridMultilevel"/>
    <w:tmpl w:val="9F3C2F4A"/>
    <w:lvl w:ilvl="0" w:tplc="5FA470B8">
      <w:start w:val="1"/>
      <w:numFmt w:val="decimal"/>
      <w:lvlText w:val="%1)"/>
      <w:lvlJc w:val="left"/>
      <w:pPr>
        <w:ind w:left="1266" w:hanging="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 w15:restartNumberingAfterBreak="0">
    <w:nsid w:val="192D1147"/>
    <w:multiLevelType w:val="hybridMultilevel"/>
    <w:tmpl w:val="1CD2000A"/>
    <w:lvl w:ilvl="0" w:tplc="E7D6B284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 w15:restartNumberingAfterBreak="0">
    <w:nsid w:val="1B524F4B"/>
    <w:multiLevelType w:val="hybridMultilevel"/>
    <w:tmpl w:val="73A87E76"/>
    <w:lvl w:ilvl="0" w:tplc="FD5661B6">
      <w:start w:val="1"/>
      <w:numFmt w:val="decimal"/>
      <w:lvlText w:val="%1)"/>
      <w:lvlJc w:val="left"/>
      <w:pPr>
        <w:ind w:left="1607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50DC8"/>
    <w:multiLevelType w:val="hybridMultilevel"/>
    <w:tmpl w:val="DC46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4533"/>
    <w:multiLevelType w:val="hybridMultilevel"/>
    <w:tmpl w:val="F4EEDD94"/>
    <w:lvl w:ilvl="0" w:tplc="0CB287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434830"/>
    <w:multiLevelType w:val="hybridMultilevel"/>
    <w:tmpl w:val="3DF2E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D74EF"/>
    <w:multiLevelType w:val="hybridMultilevel"/>
    <w:tmpl w:val="0900ABFE"/>
    <w:lvl w:ilvl="0" w:tplc="555C3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5557E"/>
    <w:multiLevelType w:val="hybridMultilevel"/>
    <w:tmpl w:val="E81ACF24"/>
    <w:lvl w:ilvl="0" w:tplc="11289740">
      <w:start w:val="1"/>
      <w:numFmt w:val="decimal"/>
      <w:pStyle w:val="CLANOVI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637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8CF540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4A7EA8"/>
    <w:multiLevelType w:val="hybridMultilevel"/>
    <w:tmpl w:val="9508E968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DA43802"/>
    <w:multiLevelType w:val="hybridMultilevel"/>
    <w:tmpl w:val="AEB6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20632"/>
    <w:multiLevelType w:val="hybridMultilevel"/>
    <w:tmpl w:val="6A6AF81A"/>
    <w:lvl w:ilvl="0" w:tplc="B83200B6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30974029"/>
    <w:multiLevelType w:val="hybridMultilevel"/>
    <w:tmpl w:val="59AECB5A"/>
    <w:lvl w:ilvl="0" w:tplc="79C04FD0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35D03AAD"/>
    <w:multiLevelType w:val="hybridMultilevel"/>
    <w:tmpl w:val="FA6232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55243"/>
    <w:multiLevelType w:val="hybridMultilevel"/>
    <w:tmpl w:val="37D690A2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3D442ADA"/>
    <w:multiLevelType w:val="multilevel"/>
    <w:tmpl w:val="37B6C088"/>
    <w:lvl w:ilvl="0">
      <w:start w:val="1"/>
      <w:numFmt w:val="decimal"/>
      <w:pStyle w:val="NASLOV2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2592" w:hanging="432"/>
      </w:pPr>
      <w:rPr>
        <w:rFonts w:hint="default"/>
      </w:rPr>
    </w:lvl>
    <w:lvl w:ilvl="2">
      <w:start w:val="1"/>
      <w:numFmt w:val="decimal"/>
      <w:lvlText w:val="%3%2.%1."/>
      <w:lvlJc w:val="left"/>
      <w:pPr>
        <w:ind w:left="30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22" w15:restartNumberingAfterBreak="0">
    <w:nsid w:val="3D552096"/>
    <w:multiLevelType w:val="hybridMultilevel"/>
    <w:tmpl w:val="838619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901D3"/>
    <w:multiLevelType w:val="hybridMultilevel"/>
    <w:tmpl w:val="DADA8FFE"/>
    <w:lvl w:ilvl="0" w:tplc="E4AEADD2">
      <w:start w:val="1"/>
      <w:numFmt w:val="decimal"/>
      <w:lvlText w:val="%1)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809AD"/>
    <w:multiLevelType w:val="hybridMultilevel"/>
    <w:tmpl w:val="DDB4F110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44552D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9F7563"/>
    <w:multiLevelType w:val="hybridMultilevel"/>
    <w:tmpl w:val="31527DCE"/>
    <w:lvl w:ilvl="0" w:tplc="C02A9CBE">
      <w:start w:val="3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8454E"/>
    <w:multiLevelType w:val="multilevel"/>
    <w:tmpl w:val="FA482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57DDD"/>
    <w:multiLevelType w:val="hybridMultilevel"/>
    <w:tmpl w:val="A350D42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C575EC"/>
    <w:multiLevelType w:val="hybridMultilevel"/>
    <w:tmpl w:val="56E8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900C9"/>
    <w:multiLevelType w:val="hybridMultilevel"/>
    <w:tmpl w:val="BC4422B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2891882"/>
    <w:multiLevelType w:val="hybridMultilevel"/>
    <w:tmpl w:val="E9A6192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6792BD9"/>
    <w:multiLevelType w:val="hybridMultilevel"/>
    <w:tmpl w:val="B1269B82"/>
    <w:lvl w:ilvl="0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7600E2"/>
    <w:multiLevelType w:val="hybridMultilevel"/>
    <w:tmpl w:val="27B47F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32BCE"/>
    <w:multiLevelType w:val="hybridMultilevel"/>
    <w:tmpl w:val="696AA230"/>
    <w:lvl w:ilvl="0" w:tplc="7AD83428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5" w15:restartNumberingAfterBreak="0">
    <w:nsid w:val="6BDE6947"/>
    <w:multiLevelType w:val="hybridMultilevel"/>
    <w:tmpl w:val="38C6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661AA"/>
    <w:multiLevelType w:val="hybridMultilevel"/>
    <w:tmpl w:val="E4BC84AA"/>
    <w:lvl w:ilvl="0" w:tplc="9CD6416A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94EA9"/>
    <w:multiLevelType w:val="multilevel"/>
    <w:tmpl w:val="9B4ACABA"/>
    <w:lvl w:ilvl="0">
      <w:start w:val="1"/>
      <w:numFmt w:val="decimal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53742"/>
    <w:multiLevelType w:val="hybridMultilevel"/>
    <w:tmpl w:val="6C404E16"/>
    <w:lvl w:ilvl="0" w:tplc="0082D95C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C7BEB"/>
    <w:multiLevelType w:val="hybridMultilevel"/>
    <w:tmpl w:val="8774F654"/>
    <w:lvl w:ilvl="0" w:tplc="DF765D2C">
      <w:start w:val="1"/>
      <w:numFmt w:val="upperRoman"/>
      <w:pStyle w:val="NASLOV1"/>
      <w:lvlText w:val="%1."/>
      <w:lvlJc w:val="right"/>
      <w:pPr>
        <w:ind w:left="1004" w:hanging="18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9B214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753625"/>
    <w:multiLevelType w:val="multilevel"/>
    <w:tmpl w:val="F29CCC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2"/>
  </w:num>
  <w:num w:numId="3">
    <w:abstractNumId w:val="32"/>
  </w:num>
  <w:num w:numId="4">
    <w:abstractNumId w:val="12"/>
  </w:num>
  <w:num w:numId="5">
    <w:abstractNumId w:val="33"/>
  </w:num>
  <w:num w:numId="6">
    <w:abstractNumId w:val="8"/>
  </w:num>
  <w:num w:numId="7">
    <w:abstractNumId w:val="38"/>
  </w:num>
  <w:num w:numId="8">
    <w:abstractNumId w:val="15"/>
  </w:num>
  <w:num w:numId="9">
    <w:abstractNumId w:val="2"/>
  </w:num>
  <w:num w:numId="10">
    <w:abstractNumId w:val="36"/>
  </w:num>
  <w:num w:numId="11">
    <w:abstractNumId w:val="9"/>
  </w:num>
  <w:num w:numId="12">
    <w:abstractNumId w:val="0"/>
  </w:num>
  <w:num w:numId="13">
    <w:abstractNumId w:val="11"/>
  </w:num>
  <w:num w:numId="14">
    <w:abstractNumId w:val="39"/>
  </w:num>
  <w:num w:numId="15">
    <w:abstractNumId w:val="21"/>
  </w:num>
  <w:num w:numId="16">
    <w:abstractNumId w:val="25"/>
  </w:num>
  <w:num w:numId="17">
    <w:abstractNumId w:val="23"/>
  </w:num>
  <w:num w:numId="18">
    <w:abstractNumId w:val="14"/>
  </w:num>
  <w:num w:numId="19">
    <w:abstractNumId w:val="4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0"/>
  </w:num>
  <w:num w:numId="25">
    <w:abstractNumId w:val="28"/>
  </w:num>
  <w:num w:numId="26">
    <w:abstractNumId w:val="16"/>
  </w:num>
  <w:num w:numId="27">
    <w:abstractNumId w:val="34"/>
  </w:num>
  <w:num w:numId="28">
    <w:abstractNumId w:val="17"/>
  </w:num>
  <w:num w:numId="29">
    <w:abstractNumId w:val="18"/>
  </w:num>
  <w:num w:numId="30">
    <w:abstractNumId w:val="26"/>
  </w:num>
  <w:num w:numId="31">
    <w:abstractNumId w:val="27"/>
  </w:num>
  <w:num w:numId="32">
    <w:abstractNumId w:val="24"/>
  </w:num>
  <w:num w:numId="33">
    <w:abstractNumId w:val="6"/>
  </w:num>
  <w:num w:numId="34">
    <w:abstractNumId w:val="1"/>
  </w:num>
  <w:num w:numId="35">
    <w:abstractNumId w:val="31"/>
  </w:num>
  <w:num w:numId="36">
    <w:abstractNumId w:val="30"/>
  </w:num>
  <w:num w:numId="37">
    <w:abstractNumId w:val="37"/>
  </w:num>
  <w:num w:numId="38">
    <w:abstractNumId w:val="11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35"/>
  </w:num>
  <w:num w:numId="41">
    <w:abstractNumId w:val="7"/>
  </w:num>
  <w:num w:numId="42">
    <w:abstractNumId w:val="4"/>
  </w:num>
  <w:num w:numId="43">
    <w:abstractNumId w:val="5"/>
  </w:num>
  <w:num w:numId="44">
    <w:abstractNumId w:val="19"/>
  </w:num>
  <w:num w:numId="45">
    <w:abstractNumId w:val="29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39"/>
    <w:rsid w:val="000A3A34"/>
    <w:rsid w:val="000B5307"/>
    <w:rsid w:val="000C35D3"/>
    <w:rsid w:val="000D52D9"/>
    <w:rsid w:val="00121EF3"/>
    <w:rsid w:val="001777A2"/>
    <w:rsid w:val="001B4A46"/>
    <w:rsid w:val="001B63D1"/>
    <w:rsid w:val="00204B2E"/>
    <w:rsid w:val="002320F9"/>
    <w:rsid w:val="002875E1"/>
    <w:rsid w:val="002E2051"/>
    <w:rsid w:val="003103C2"/>
    <w:rsid w:val="003223A3"/>
    <w:rsid w:val="00324555"/>
    <w:rsid w:val="00372562"/>
    <w:rsid w:val="00382749"/>
    <w:rsid w:val="00417BE1"/>
    <w:rsid w:val="004C0B6E"/>
    <w:rsid w:val="00541CF6"/>
    <w:rsid w:val="00571A71"/>
    <w:rsid w:val="00572A70"/>
    <w:rsid w:val="00612637"/>
    <w:rsid w:val="00663CEF"/>
    <w:rsid w:val="006871C3"/>
    <w:rsid w:val="006C0408"/>
    <w:rsid w:val="006C740D"/>
    <w:rsid w:val="006C7947"/>
    <w:rsid w:val="006D183C"/>
    <w:rsid w:val="0070774A"/>
    <w:rsid w:val="00757C64"/>
    <w:rsid w:val="00796885"/>
    <w:rsid w:val="007E76BB"/>
    <w:rsid w:val="007E7EB2"/>
    <w:rsid w:val="00801734"/>
    <w:rsid w:val="00814570"/>
    <w:rsid w:val="00835E88"/>
    <w:rsid w:val="00854EA8"/>
    <w:rsid w:val="0086472F"/>
    <w:rsid w:val="00872141"/>
    <w:rsid w:val="008769F6"/>
    <w:rsid w:val="00891B54"/>
    <w:rsid w:val="008924D5"/>
    <w:rsid w:val="008D38CC"/>
    <w:rsid w:val="008E07D4"/>
    <w:rsid w:val="00940089"/>
    <w:rsid w:val="00966CA6"/>
    <w:rsid w:val="0099336B"/>
    <w:rsid w:val="00996A4F"/>
    <w:rsid w:val="009B75E2"/>
    <w:rsid w:val="009F3EAA"/>
    <w:rsid w:val="00A42D4F"/>
    <w:rsid w:val="00A90AD5"/>
    <w:rsid w:val="00AD27EB"/>
    <w:rsid w:val="00B02688"/>
    <w:rsid w:val="00B11458"/>
    <w:rsid w:val="00B1711A"/>
    <w:rsid w:val="00B4766B"/>
    <w:rsid w:val="00B5381A"/>
    <w:rsid w:val="00B75D39"/>
    <w:rsid w:val="00BA3ECE"/>
    <w:rsid w:val="00BB5543"/>
    <w:rsid w:val="00BF5C42"/>
    <w:rsid w:val="00BF746A"/>
    <w:rsid w:val="00C418F7"/>
    <w:rsid w:val="00C42AE1"/>
    <w:rsid w:val="00C47A8E"/>
    <w:rsid w:val="00C61778"/>
    <w:rsid w:val="00C96FBA"/>
    <w:rsid w:val="00CC6DDE"/>
    <w:rsid w:val="00D0209A"/>
    <w:rsid w:val="00D06C86"/>
    <w:rsid w:val="00D24746"/>
    <w:rsid w:val="00D26285"/>
    <w:rsid w:val="00D546A3"/>
    <w:rsid w:val="00D601F1"/>
    <w:rsid w:val="00D6746E"/>
    <w:rsid w:val="00D717F2"/>
    <w:rsid w:val="00DA3FD2"/>
    <w:rsid w:val="00E56E21"/>
    <w:rsid w:val="00EA13A9"/>
    <w:rsid w:val="00EC7A5C"/>
    <w:rsid w:val="00EE58EE"/>
    <w:rsid w:val="00EF008E"/>
    <w:rsid w:val="00EF71A4"/>
    <w:rsid w:val="00F112C6"/>
    <w:rsid w:val="00F5666C"/>
    <w:rsid w:val="00FA0011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4A196"/>
  <w15:docId w15:val="{98F5C030-85EE-4E88-B8DB-BC26DB4F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D39"/>
    <w:pPr>
      <w:widowControl w:val="0"/>
      <w:tabs>
        <w:tab w:val="left" w:pos="1440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B75D39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B75D39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B75D39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B75D39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B75D39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B75D39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B75D39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B75D39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B75D39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D39"/>
    <w:rPr>
      <w:rFonts w:ascii="Times New Roman" w:eastAsia="Times New Roman" w:hAnsi="Times New Roman" w:cs="Times New Roman"/>
      <w:b/>
      <w:caps/>
      <w:kern w:val="28"/>
      <w:sz w:val="32"/>
      <w:szCs w:val="20"/>
      <w:lang w:val="de-AT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75D39"/>
    <w:rPr>
      <w:rFonts w:ascii="Arial" w:eastAsia="Times New Roman" w:hAnsi="Arial" w:cs="Times New Roman"/>
      <w:caps/>
      <w:kern w:val="28"/>
      <w:sz w:val="24"/>
      <w:szCs w:val="20"/>
      <w:lang w:val="de-AT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B75D39"/>
    <w:rPr>
      <w:rFonts w:ascii="Times New Roman" w:eastAsia="Times New Roman" w:hAnsi="Times New Roman" w:cs="Times New Roman"/>
      <w:i/>
      <w:caps/>
      <w:kern w:val="28"/>
      <w:sz w:val="24"/>
      <w:szCs w:val="20"/>
      <w:lang w:val="de-AT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0"/>
      <w:szCs w:val="20"/>
      <w:lang w:val="de-AT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B75D39"/>
    <w:rPr>
      <w:rFonts w:ascii="Times New Roman" w:eastAsia="Times New Roman" w:hAnsi="Times New Roman" w:cs="Times New Roman"/>
      <w:caps/>
      <w:spacing w:val="-4"/>
      <w:kern w:val="28"/>
      <w:szCs w:val="20"/>
      <w:lang w:val="de-AT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4"/>
      <w:szCs w:val="20"/>
      <w:lang w:val="de-AT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B75D39"/>
    <w:rPr>
      <w:rFonts w:ascii="Arial" w:eastAsia="Times New Roman" w:hAnsi="Arial" w:cs="Times New Roman"/>
      <w:caps/>
      <w:spacing w:val="-4"/>
      <w:kern w:val="28"/>
      <w:sz w:val="24"/>
      <w:szCs w:val="20"/>
      <w:lang w:val="de-AT" w:eastAsia="de-DE"/>
    </w:rPr>
  </w:style>
  <w:style w:type="character" w:customStyle="1" w:styleId="longtext">
    <w:name w:val="long_text"/>
    <w:basedOn w:val="DefaultParagraphFont"/>
    <w:rsid w:val="00B75D39"/>
  </w:style>
  <w:style w:type="paragraph" w:customStyle="1" w:styleId="t-9-8">
    <w:name w:val="t-9-8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B75D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75D39"/>
  </w:style>
  <w:style w:type="character" w:customStyle="1" w:styleId="BodyTextChar">
    <w:name w:val="Body Text Char"/>
    <w:basedOn w:val="DefaultParagraphFont"/>
    <w:link w:val="BodyText"/>
    <w:uiPriority w:val="99"/>
    <w:semiHidden/>
    <w:rsid w:val="00B75D3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39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B75D39"/>
    <w:rPr>
      <w:color w:val="0000FF"/>
      <w:u w:val="single"/>
    </w:rPr>
  </w:style>
  <w:style w:type="paragraph" w:customStyle="1" w:styleId="CLANOVI">
    <w:name w:val="CLANOVI"/>
    <w:basedOn w:val="Normal"/>
    <w:qFormat/>
    <w:rsid w:val="00B75D39"/>
    <w:pPr>
      <w:widowControl/>
      <w:numPr>
        <w:numId w:val="13"/>
      </w:numPr>
      <w:tabs>
        <w:tab w:val="clear" w:pos="1440"/>
      </w:tabs>
      <w:spacing w:before="12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B7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D3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D39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D39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styleId="Strong">
    <w:name w:val="Strong"/>
    <w:uiPriority w:val="22"/>
    <w:qFormat/>
    <w:rsid w:val="00B75D39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Heading1"/>
    <w:qFormat/>
    <w:rsid w:val="00B75D39"/>
    <w:pPr>
      <w:keepLines w:val="0"/>
      <w:numPr>
        <w:numId w:val="14"/>
      </w:numPr>
      <w:spacing w:after="0" w:line="240" w:lineRule="auto"/>
      <w:jc w:val="center"/>
    </w:pPr>
    <w:rPr>
      <w:rFonts w:ascii="Helvetica" w:hAnsi="Helvetica"/>
      <w:b w:val="0"/>
      <w:caps w:val="0"/>
      <w:kern w:val="32"/>
      <w:sz w:val="28"/>
      <w:szCs w:val="24"/>
      <w:lang w:val="en-US" w:eastAsia="en-US"/>
    </w:rPr>
  </w:style>
  <w:style w:type="paragraph" w:customStyle="1" w:styleId="NASLOV2">
    <w:name w:val="NASLOV 2"/>
    <w:basedOn w:val="Heading2"/>
    <w:qFormat/>
    <w:rsid w:val="00B75D39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B75D39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B75D39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B75D39"/>
    <w:pPr>
      <w:spacing w:after="0" w:line="240" w:lineRule="auto"/>
    </w:pPr>
    <w:rPr>
      <w:rFonts w:ascii="Helvetica" w:eastAsia="Calibri" w:hAnsi="Helvetica" w:cs="Times New Roman"/>
      <w:sz w:val="24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B75D39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character" w:customStyle="1" w:styleId="Bodytext2">
    <w:name w:val="Body text (2)"/>
    <w:rsid w:val="00B7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expand">
    <w:name w:val="expand"/>
    <w:rsid w:val="00B75D39"/>
  </w:style>
  <w:style w:type="paragraph" w:styleId="EndnoteText">
    <w:name w:val="endnote text"/>
    <w:basedOn w:val="Normal"/>
    <w:link w:val="EndnoteTextChar"/>
    <w:uiPriority w:val="99"/>
    <w:unhideWhenUsed/>
    <w:rsid w:val="00B75D39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75D39"/>
    <w:rPr>
      <w:rFonts w:ascii="Times New Roman" w:eastAsia="Calibri" w:hAnsi="Times New Roman" w:cs="Times New Roman"/>
      <w:sz w:val="24"/>
      <w:szCs w:val="24"/>
      <w:lang w:val="sr-Latn-CS"/>
    </w:rPr>
  </w:style>
  <w:style w:type="character" w:styleId="EndnoteReference">
    <w:name w:val="endnote reference"/>
    <w:uiPriority w:val="99"/>
    <w:unhideWhenUsed/>
    <w:rsid w:val="00B75D39"/>
    <w:rPr>
      <w:vertAlign w:val="superscript"/>
    </w:rPr>
  </w:style>
  <w:style w:type="paragraph" w:customStyle="1" w:styleId="Normal2">
    <w:name w:val="Normal2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GridTable32">
    <w:name w:val="Grid Table 32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uiPriority w:val="99"/>
    <w:semiHidden/>
    <w:unhideWhenUsed/>
    <w:rsid w:val="00B75D39"/>
  </w:style>
  <w:style w:type="paragraph" w:customStyle="1" w:styleId="clanak">
    <w:name w:val="clanak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57C64"/>
    <w:pPr>
      <w:widowControl/>
      <w:tabs>
        <w:tab w:val="clear" w:pos="1440"/>
      </w:tabs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v2-clan-left-1">
    <w:name w:val="v2-clan-left-1"/>
    <w:basedOn w:val="Normal"/>
    <w:rsid w:val="00A42D4F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Snezana Marinovic</cp:lastModifiedBy>
  <cp:revision>46</cp:revision>
  <cp:lastPrinted>2023-05-05T08:36:00Z</cp:lastPrinted>
  <dcterms:created xsi:type="dcterms:W3CDTF">2018-04-25T08:25:00Z</dcterms:created>
  <dcterms:modified xsi:type="dcterms:W3CDTF">2023-05-05T08:36:00Z</dcterms:modified>
</cp:coreProperties>
</file>