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1A8BD" w14:textId="77777777" w:rsidR="006961E3" w:rsidRPr="00844118" w:rsidRDefault="006961E3" w:rsidP="006130E2">
      <w:pPr>
        <w:ind w:left="-720" w:firstLine="720"/>
        <w:jc w:val="center"/>
        <w:rPr>
          <w:lang w:val="sr-Cyrl-CS"/>
        </w:rPr>
      </w:pPr>
      <w:r w:rsidRPr="00844118">
        <w:rPr>
          <w:lang w:val="sr-Cyrl-CS"/>
        </w:rPr>
        <w:t>О Б Р А З Л О Ж Е Њ Е</w:t>
      </w:r>
    </w:p>
    <w:p w14:paraId="463355D8" w14:textId="77777777" w:rsidR="00113ACC" w:rsidRPr="00844118" w:rsidRDefault="00113ACC" w:rsidP="006130E2">
      <w:pPr>
        <w:ind w:left="-720" w:firstLine="720"/>
        <w:jc w:val="center"/>
        <w:rPr>
          <w:lang w:val="sr-Cyrl-CS"/>
        </w:rPr>
      </w:pPr>
    </w:p>
    <w:p w14:paraId="3A710A9F" w14:textId="77777777" w:rsidR="00FC1322" w:rsidRPr="00844118" w:rsidRDefault="00FC1322" w:rsidP="006130E2">
      <w:pPr>
        <w:ind w:left="-720" w:firstLine="720"/>
        <w:jc w:val="center"/>
        <w:rPr>
          <w:lang w:val="sr-Cyrl-CS"/>
        </w:rPr>
      </w:pPr>
    </w:p>
    <w:p w14:paraId="1DB156B9" w14:textId="77777777" w:rsidR="006961E3" w:rsidRPr="00844118" w:rsidRDefault="006961E3" w:rsidP="006130E2">
      <w:pPr>
        <w:rPr>
          <w:bCs/>
          <w:lang w:val="sr-Cyrl-CS"/>
        </w:rPr>
      </w:pPr>
      <w:r w:rsidRPr="00844118">
        <w:rPr>
          <w:bCs/>
          <w:lang w:val="sr-Cyrl-CS"/>
        </w:rPr>
        <w:t xml:space="preserve"> </w:t>
      </w:r>
      <w:r w:rsidRPr="00844118">
        <w:rPr>
          <w:bCs/>
          <w:lang w:val="sr-Cyrl-CS"/>
        </w:rPr>
        <w:tab/>
        <w:t>I. УСТАВНИ ОСНОВ ЗА ДОНОШЕЊЕ ЗАКОНА</w:t>
      </w:r>
    </w:p>
    <w:p w14:paraId="3758AC55" w14:textId="77777777" w:rsidR="006961E3" w:rsidRPr="00844118" w:rsidRDefault="006961E3" w:rsidP="006130E2">
      <w:pPr>
        <w:rPr>
          <w:bCs/>
          <w:lang w:val="sr-Cyrl-CS"/>
        </w:rPr>
      </w:pPr>
    </w:p>
    <w:p w14:paraId="5FD80A66" w14:textId="77777777" w:rsidR="0040226C" w:rsidRPr="00844118" w:rsidRDefault="006961E3" w:rsidP="006130E2">
      <w:pPr>
        <w:jc w:val="both"/>
        <w:rPr>
          <w:lang w:val="sr-Cyrl-CS"/>
        </w:rPr>
      </w:pPr>
      <w:r w:rsidRPr="00844118">
        <w:rPr>
          <w:lang w:val="sr-Cyrl-CS"/>
        </w:rPr>
        <w:t xml:space="preserve"> </w:t>
      </w:r>
      <w:r w:rsidRPr="00844118">
        <w:rPr>
          <w:lang w:val="sr-Cyrl-CS"/>
        </w:rPr>
        <w:tab/>
      </w:r>
      <w:r w:rsidR="0040226C" w:rsidRPr="00844118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844118">
        <w:rPr>
          <w:lang w:val="sr-Cyrl-CS"/>
        </w:rPr>
        <w:t xml:space="preserve"> </w:t>
      </w:r>
    </w:p>
    <w:p w14:paraId="7E13DCDE" w14:textId="77777777" w:rsidR="006961E3" w:rsidRPr="00844118" w:rsidRDefault="0040226C" w:rsidP="006130E2">
      <w:pPr>
        <w:jc w:val="both"/>
        <w:rPr>
          <w:lang w:val="sr-Cyrl-CS"/>
        </w:rPr>
      </w:pPr>
      <w:r w:rsidRPr="00844118">
        <w:rPr>
          <w:lang w:val="sr-Cyrl-CS"/>
        </w:rPr>
        <w:t xml:space="preserve"> </w:t>
      </w:r>
    </w:p>
    <w:p w14:paraId="5B0D2D7A" w14:textId="245C7F03" w:rsidR="006961E3" w:rsidRPr="00844118" w:rsidRDefault="006961E3" w:rsidP="006130E2">
      <w:pPr>
        <w:ind w:firstLine="720"/>
        <w:jc w:val="both"/>
        <w:rPr>
          <w:bCs/>
          <w:lang w:val="sr-Cyrl-CS"/>
        </w:rPr>
      </w:pPr>
      <w:r w:rsidRPr="00844118">
        <w:rPr>
          <w:bCs/>
          <w:lang w:val="sr-Cyrl-CS"/>
        </w:rPr>
        <w:t xml:space="preserve"> II. РАЗЛОЗИ ЗА ДОНОШЕЊЕ ЗАКОНА</w:t>
      </w:r>
      <w:r w:rsidR="0069359B" w:rsidRPr="00844118">
        <w:rPr>
          <w:bCs/>
          <w:lang w:val="sr-Cyrl-CS"/>
        </w:rPr>
        <w:t xml:space="preserve"> </w:t>
      </w:r>
      <w:r w:rsidR="00F73915" w:rsidRPr="00844118">
        <w:rPr>
          <w:bCs/>
          <w:lang w:val="sr-Cyrl-CS"/>
        </w:rPr>
        <w:t>–</w:t>
      </w:r>
      <w:r w:rsidR="0069359B" w:rsidRPr="00844118">
        <w:rPr>
          <w:bCs/>
          <w:lang w:val="sr-Cyrl-CS"/>
        </w:rPr>
        <w:t xml:space="preserve"> ПОТВРЂИВАЊЕ</w:t>
      </w:r>
    </w:p>
    <w:p w14:paraId="7732C442" w14:textId="77777777" w:rsidR="00F73915" w:rsidRPr="00844118" w:rsidRDefault="00F73915" w:rsidP="006130E2">
      <w:pPr>
        <w:ind w:firstLine="720"/>
        <w:jc w:val="both"/>
        <w:rPr>
          <w:lang w:val="sr-Cyrl-CS"/>
        </w:rPr>
      </w:pPr>
    </w:p>
    <w:p w14:paraId="308E3D14" w14:textId="4FCCD4B5" w:rsidR="008569C6" w:rsidRPr="00844118" w:rsidRDefault="008569C6" w:rsidP="001F1945">
      <w:pPr>
        <w:ind w:firstLine="708"/>
        <w:jc w:val="both"/>
        <w:rPr>
          <w:lang w:val="sr-Cyrl-CS"/>
        </w:rPr>
      </w:pPr>
      <w:r w:rsidRPr="00844118">
        <w:rPr>
          <w:lang w:val="sr-Cyrl-CS"/>
        </w:rPr>
        <w:t xml:space="preserve">Разлози за доношење Закона о потврђивању Oквирног споразума о зајму </w:t>
      </w:r>
      <w:r w:rsidRPr="00844118">
        <w:rPr>
          <w:lang w:val="sr-Cyrl-CS" w:eastAsia="sr-Latn-CS"/>
        </w:rPr>
        <w:t xml:space="preserve">LD 1981 ADD 1 (2022) између Банке за развој Савета Европе и Републике Србије - Зајам за финансирање јавног здравственог сектора </w:t>
      </w:r>
      <w:r w:rsidRPr="00844118">
        <w:rPr>
          <w:lang w:val="sr-Cyrl-CS"/>
        </w:rPr>
        <w:t>(PFF), садржани су у одредби члана 5. став 2. Закона о јавном дугу („Службени гласник РС”, бр. 61/05, 107/09, 78/11, 68/15, 95/18, 91/19 и 149/20) према којој На</w:t>
      </w:r>
      <w:r w:rsidR="00FB12CF" w:rsidRPr="00844118">
        <w:rPr>
          <w:lang w:val="sr-Cyrl-CS"/>
        </w:rPr>
        <w:t>родна скупштина</w:t>
      </w:r>
      <w:r w:rsidRPr="00844118">
        <w:rPr>
          <w:lang w:val="sr-Cyrl-CS"/>
        </w:rPr>
        <w:t xml:space="preserve"> одлучује о задуживању Републике Србије и одредби члана 14. став 1. Закона о закључивању и извршавању међународних уговора („С</w:t>
      </w:r>
      <w:r w:rsidR="00FB12CF" w:rsidRPr="00844118">
        <w:rPr>
          <w:lang w:val="sr-Cyrl-CS"/>
        </w:rPr>
        <w:t>лужбени гласник РС</w:t>
      </w:r>
      <w:r w:rsidRPr="00844118">
        <w:rPr>
          <w:lang w:val="sr-Cyrl-CS"/>
        </w:rPr>
        <w:t xml:space="preserve">”, број 32/13) према којој </w:t>
      </w:r>
      <w:r w:rsidRPr="00844118">
        <w:rPr>
          <w:noProof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14:paraId="6743C547" w14:textId="4CCEB1F7" w:rsidR="00F73915" w:rsidRPr="00844118" w:rsidRDefault="00F73915" w:rsidP="00F73915">
      <w:pPr>
        <w:ind w:firstLine="720"/>
        <w:jc w:val="both"/>
        <w:rPr>
          <w:highlight w:val="yellow"/>
          <w:lang w:val="sr-Cyrl-CS" w:eastAsia="sr-Latn-CS"/>
        </w:rPr>
      </w:pPr>
      <w:r w:rsidRPr="00844118">
        <w:rPr>
          <w:lang w:val="sr-Cyrl-CS" w:eastAsia="sr-Latn-CS"/>
        </w:rPr>
        <w:t>Оквирни споразум о зајму LD 1981 (2018) између Банке за развој Савета Европе и Републике Србије за финансирање јавног сектора - унапређење инфраструктуре у области здравственe заштите у Србији, потписан је у Београду, 4. априла 2019. године и у Паризу, 15. априла 2019. године („Службени гласник РС - Међународни уговори”, број 6/19) (у даљем тексту: Уговор о зајму).</w:t>
      </w:r>
    </w:p>
    <w:p w14:paraId="7F5D15AB" w14:textId="1B174ECB" w:rsidR="00F73915" w:rsidRPr="00844118" w:rsidRDefault="00F73915" w:rsidP="0051653A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Уговором о зајму је инвестирано у изградњу, проширење и рехабилитацију здравствених установа широм Републике Србије, покривајући секундарне и терцијарне здравствене центре. Пројектом су обухваћени здравствени центри у следећим градовима/општинама/насељима: Београд, Аранђеловац, Лозница, Нови Сад, Лесковац, Прокупље, Врбас, Краљево, Ваљево, </w:t>
      </w:r>
      <w:r w:rsidRPr="00844118">
        <w:rPr>
          <w:lang w:val="sr-Cyrl-CS" w:eastAsia="en-GB"/>
        </w:rPr>
        <w:t>Велико Градиште,</w:t>
      </w:r>
      <w:r w:rsidRPr="00844118">
        <w:rPr>
          <w:lang w:val="sr-Cyrl-CS"/>
        </w:rPr>
        <w:t xml:space="preserve"> Врњачка Бања, Врање, Смедеревска Паланка, </w:t>
      </w:r>
      <w:r w:rsidRPr="00844118">
        <w:rPr>
          <w:lang w:val="sr-Cyrl-CS" w:eastAsia="en-GB"/>
        </w:rPr>
        <w:t>Сурдулица, Кикинда, Лазаревац, Неготин,</w:t>
      </w:r>
      <w:r w:rsidRPr="00844118">
        <w:rPr>
          <w:lang w:val="sr-Cyrl-CS"/>
        </w:rPr>
        <w:t xml:space="preserve"> Суботица, Петровац на Млави, Уб, Младеновац, Мајданпек, </w:t>
      </w:r>
      <w:r w:rsidRPr="00844118">
        <w:rPr>
          <w:lang w:val="sr-Cyrl-CS" w:eastAsia="en-GB"/>
        </w:rPr>
        <w:t xml:space="preserve">Осечина, Ариље, Суботица, </w:t>
      </w:r>
      <w:r w:rsidRPr="00844118">
        <w:rPr>
          <w:lang w:val="sr-Cyrl-CS"/>
        </w:rPr>
        <w:t>Пирот, Лапово, Рача, Медвеђа, Сомбор, Гаџин Хан,  Нови Пазар.</w:t>
      </w:r>
    </w:p>
    <w:p w14:paraId="239692D7" w14:textId="6E7860B8" w:rsidR="006961E3" w:rsidRPr="00844118" w:rsidRDefault="00F73915" w:rsidP="00F73915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>Средства зајма су планирана као подршка већ постојећим инвестицијама државног буџета у здравствени сектор, чиме су се допунила тренутно недовољна издавања за здравствену инфраструктуру на свим нивоима финансирања. На овај начин се покрило око 30% инвестиционих потреба за инфраструктурно одржавање током трогодишњег периода, са фокусом на побољшање инфраструктуре на секундарном и терцијарном нивоу здравствене заштите - кроз улагања у модернизацију малих, средњих и већих болничких установа специјалистичке заштите.</w:t>
      </w:r>
    </w:p>
    <w:p w14:paraId="1E5D4312" w14:textId="4193F656" w:rsidR="00F73915" w:rsidRPr="00844118" w:rsidRDefault="00F73915" w:rsidP="00F73915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>Управљање системом здравствене заштите у Републици Србији врши Министарство здравља које утврђује здравствену политику, стандарде и механизме контроле, али и врши контролу квалитета; Институт за ја</w:t>
      </w:r>
      <w:r w:rsidR="00FB12CF" w:rsidRPr="00844118">
        <w:rPr>
          <w:lang w:val="sr-Cyrl-CS"/>
        </w:rPr>
        <w:t>вно здравство „Др Милан Јовановић Батут”</w:t>
      </w:r>
      <w:r w:rsidRPr="00844118">
        <w:rPr>
          <w:lang w:val="sr-Cyrl-CS"/>
        </w:rPr>
        <w:t>, који прикупља и анализира податке о здравственом систему, предлаже мере за унапређење здравственог система, предлаже годишњи план рада здравствених установа; и Републички фонд за здравствено осигурање који врши финансирање јавног здравства.</w:t>
      </w:r>
    </w:p>
    <w:p w14:paraId="7AE2CA46" w14:textId="77777777" w:rsidR="00F73915" w:rsidRPr="00844118" w:rsidRDefault="00F73915" w:rsidP="00F73915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Пружаоци здравствених услуга у Републици Србији су организовани на три нивоа: примарни, секундарни и терцијарни ниво. Примарни ниво јавне здравствене </w:t>
      </w:r>
      <w:r w:rsidRPr="00844118">
        <w:rPr>
          <w:lang w:val="sr-Cyrl-CS"/>
        </w:rPr>
        <w:lastRenderedPageBreak/>
        <w:t>службе нуде центри за заштиту здравља у заједници, којих има 158, и у њима раде мултидисциплинарни тимови, који обухватају лекаре опште праксе, педијатре, медицинске сестре и административно особље, а у неким случајевима и социјалне раднике, бабице и физиотерапеуте. Секундарни ниво здравствених услуга пружа се кроз 40 општих и 37 специјализованих болница, распоређених широм земље. Они пружају специјалистичке услуге, које се не могу пружити на примарном нивоу, а пацијенту је потребан упут од лекара опште праксе да уђе у секундарни ниво здравствене заштите. Клинички центри, клинике, институти и клиничко-болнички центри представљају трећи ниво здравствене службе, који се састоји од четири клиничка центра (Београд, Ниш, Нови Сад, Крагујевац), шест клиника, 16 института и четири клиничко-болнички центра, а упут за овај ниво услуге даје лекар опште праксе, на основу мишљења специјалисте.</w:t>
      </w:r>
    </w:p>
    <w:p w14:paraId="7F0D2F58" w14:textId="54820C4D" w:rsidR="00F73915" w:rsidRPr="00844118" w:rsidRDefault="00F73915" w:rsidP="00F73915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Процењена вредност Пројекта је била 350.000.000 евра, од којих је Банка </w:t>
      </w:r>
      <w:r w:rsidR="00C31067" w:rsidRPr="00844118">
        <w:rPr>
          <w:lang w:val="sr-Cyrl-CS" w:eastAsia="sr-Latn-CS"/>
        </w:rPr>
        <w:t xml:space="preserve">за развој Савета Европе (у даљем тексту: Банка) </w:t>
      </w:r>
      <w:r w:rsidRPr="00844118">
        <w:rPr>
          <w:lang w:val="sr-Cyrl-CS"/>
        </w:rPr>
        <w:t>у складу са својом пословном политиком финансирала до 60% вредности Пројекта, односно износ од 200.000.000 евра, који је искоришћен за буџетске алокације за квалификоване потпројекте.</w:t>
      </w:r>
    </w:p>
    <w:p w14:paraId="37DE3383" w14:textId="77777777" w:rsidR="00F73915" w:rsidRPr="00844118" w:rsidRDefault="00F73915" w:rsidP="00F73915">
      <w:pPr>
        <w:ind w:firstLine="720"/>
        <w:jc w:val="both"/>
        <w:rPr>
          <w:lang w:val="sr-Cyrl-CS" w:eastAsia="sr-Latn-CS"/>
        </w:rPr>
      </w:pPr>
      <w:r w:rsidRPr="00844118">
        <w:rPr>
          <w:lang w:val="sr-Cyrl-CS" w:eastAsia="sr-Latn-CS"/>
        </w:rPr>
        <w:t>Ово је први пут да је Банка понудила Републици Србији зајам за финансирање јавног сектора кроз: флексибилније финансирање сектора деловања Банке са оптималним нивоом улагања како би се очувала одрживост социјалних инвестиција; приоритизацију; отклањање привремених недостатака у токовима финансирања; смањивање трошкова финансирања из буџетских средстава.</w:t>
      </w:r>
    </w:p>
    <w:p w14:paraId="626AFBD5" w14:textId="77777777" w:rsidR="00F73915" w:rsidRPr="00844118" w:rsidRDefault="00F73915" w:rsidP="00F73915">
      <w:pPr>
        <w:ind w:firstLine="720"/>
        <w:jc w:val="both"/>
        <w:rPr>
          <w:lang w:val="sr-Cyrl-CS" w:eastAsia="sr-Latn-CS"/>
        </w:rPr>
      </w:pPr>
      <w:r w:rsidRPr="00844118">
        <w:rPr>
          <w:lang w:val="sr-Cyrl-CS" w:eastAsia="sr-Latn-CS"/>
        </w:rPr>
        <w:t>Квалификовани трошкови за ову врсту зајма су инвестиције које се управо спроводе, као и трошкови уговора за одржавање, а изузетно то могу бити и трошкови потребни за одрживо пружање јавних услуга. Није могуће путем овe врсте зајма финансирати исплату плата и сличних накнада, као ни финансијске трошкове као што су разне врсте такси, накнада итд.</w:t>
      </w:r>
    </w:p>
    <w:p w14:paraId="3D4C1304" w14:textId="77777777" w:rsidR="00F73915" w:rsidRPr="00844118" w:rsidRDefault="00F73915" w:rsidP="00F73915">
      <w:pPr>
        <w:ind w:firstLine="720"/>
        <w:jc w:val="both"/>
        <w:rPr>
          <w:lang w:val="sr-Cyrl-CS"/>
        </w:rPr>
      </w:pPr>
      <w:r w:rsidRPr="00844118">
        <w:rPr>
          <w:lang w:val="sr-Cyrl-CS" w:eastAsia="sr-Latn-CS"/>
        </w:rPr>
        <w:t xml:space="preserve">За спровођење овог пројекта према Уговору о зајму била је задужена </w:t>
      </w:r>
      <w:r w:rsidRPr="00844118">
        <w:rPr>
          <w:lang w:val="sr-Cyrl-CS"/>
        </w:rPr>
        <w:t>Канцеларија за управљање јавним улагањима као Тело за спровођење пројекта.</w:t>
      </w:r>
    </w:p>
    <w:p w14:paraId="1B235407" w14:textId="39F6A247" w:rsidR="00F73915" w:rsidRPr="00844118" w:rsidRDefault="00F73915" w:rsidP="0078361A">
      <w:pPr>
        <w:ind w:firstLine="720"/>
        <w:jc w:val="both"/>
        <w:rPr>
          <w:lang w:val="sr-Cyrl-CS" w:eastAsia="sr-Latn-CS"/>
        </w:rPr>
      </w:pPr>
      <w:r w:rsidRPr="00844118">
        <w:rPr>
          <w:lang w:val="sr-Cyrl-CS"/>
        </w:rPr>
        <w:t>Како су средства зајма у потпуности утрошена, а наведени пројекат је показао потребу за додатним улагањем у инфраструктуру у сектору здравства у нашој земљи, Република Србија је упутила Банци захтев за одобрење зајма за делимично финансирање јавног здравственог сектора, у износу дo 200.000.000 евра, који је Административни савет Банке одобрио 28. јануара 2022. године.</w:t>
      </w:r>
    </w:p>
    <w:p w14:paraId="39E632C6" w14:textId="7C16BB52" w:rsidR="005744F4" w:rsidRPr="00844118" w:rsidRDefault="005744F4" w:rsidP="0078361A">
      <w:pPr>
        <w:ind w:firstLine="720"/>
        <w:jc w:val="both"/>
        <w:rPr>
          <w:lang w:val="sr-Cyrl-CS" w:eastAsia="sr-Latn-CS"/>
        </w:rPr>
      </w:pPr>
      <w:r w:rsidRPr="00844118">
        <w:rPr>
          <w:lang w:val="sr-Cyrl-CS" w:eastAsia="sr-Latn-CS"/>
        </w:rPr>
        <w:t xml:space="preserve">Чланом 3. Закона о буџету Републике Србије за 2022. годину („Службени гласник РС”, бр. 110/21 и 125/22) и Законa о буџету Републике Србије за 2023. годину („Службени гласник РС”, број 138/22), одобрено је задуживање код Банке за зајам за подршку здравству, који се односи на Нацрт оквирног споразума о зајму LD 1981 ADD 1 (2022) између Банке за развој Савета Европе и Републике Србије - Зајам за финансирање јавног здравственог сектора </w:t>
      </w:r>
      <w:r w:rsidRPr="00844118">
        <w:rPr>
          <w:lang w:val="sr-Cyrl-CS"/>
        </w:rPr>
        <w:t>(PFF)</w:t>
      </w:r>
      <w:r w:rsidRPr="00844118">
        <w:rPr>
          <w:lang w:val="sr-Cyrl-CS" w:eastAsia="sr-Latn-CS"/>
        </w:rPr>
        <w:t>, у износу до 200.000.000 евра (у даљем тексту: Пројекат).</w:t>
      </w:r>
    </w:p>
    <w:p w14:paraId="7C799ADB" w14:textId="444B8C1E" w:rsidR="00207554" w:rsidRPr="00844118" w:rsidRDefault="00FB12CF" w:rsidP="0078361A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>Закључком Владе 05 Б</w:t>
      </w:r>
      <w:r w:rsidR="00CC1AE1" w:rsidRPr="00844118">
        <w:rPr>
          <w:lang w:val="sr-Cyrl-CS"/>
        </w:rPr>
        <w:t>ро</w:t>
      </w:r>
      <w:r w:rsidR="00AB303D" w:rsidRPr="00844118">
        <w:rPr>
          <w:lang w:val="sr-Cyrl-CS"/>
        </w:rPr>
        <w:t>ј: 48-2240</w:t>
      </w:r>
      <w:r w:rsidR="00CC1AE1" w:rsidRPr="00844118">
        <w:rPr>
          <w:lang w:val="sr-Cyrl-CS"/>
        </w:rPr>
        <w:t>/</w:t>
      </w:r>
      <w:r w:rsidR="00AB303D" w:rsidRPr="00844118">
        <w:rPr>
          <w:lang w:val="sr-Cyrl-CS"/>
        </w:rPr>
        <w:t>2023 од 16. марта 2023</w:t>
      </w:r>
      <w:r w:rsidR="00CC1AE1" w:rsidRPr="00844118">
        <w:rPr>
          <w:lang w:val="sr-Cyrl-CS"/>
        </w:rPr>
        <w:t xml:space="preserve">. године, утврђена је Oснова за вођење преговора са Банком у вези са одобравањем зајма за Пројекат </w:t>
      </w:r>
      <w:r w:rsidR="0098613B" w:rsidRPr="00844118">
        <w:rPr>
          <w:lang w:val="sr-Cyrl-CS"/>
        </w:rPr>
        <w:t xml:space="preserve">и усвојен </w:t>
      </w:r>
      <w:r w:rsidR="00AB303D" w:rsidRPr="00844118">
        <w:rPr>
          <w:lang w:val="sr-Cyrl-CS" w:eastAsia="sr-Latn-CS"/>
        </w:rPr>
        <w:t xml:space="preserve">Нацрт оквирног споразума о зајму LD 1981 ADD 1 (2022) између Банке за развој Савета Европе и Републике Србије - Зајам за финансирање јавног здравственог сектора </w:t>
      </w:r>
      <w:r w:rsidR="00AB303D" w:rsidRPr="00844118">
        <w:rPr>
          <w:lang w:val="sr-Cyrl-CS"/>
        </w:rPr>
        <w:t>(PFF)</w:t>
      </w:r>
      <w:r w:rsidR="00AB303D" w:rsidRPr="00844118">
        <w:rPr>
          <w:lang w:val="sr-Cyrl-CS" w:eastAsia="sr-Latn-CS"/>
        </w:rPr>
        <w:t>.</w:t>
      </w:r>
      <w:r w:rsidR="006C32B0" w:rsidRPr="00844118">
        <w:rPr>
          <w:lang w:val="sr-Cyrl-CS"/>
        </w:rPr>
        <w:t xml:space="preserve"> Наведени </w:t>
      </w:r>
      <w:r w:rsidR="00302F02" w:rsidRPr="00844118">
        <w:rPr>
          <w:lang w:val="sr-Cyrl-CS"/>
        </w:rPr>
        <w:t>оквирни с</w:t>
      </w:r>
      <w:r w:rsidR="00DB4E68" w:rsidRPr="00844118">
        <w:rPr>
          <w:lang w:val="sr-Cyrl-CS"/>
        </w:rPr>
        <w:t>поразум о зајму потписан је 20. марта 2023. године у Паризу и 28. марта 2023</w:t>
      </w:r>
      <w:r w:rsidR="006C32B0" w:rsidRPr="00844118">
        <w:rPr>
          <w:lang w:val="sr-Cyrl-CS"/>
        </w:rPr>
        <w:t xml:space="preserve">. године у </w:t>
      </w:r>
      <w:r w:rsidR="00DB4E68" w:rsidRPr="00844118">
        <w:rPr>
          <w:lang w:val="sr-Cyrl-CS"/>
        </w:rPr>
        <w:t>Београду.</w:t>
      </w:r>
    </w:p>
    <w:p w14:paraId="147DD71D" w14:textId="68D23919" w:rsidR="001E18F2" w:rsidRPr="00844118" w:rsidRDefault="00C31067" w:rsidP="001E18F2">
      <w:pPr>
        <w:ind w:firstLine="720"/>
        <w:jc w:val="both"/>
        <w:rPr>
          <w:lang w:val="sr-Cyrl-CS" w:eastAsia="sr-Latn-CS"/>
        </w:rPr>
      </w:pPr>
      <w:r w:rsidRPr="00844118">
        <w:rPr>
          <w:lang w:val="sr-Cyrl-CS" w:eastAsia="sr-Latn-CS"/>
        </w:rPr>
        <w:t>В</w:t>
      </w:r>
      <w:r w:rsidR="001E18F2" w:rsidRPr="00844118">
        <w:rPr>
          <w:lang w:val="sr-Cyrl-CS" w:eastAsia="sr-Latn-CS"/>
        </w:rPr>
        <w:t xml:space="preserve">редност Пројекта који ће се финансирати средствима наведеног оквирног споразума о зајму LD 1981 ADD 1 (2022) између Банке и Републике Србије је 280.000.000 евра, од којих ће Банка, у складу са својом пословном политиком финансирати износ од 200.000.000 евра, који ће се користити за буџетске алокације за квалификоване потпројекте. Дакле, укупна вредност пројекта који се финансирао </w:t>
      </w:r>
      <w:r w:rsidR="001E18F2" w:rsidRPr="00844118">
        <w:rPr>
          <w:lang w:val="sr-Cyrl-CS" w:eastAsia="sr-Latn-CS"/>
        </w:rPr>
        <w:lastRenderedPageBreak/>
        <w:t>Уговором о зајму и који ће се финансирати средствима новог зајма је 630.000.000 евра, од којих Банка обезбеђује 400.000.000 евра</w:t>
      </w:r>
      <w:r w:rsidR="00844118">
        <w:rPr>
          <w:lang w:val="sr-Cyrl-CS" w:eastAsia="sr-Latn-CS"/>
        </w:rPr>
        <w:t>,</w:t>
      </w:r>
      <w:r w:rsidR="001E18F2" w:rsidRPr="00844118">
        <w:rPr>
          <w:lang w:val="sr-Cyrl-CS" w:eastAsia="sr-Latn-CS"/>
        </w:rPr>
        <w:t xml:space="preserve"> oдносно до 63,5% вредности Пројекта, док ће се преостали износ од 230.000.000 евра обезбедити из буџета Републике Србије.</w:t>
      </w:r>
    </w:p>
    <w:p w14:paraId="2C3F4BEE" w14:textId="7AB3CDAE" w:rsidR="00D00EC8" w:rsidRPr="00844118" w:rsidRDefault="00D00EC8" w:rsidP="00D00EC8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>За спровођење овог пројекта према Оквирном споразуму о зајму LD 1981 ADD 1 (2022) између Банке и Републике Србије - Зајам за финансирање јавног здравственог сектора (PFF), задужено је Министарство за јавна улагања као Тело за спровођење пројекта.</w:t>
      </w:r>
    </w:p>
    <w:p w14:paraId="1350BC09" w14:textId="61640C8F" w:rsidR="00D00EC8" w:rsidRPr="00844118" w:rsidRDefault="00D00EC8" w:rsidP="00D00EC8">
      <w:pPr>
        <w:ind w:firstLine="720"/>
        <w:jc w:val="both"/>
        <w:rPr>
          <w:lang w:val="sr-Cyrl-CS" w:eastAsia="sr-Latn-CS"/>
        </w:rPr>
      </w:pPr>
      <w:r w:rsidRPr="00844118">
        <w:rPr>
          <w:lang w:val="sr-Cyrl-CS" w:eastAsia="sr-Latn-CS"/>
        </w:rPr>
        <w:t>Предложено додатно финансирање овог значајног пројекта у износу од 200.000.000 евра има за циљ да обезбеди континуитет у унапређењу установа здравствене заштите и центара за социјалну заштиту у Србији у следећим градовима:</w:t>
      </w:r>
      <w:r w:rsidRPr="00844118">
        <w:rPr>
          <w:lang w:val="sr-Cyrl-CS"/>
        </w:rPr>
        <w:t xml:space="preserve"> Београд - </w:t>
      </w:r>
      <w:r w:rsidRPr="00844118">
        <w:rPr>
          <w:lang w:val="sr-Cyrl-CS" w:eastAsia="sr-Latn-CS"/>
        </w:rPr>
        <w:t>Институт за кардиоваскуларне болести Дедиње (реконструкција старе зграде) и Клиника за гинекологију и акушерство Универзитетског клиничког центра Србије у Вишеградској улици (реконструкција старе зграде), Смедеревска Паланка (реконструкција опште болнице), Суботица (реконструкција опште болнице), Сремска Митровица (реконструкција опште болнице), Горњи Милановац (Општа болница – друга фаза реконструкције), Зајечар (реконструкција Дома здравља и геронтолошког центра), Крушевац (реконструкција опште болнице), Лесковац (реконструкција опште болнице), Ниш (реконструкција хитне службе), Нови Пазар (реконструкција опште болнице и Дома здравља), Прокупље (реконструкција опште болнице), Сурдулица (реконструкција Дома здравља) и Ћуприја (изградња Интерног одељења и Дијагностичког центра опште болнице). Листа са</w:t>
      </w:r>
      <w:r w:rsidR="00054649">
        <w:rPr>
          <w:lang w:val="sr-Cyrl-CS" w:eastAsia="sr-Latn-CS"/>
        </w:rPr>
        <w:t xml:space="preserve"> пројектима је дата као индикат</w:t>
      </w:r>
      <w:r w:rsidRPr="00844118">
        <w:rPr>
          <w:lang w:val="sr-Cyrl-CS" w:eastAsia="sr-Latn-CS"/>
        </w:rPr>
        <w:t>ивна и могуће су промене пројеката, као и градова током трајања пројекта.</w:t>
      </w:r>
    </w:p>
    <w:p w14:paraId="7A4CAFCA" w14:textId="14B6995B" w:rsidR="000D421F" w:rsidRPr="00844118" w:rsidRDefault="00D00EC8" w:rsidP="000D421F">
      <w:pPr>
        <w:ind w:firstLine="720"/>
        <w:jc w:val="both"/>
        <w:rPr>
          <w:lang w:val="sr-Cyrl-CS" w:eastAsia="sr-Latn-CS"/>
        </w:rPr>
      </w:pPr>
      <w:r w:rsidRPr="00844118">
        <w:rPr>
          <w:lang w:val="sr-Cyrl-CS" w:eastAsia="sr-Latn-CS"/>
        </w:rPr>
        <w:t>Средства ће се користити за унапређења инфраструктуре за примарни, секундарни и терцијарни ниво здравствене заштите кроз улагања у модернизацију малих, средњих и већих специјализованих болничких установа, као и центара за социјалну заштиту који пружају подршку угроженим групама, као што су старије особе, деца без родитеља, или деца са посебним потребама.</w:t>
      </w:r>
    </w:p>
    <w:p w14:paraId="73F62C22" w14:textId="6B3A4EEC" w:rsidR="008569C6" w:rsidRPr="00844118" w:rsidRDefault="008569C6" w:rsidP="008569C6">
      <w:pPr>
        <w:tabs>
          <w:tab w:val="left" w:pos="0"/>
        </w:tabs>
        <w:jc w:val="both"/>
        <w:rPr>
          <w:bCs/>
          <w:lang w:val="sr-Cyrl-CS"/>
        </w:rPr>
      </w:pPr>
      <w:r w:rsidRPr="00844118">
        <w:rPr>
          <w:bCs/>
          <w:lang w:val="sr-Cyrl-CS"/>
        </w:rPr>
        <w:tab/>
        <w:t>Наведеним оквирним споразумом о зајму предвиђено је да Банка стави на располагање Републици Србији кредитна средства под следећим условима:</w:t>
      </w:r>
    </w:p>
    <w:p w14:paraId="6F865233" w14:textId="77777777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зајмодавац: Банка за развој Савета Европе;</w:t>
      </w:r>
    </w:p>
    <w:p w14:paraId="0F0C5F13" w14:textId="2C4AC547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зајмопримац: Република Србија;</w:t>
      </w:r>
    </w:p>
    <w:p w14:paraId="68A808C8" w14:textId="10B7463E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 xml:space="preserve">тело за спровођење Пројекта: </w:t>
      </w:r>
      <w:r w:rsidRPr="00844118">
        <w:rPr>
          <w:lang w:val="sr-Cyrl-CS" w:eastAsia="sr-Latn-CS"/>
        </w:rPr>
        <w:t>Министарство за јавна улагања;</w:t>
      </w:r>
    </w:p>
    <w:p w14:paraId="1165D94B" w14:textId="5ED5BE30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износ задужења: 200.000.000 евра;</w:t>
      </w:r>
    </w:p>
    <w:p w14:paraId="0B4DD6A9" w14:textId="7722C12F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14:paraId="4430BEA7" w14:textId="24DCBAA9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приликом повлачења транше, зајмопримац има могућност избора између годишње, полугодишње и тромесечне отплате кредита;</w:t>
      </w:r>
    </w:p>
    <w:p w14:paraId="1D0EDB6C" w14:textId="600EAC27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подношење захтева за исплату прве транше у року од 12 месеци након потписивања оквирног споразума о зајму;</w:t>
      </w:r>
    </w:p>
    <w:p w14:paraId="5E046E0A" w14:textId="39B230C8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износ прве транше зајма не сме бити већи од 25% укупног износа зајма;</w:t>
      </w:r>
    </w:p>
    <w:p w14:paraId="6AFE4B20" w14:textId="58846B89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приступна накнада и накнада на неповучена средства зајма се не плаћају;</w:t>
      </w:r>
    </w:p>
    <w:p w14:paraId="3894EE21" w14:textId="283C9898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за сваку појединачну повучену траншу, зајмопримац има могућност избора периода отплате до 20 година с</w:t>
      </w:r>
      <w:r w:rsidR="00FB12CF" w:rsidRPr="00844118">
        <w:rPr>
          <w:lang w:val="sr-Cyrl-CS"/>
        </w:rPr>
        <w:t>а укљученим периодом почека до пет</w:t>
      </w:r>
      <w:r w:rsidRPr="00844118">
        <w:rPr>
          <w:lang w:val="sr-Cyrl-CS"/>
        </w:rPr>
        <w:t xml:space="preserve"> година;</w:t>
      </w:r>
    </w:p>
    <w:p w14:paraId="44804A38" w14:textId="4F8B9179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период алокације кредитних средстава сваке транше је 12 месеци од датума исплате транше;</w:t>
      </w:r>
    </w:p>
    <w:p w14:paraId="08AC2535" w14:textId="05DB6A38" w:rsidR="008569C6" w:rsidRPr="00844118" w:rsidRDefault="008569C6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 xml:space="preserve">крајњи датум расположивости кредитних средстава је </w:t>
      </w:r>
      <w:r w:rsidRPr="00844118">
        <w:rPr>
          <w:bCs/>
          <w:lang w:val="sr-Cyrl-CS"/>
        </w:rPr>
        <w:t xml:space="preserve">31. март 2026. године, а период реализације Пројекта је предвиђен </w:t>
      </w:r>
      <w:r w:rsidRPr="00844118">
        <w:rPr>
          <w:lang w:val="sr-Cyrl-CS" w:eastAsia="sr-Latn-CS"/>
        </w:rPr>
        <w:t>у периоду од 2023-2026. године</w:t>
      </w:r>
      <w:r w:rsidRPr="00844118">
        <w:rPr>
          <w:lang w:val="sr-Cyrl-CS"/>
        </w:rPr>
        <w:t xml:space="preserve">; </w:t>
      </w:r>
    </w:p>
    <w:p w14:paraId="4F1C1415" w14:textId="782BA64E" w:rsidR="008569C6" w:rsidRPr="00844118" w:rsidRDefault="000D0969" w:rsidP="000D421F">
      <w:pPr>
        <w:pStyle w:val="ListParagraph"/>
        <w:numPr>
          <w:ilvl w:val="0"/>
          <w:numId w:val="11"/>
        </w:numPr>
        <w:jc w:val="both"/>
        <w:rPr>
          <w:lang w:val="sr-Cyrl-CS"/>
        </w:rPr>
      </w:pPr>
      <w:r w:rsidRPr="00844118">
        <w:rPr>
          <w:lang w:val="sr-Cyrl-CS"/>
        </w:rPr>
        <w:t>зајам се реализује у најмање две</w:t>
      </w:r>
      <w:r w:rsidR="008569C6" w:rsidRPr="00844118">
        <w:rPr>
          <w:lang w:val="sr-Cyrl-CS"/>
        </w:rPr>
        <w:t xml:space="preserve"> транше.</w:t>
      </w:r>
    </w:p>
    <w:p w14:paraId="469191EC" w14:textId="77777777" w:rsidR="008569C6" w:rsidRPr="00844118" w:rsidRDefault="008569C6" w:rsidP="00D00EC8">
      <w:pPr>
        <w:ind w:firstLine="720"/>
        <w:jc w:val="both"/>
        <w:rPr>
          <w:lang w:val="sr-Cyrl-CS" w:eastAsia="sr-Latn-CS"/>
        </w:rPr>
      </w:pPr>
    </w:p>
    <w:p w14:paraId="5F553708" w14:textId="7966D248" w:rsidR="006C32B0" w:rsidRPr="00844118" w:rsidRDefault="00C31067" w:rsidP="000D0969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>Циљ овог зајма је да допринесе перманентном побољшању капацитета и квалитета услуга здравствених установа и унапређењу технолошке инфраструктуре у секундарним и терцијарним центрима, уз прилагођавање система здравствене заштите потребама корисника, с обзиром на демографске трендове и друштвену бригу за здравље становништва.</w:t>
      </w:r>
    </w:p>
    <w:p w14:paraId="55C4EB8F" w14:textId="77777777" w:rsidR="00726477" w:rsidRPr="00844118" w:rsidRDefault="00384EA3" w:rsidP="00726477">
      <w:pPr>
        <w:ind w:firstLine="708"/>
        <w:jc w:val="both"/>
        <w:rPr>
          <w:lang w:val="sr-Cyrl-CS"/>
        </w:rPr>
      </w:pPr>
      <w:r w:rsidRPr="00844118">
        <w:rPr>
          <w:bCs/>
          <w:lang w:val="sr-Cyrl-CS"/>
        </w:rPr>
        <w:tab/>
      </w:r>
    </w:p>
    <w:p w14:paraId="7E8DC1D5" w14:textId="77777777" w:rsidR="00692046" w:rsidRPr="00844118" w:rsidRDefault="00692046" w:rsidP="00692046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III. ОБЈАШЊЕЊЕ ОСНОВНИХ ПРАВНИХ ИНСТИТУТА И ПОЈЕДИНАЧНИХ РЕШЕЊА </w:t>
      </w:r>
    </w:p>
    <w:p w14:paraId="1F52165F" w14:textId="77777777" w:rsidR="00692046" w:rsidRPr="00844118" w:rsidRDefault="00692046" w:rsidP="00692046">
      <w:pPr>
        <w:jc w:val="both"/>
        <w:rPr>
          <w:lang w:val="sr-Cyrl-CS"/>
        </w:rPr>
      </w:pPr>
    </w:p>
    <w:p w14:paraId="2B30F615" w14:textId="7C6DA30B" w:rsidR="00692046" w:rsidRPr="00844118" w:rsidRDefault="00692046" w:rsidP="00207554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Одредбом члана 1. </w:t>
      </w:r>
      <w:r w:rsidR="000D0969" w:rsidRPr="00844118">
        <w:rPr>
          <w:lang w:val="sr-Cyrl-CS"/>
        </w:rPr>
        <w:t xml:space="preserve">овог закона </w:t>
      </w:r>
      <w:r w:rsidRPr="00844118">
        <w:rPr>
          <w:lang w:val="sr-Cyrl-CS"/>
        </w:rPr>
        <w:t>предвиђа се потврђивање</w:t>
      </w:r>
      <w:r w:rsidR="00746BDE" w:rsidRPr="00844118">
        <w:rPr>
          <w:rFonts w:eastAsia="SimSun"/>
          <w:lang w:val="sr-Cyrl-CS"/>
        </w:rPr>
        <w:t xml:space="preserve"> </w:t>
      </w:r>
      <w:r w:rsidR="00207554" w:rsidRPr="00844118">
        <w:rPr>
          <w:lang w:val="sr-Cyrl-CS" w:eastAsia="sr-Latn-CS"/>
        </w:rPr>
        <w:t xml:space="preserve">Оквирног споразума о зајму LD 1981 ADD 1 (2022) између Банке за развој Савета Европе и Републике Србије - Зајам за финансирање јавног здравственог сектора </w:t>
      </w:r>
      <w:r w:rsidR="00207554" w:rsidRPr="00844118">
        <w:rPr>
          <w:lang w:val="sr-Cyrl-CS"/>
        </w:rPr>
        <w:t>(PFF)</w:t>
      </w:r>
      <w:r w:rsidR="008A5066" w:rsidRPr="00844118">
        <w:rPr>
          <w:rFonts w:eastAsia="SimSun"/>
          <w:lang w:val="sr-Cyrl-CS"/>
        </w:rPr>
        <w:t xml:space="preserve">, </w:t>
      </w:r>
      <w:r w:rsidR="00207554" w:rsidRPr="00844118">
        <w:rPr>
          <w:lang w:val="sr-Cyrl-CS"/>
        </w:rPr>
        <w:t>потписаног 20. марта 2023. године у Паризу и 28. марта 2023. године у Београду</w:t>
      </w:r>
      <w:r w:rsidR="00746BDE" w:rsidRPr="00844118">
        <w:rPr>
          <w:lang w:val="sr-Cyrl-CS"/>
        </w:rPr>
        <w:t xml:space="preserve">, </w:t>
      </w:r>
      <w:r w:rsidRPr="00844118">
        <w:rPr>
          <w:rFonts w:eastAsia="SimSun"/>
          <w:lang w:val="sr-Cyrl-CS"/>
        </w:rPr>
        <w:t>у оригиналу на енглеском језику.</w:t>
      </w:r>
    </w:p>
    <w:p w14:paraId="105D469E" w14:textId="09677FF6" w:rsidR="00692046" w:rsidRPr="00844118" w:rsidRDefault="00692046" w:rsidP="00692046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 Одредба члана 2. </w:t>
      </w:r>
      <w:r w:rsidR="000D0969" w:rsidRPr="00844118">
        <w:rPr>
          <w:lang w:val="sr-Cyrl-CS"/>
        </w:rPr>
        <w:t xml:space="preserve">овог закона </w:t>
      </w:r>
      <w:r w:rsidRPr="00844118">
        <w:rPr>
          <w:lang w:val="sr-Cyrl-CS"/>
        </w:rPr>
        <w:t>садржи текст</w:t>
      </w:r>
      <w:r w:rsidR="00C704EA" w:rsidRPr="00844118">
        <w:rPr>
          <w:lang w:val="sr-Cyrl-CS" w:eastAsia="sr-Latn-CS"/>
        </w:rPr>
        <w:t xml:space="preserve"> Оквирног споразума о зајму LD 1981 ADD 1 (2022) између Банке за развој Савета Европе и Републике Србије - Зајам за финансирање јавног здравственог сектора </w:t>
      </w:r>
      <w:r w:rsidR="00C704EA" w:rsidRPr="00844118">
        <w:rPr>
          <w:lang w:val="sr-Cyrl-CS"/>
        </w:rPr>
        <w:t>(PFF)</w:t>
      </w:r>
      <w:r w:rsidRPr="00844118">
        <w:rPr>
          <w:rFonts w:eastAsia="SimSun"/>
          <w:lang w:val="sr-Cyrl-CS"/>
        </w:rPr>
        <w:t xml:space="preserve">, </w:t>
      </w:r>
      <w:r w:rsidRPr="00844118">
        <w:rPr>
          <w:lang w:val="sr-Cyrl-CS"/>
        </w:rPr>
        <w:t>у оригиналу на енглеском језику и у преводу на српски језик.</w:t>
      </w:r>
    </w:p>
    <w:p w14:paraId="656ADDB5" w14:textId="0FA69EC7" w:rsidR="00692046" w:rsidRPr="00844118" w:rsidRDefault="00692046" w:rsidP="00692046">
      <w:pPr>
        <w:ind w:firstLine="720"/>
        <w:jc w:val="both"/>
        <w:rPr>
          <w:lang w:val="sr-Cyrl-CS"/>
        </w:rPr>
      </w:pPr>
      <w:r w:rsidRPr="00844118">
        <w:rPr>
          <w:lang w:val="sr-Cyrl-CS"/>
        </w:rPr>
        <w:t xml:space="preserve">Одредбом члана 3. уређује се ступање на снагу овог закона. </w:t>
      </w:r>
      <w:r w:rsidR="00C704EA" w:rsidRPr="00844118">
        <w:rPr>
          <w:lang w:val="sr-Cyrl-CS"/>
        </w:rPr>
        <w:t xml:space="preserve"> </w:t>
      </w:r>
    </w:p>
    <w:p w14:paraId="4FC85F71" w14:textId="77777777" w:rsidR="00692046" w:rsidRPr="00844118" w:rsidRDefault="00692046" w:rsidP="00692046">
      <w:pPr>
        <w:ind w:firstLine="720"/>
        <w:jc w:val="both"/>
        <w:rPr>
          <w:bCs/>
          <w:lang w:val="sr-Cyrl-CS"/>
        </w:rPr>
      </w:pPr>
    </w:p>
    <w:p w14:paraId="55024119" w14:textId="77777777" w:rsidR="00692046" w:rsidRPr="00844118" w:rsidRDefault="00692046" w:rsidP="00692046">
      <w:pPr>
        <w:ind w:firstLine="720"/>
        <w:jc w:val="both"/>
        <w:rPr>
          <w:bCs/>
          <w:lang w:val="sr-Cyrl-CS"/>
        </w:rPr>
      </w:pPr>
      <w:r w:rsidRPr="00844118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14:paraId="52884E1F" w14:textId="77777777" w:rsidR="00692046" w:rsidRPr="00844118" w:rsidRDefault="00692046" w:rsidP="00692046">
      <w:pPr>
        <w:jc w:val="both"/>
        <w:rPr>
          <w:lang w:val="sr-Cyrl-CS"/>
        </w:rPr>
      </w:pPr>
    </w:p>
    <w:p w14:paraId="5229E6A2" w14:textId="77777777" w:rsidR="00692046" w:rsidRPr="00844118" w:rsidRDefault="00692046" w:rsidP="00692046">
      <w:pPr>
        <w:jc w:val="both"/>
        <w:rPr>
          <w:lang w:val="sr-Cyrl-CS"/>
        </w:rPr>
      </w:pPr>
      <w:r w:rsidRPr="00844118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2C81B9DB" w14:textId="77777777" w:rsidR="00692046" w:rsidRPr="00844118" w:rsidRDefault="00692046" w:rsidP="00692046">
      <w:pPr>
        <w:jc w:val="both"/>
        <w:rPr>
          <w:lang w:val="sr-Cyrl-CS"/>
        </w:rPr>
      </w:pPr>
    </w:p>
    <w:p w14:paraId="45BA7E42" w14:textId="77777777" w:rsidR="00726477" w:rsidRPr="00844118" w:rsidRDefault="00726477" w:rsidP="00726477">
      <w:pPr>
        <w:ind w:firstLine="708"/>
        <w:jc w:val="both"/>
        <w:rPr>
          <w:lang w:val="sr-Cyrl-CS"/>
        </w:rPr>
      </w:pPr>
    </w:p>
    <w:sectPr w:rsidR="00726477" w:rsidRPr="00844118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ABB6" w14:textId="77777777" w:rsidR="003E2749" w:rsidRDefault="003E2749">
      <w:r>
        <w:separator/>
      </w:r>
    </w:p>
  </w:endnote>
  <w:endnote w:type="continuationSeparator" w:id="0">
    <w:p w14:paraId="4CF76DF9" w14:textId="77777777" w:rsidR="003E2749" w:rsidRDefault="003E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163A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7082B0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75493" w14:textId="77777777" w:rsidR="003E2749" w:rsidRDefault="003E2749">
      <w:r>
        <w:separator/>
      </w:r>
    </w:p>
  </w:footnote>
  <w:footnote w:type="continuationSeparator" w:id="0">
    <w:p w14:paraId="50C9C7F7" w14:textId="77777777" w:rsidR="003E2749" w:rsidRDefault="003E2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F25EA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E552D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0EFC" w14:textId="2BA34248"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4649">
      <w:rPr>
        <w:rStyle w:val="PageNumber"/>
        <w:noProof/>
      </w:rPr>
      <w:t>3</w:t>
    </w:r>
    <w:r>
      <w:rPr>
        <w:rStyle w:val="PageNumber"/>
      </w:rPr>
      <w:fldChar w:fldCharType="end"/>
    </w:r>
  </w:p>
  <w:p w14:paraId="5659ACCB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D16D44"/>
    <w:multiLevelType w:val="hybridMultilevel"/>
    <w:tmpl w:val="1840B348"/>
    <w:lvl w:ilvl="0" w:tplc="DD5814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998029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6391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0957163">
    <w:abstractNumId w:val="4"/>
  </w:num>
  <w:num w:numId="4" w16cid:durableId="551230783">
    <w:abstractNumId w:val="8"/>
  </w:num>
  <w:num w:numId="5" w16cid:durableId="1707632725">
    <w:abstractNumId w:val="3"/>
  </w:num>
  <w:num w:numId="6" w16cid:durableId="1456407064">
    <w:abstractNumId w:val="2"/>
  </w:num>
  <w:num w:numId="7" w16cid:durableId="927419062">
    <w:abstractNumId w:val="6"/>
  </w:num>
  <w:num w:numId="8" w16cid:durableId="2100060570">
    <w:abstractNumId w:val="1"/>
  </w:num>
  <w:num w:numId="9" w16cid:durableId="273828966">
    <w:abstractNumId w:val="5"/>
  </w:num>
  <w:num w:numId="10" w16cid:durableId="1876885845">
    <w:abstractNumId w:val="0"/>
  </w:num>
  <w:num w:numId="11" w16cid:durableId="19180064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32B9A"/>
    <w:rsid w:val="000437FA"/>
    <w:rsid w:val="00054649"/>
    <w:rsid w:val="00056385"/>
    <w:rsid w:val="00062F06"/>
    <w:rsid w:val="000632D9"/>
    <w:rsid w:val="00064108"/>
    <w:rsid w:val="000821BE"/>
    <w:rsid w:val="00082731"/>
    <w:rsid w:val="000828FE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4E82"/>
    <w:rsid w:val="000D0969"/>
    <w:rsid w:val="000D143F"/>
    <w:rsid w:val="000D421F"/>
    <w:rsid w:val="000E05B7"/>
    <w:rsid w:val="00103B05"/>
    <w:rsid w:val="00113ACC"/>
    <w:rsid w:val="0011444A"/>
    <w:rsid w:val="00117CB4"/>
    <w:rsid w:val="00126325"/>
    <w:rsid w:val="00137165"/>
    <w:rsid w:val="001437A5"/>
    <w:rsid w:val="00144767"/>
    <w:rsid w:val="00144B23"/>
    <w:rsid w:val="00147749"/>
    <w:rsid w:val="00153626"/>
    <w:rsid w:val="001667F5"/>
    <w:rsid w:val="0017351E"/>
    <w:rsid w:val="001A3B02"/>
    <w:rsid w:val="001A6A09"/>
    <w:rsid w:val="001A7148"/>
    <w:rsid w:val="001A77EC"/>
    <w:rsid w:val="001B4712"/>
    <w:rsid w:val="001B547D"/>
    <w:rsid w:val="001B66FD"/>
    <w:rsid w:val="001C546D"/>
    <w:rsid w:val="001C5E2D"/>
    <w:rsid w:val="001E18F2"/>
    <w:rsid w:val="001E1C8B"/>
    <w:rsid w:val="001E418E"/>
    <w:rsid w:val="001E7107"/>
    <w:rsid w:val="001F1228"/>
    <w:rsid w:val="001F1945"/>
    <w:rsid w:val="00204A89"/>
    <w:rsid w:val="002052E3"/>
    <w:rsid w:val="00207554"/>
    <w:rsid w:val="0022669F"/>
    <w:rsid w:val="00241C0E"/>
    <w:rsid w:val="00243DD8"/>
    <w:rsid w:val="00253453"/>
    <w:rsid w:val="00255BA5"/>
    <w:rsid w:val="0025659C"/>
    <w:rsid w:val="0025742D"/>
    <w:rsid w:val="00272201"/>
    <w:rsid w:val="00281206"/>
    <w:rsid w:val="00282F56"/>
    <w:rsid w:val="00286C70"/>
    <w:rsid w:val="00291078"/>
    <w:rsid w:val="002912F5"/>
    <w:rsid w:val="002A19F2"/>
    <w:rsid w:val="002C140C"/>
    <w:rsid w:val="002D3219"/>
    <w:rsid w:val="002F1750"/>
    <w:rsid w:val="0030234C"/>
    <w:rsid w:val="00302F02"/>
    <w:rsid w:val="00305959"/>
    <w:rsid w:val="003151AD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0D13"/>
    <w:rsid w:val="003C2142"/>
    <w:rsid w:val="003E2749"/>
    <w:rsid w:val="003E6854"/>
    <w:rsid w:val="003E6BA6"/>
    <w:rsid w:val="003F7B23"/>
    <w:rsid w:val="0040098B"/>
    <w:rsid w:val="0040226C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214C"/>
    <w:rsid w:val="00507384"/>
    <w:rsid w:val="00507842"/>
    <w:rsid w:val="0051653A"/>
    <w:rsid w:val="005233EB"/>
    <w:rsid w:val="00525648"/>
    <w:rsid w:val="00525E17"/>
    <w:rsid w:val="005330EB"/>
    <w:rsid w:val="00542F03"/>
    <w:rsid w:val="00543111"/>
    <w:rsid w:val="00547727"/>
    <w:rsid w:val="005532A5"/>
    <w:rsid w:val="00553A9A"/>
    <w:rsid w:val="0056231B"/>
    <w:rsid w:val="00562EF5"/>
    <w:rsid w:val="00564468"/>
    <w:rsid w:val="005667F8"/>
    <w:rsid w:val="00572EFC"/>
    <w:rsid w:val="005744F4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71FF1"/>
    <w:rsid w:val="0069053B"/>
    <w:rsid w:val="00692046"/>
    <w:rsid w:val="0069359B"/>
    <w:rsid w:val="006941D5"/>
    <w:rsid w:val="006961E3"/>
    <w:rsid w:val="006A10AF"/>
    <w:rsid w:val="006B2DE0"/>
    <w:rsid w:val="006B3D26"/>
    <w:rsid w:val="006B4040"/>
    <w:rsid w:val="006B496A"/>
    <w:rsid w:val="006B561D"/>
    <w:rsid w:val="006B6E0D"/>
    <w:rsid w:val="006C32B0"/>
    <w:rsid w:val="006C671B"/>
    <w:rsid w:val="006C6834"/>
    <w:rsid w:val="006E57BB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57C4E"/>
    <w:rsid w:val="007603E0"/>
    <w:rsid w:val="00771254"/>
    <w:rsid w:val="00774BEC"/>
    <w:rsid w:val="007769D6"/>
    <w:rsid w:val="0078361A"/>
    <w:rsid w:val="00791403"/>
    <w:rsid w:val="00792FB6"/>
    <w:rsid w:val="00796DC0"/>
    <w:rsid w:val="007B14FA"/>
    <w:rsid w:val="007B2EF6"/>
    <w:rsid w:val="007C3802"/>
    <w:rsid w:val="007C4FFD"/>
    <w:rsid w:val="007D3CBB"/>
    <w:rsid w:val="007E5871"/>
    <w:rsid w:val="007F1629"/>
    <w:rsid w:val="007F45DA"/>
    <w:rsid w:val="007F76C7"/>
    <w:rsid w:val="00812742"/>
    <w:rsid w:val="00836B68"/>
    <w:rsid w:val="00844118"/>
    <w:rsid w:val="00845874"/>
    <w:rsid w:val="008569C6"/>
    <w:rsid w:val="008604C6"/>
    <w:rsid w:val="00862E50"/>
    <w:rsid w:val="00864A3D"/>
    <w:rsid w:val="00866F6D"/>
    <w:rsid w:val="0087073F"/>
    <w:rsid w:val="00874CB0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D29F9"/>
    <w:rsid w:val="008E3D2E"/>
    <w:rsid w:val="008F0E48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174E"/>
    <w:rsid w:val="00947089"/>
    <w:rsid w:val="00947F14"/>
    <w:rsid w:val="0096620B"/>
    <w:rsid w:val="00966D91"/>
    <w:rsid w:val="0097521F"/>
    <w:rsid w:val="0098613B"/>
    <w:rsid w:val="009A5A8F"/>
    <w:rsid w:val="009A6AF0"/>
    <w:rsid w:val="009A781A"/>
    <w:rsid w:val="009B3000"/>
    <w:rsid w:val="009B79F9"/>
    <w:rsid w:val="009C0011"/>
    <w:rsid w:val="009C0876"/>
    <w:rsid w:val="009C19B8"/>
    <w:rsid w:val="009C1B3F"/>
    <w:rsid w:val="009C2FD0"/>
    <w:rsid w:val="009C535A"/>
    <w:rsid w:val="009D3B96"/>
    <w:rsid w:val="009E43BE"/>
    <w:rsid w:val="009E66D1"/>
    <w:rsid w:val="009E6D0B"/>
    <w:rsid w:val="009F0496"/>
    <w:rsid w:val="00A037E5"/>
    <w:rsid w:val="00A16918"/>
    <w:rsid w:val="00A1714E"/>
    <w:rsid w:val="00A24C0E"/>
    <w:rsid w:val="00A56DC0"/>
    <w:rsid w:val="00A67B90"/>
    <w:rsid w:val="00AA5172"/>
    <w:rsid w:val="00AA5E8B"/>
    <w:rsid w:val="00AA7FD3"/>
    <w:rsid w:val="00AB1D87"/>
    <w:rsid w:val="00AB303D"/>
    <w:rsid w:val="00AC23DB"/>
    <w:rsid w:val="00AC319E"/>
    <w:rsid w:val="00AC6967"/>
    <w:rsid w:val="00AC6E28"/>
    <w:rsid w:val="00AD219F"/>
    <w:rsid w:val="00AE0B32"/>
    <w:rsid w:val="00AF05CC"/>
    <w:rsid w:val="00AF1A91"/>
    <w:rsid w:val="00AF7620"/>
    <w:rsid w:val="00B01134"/>
    <w:rsid w:val="00B11D1A"/>
    <w:rsid w:val="00B15893"/>
    <w:rsid w:val="00B178E6"/>
    <w:rsid w:val="00B207D5"/>
    <w:rsid w:val="00B21F0D"/>
    <w:rsid w:val="00B31EEB"/>
    <w:rsid w:val="00B41779"/>
    <w:rsid w:val="00B41E3D"/>
    <w:rsid w:val="00B6096C"/>
    <w:rsid w:val="00B8231A"/>
    <w:rsid w:val="00B82F86"/>
    <w:rsid w:val="00B92820"/>
    <w:rsid w:val="00B92834"/>
    <w:rsid w:val="00B949C6"/>
    <w:rsid w:val="00BA558F"/>
    <w:rsid w:val="00BB0A10"/>
    <w:rsid w:val="00BE4ADF"/>
    <w:rsid w:val="00BF6BB4"/>
    <w:rsid w:val="00C14179"/>
    <w:rsid w:val="00C161E1"/>
    <w:rsid w:val="00C21708"/>
    <w:rsid w:val="00C31067"/>
    <w:rsid w:val="00C454A1"/>
    <w:rsid w:val="00C50663"/>
    <w:rsid w:val="00C54BEC"/>
    <w:rsid w:val="00C574E3"/>
    <w:rsid w:val="00C645D8"/>
    <w:rsid w:val="00C661C9"/>
    <w:rsid w:val="00C704EA"/>
    <w:rsid w:val="00C8159D"/>
    <w:rsid w:val="00C8376C"/>
    <w:rsid w:val="00C847B1"/>
    <w:rsid w:val="00C90848"/>
    <w:rsid w:val="00C95A13"/>
    <w:rsid w:val="00CA641F"/>
    <w:rsid w:val="00CB0050"/>
    <w:rsid w:val="00CB11E2"/>
    <w:rsid w:val="00CB387A"/>
    <w:rsid w:val="00CB391B"/>
    <w:rsid w:val="00CC1AE1"/>
    <w:rsid w:val="00CC41C3"/>
    <w:rsid w:val="00CC77B9"/>
    <w:rsid w:val="00CF1B02"/>
    <w:rsid w:val="00D00EC8"/>
    <w:rsid w:val="00D055F0"/>
    <w:rsid w:val="00D07955"/>
    <w:rsid w:val="00D57EE4"/>
    <w:rsid w:val="00D60D13"/>
    <w:rsid w:val="00D6104B"/>
    <w:rsid w:val="00D7163A"/>
    <w:rsid w:val="00D71C65"/>
    <w:rsid w:val="00D809EF"/>
    <w:rsid w:val="00D87D69"/>
    <w:rsid w:val="00DA3A35"/>
    <w:rsid w:val="00DB366B"/>
    <w:rsid w:val="00DB4E68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0B19"/>
    <w:rsid w:val="00EE585F"/>
    <w:rsid w:val="00EE6B63"/>
    <w:rsid w:val="00EF6FF3"/>
    <w:rsid w:val="00F01185"/>
    <w:rsid w:val="00F332F8"/>
    <w:rsid w:val="00F333C3"/>
    <w:rsid w:val="00F62120"/>
    <w:rsid w:val="00F73915"/>
    <w:rsid w:val="00F765C6"/>
    <w:rsid w:val="00F81A44"/>
    <w:rsid w:val="00F84AFF"/>
    <w:rsid w:val="00F84FAB"/>
    <w:rsid w:val="00F86715"/>
    <w:rsid w:val="00F90C89"/>
    <w:rsid w:val="00F9113C"/>
    <w:rsid w:val="00F9386E"/>
    <w:rsid w:val="00FB12CF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A6A2F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C4F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C4F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4FF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4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4F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Ivana Vojinović</cp:lastModifiedBy>
  <cp:revision>2</cp:revision>
  <cp:lastPrinted>2023-04-04T08:29:00Z</cp:lastPrinted>
  <dcterms:created xsi:type="dcterms:W3CDTF">2023-04-13T12:59:00Z</dcterms:created>
  <dcterms:modified xsi:type="dcterms:W3CDTF">2023-04-13T12:59:00Z</dcterms:modified>
</cp:coreProperties>
</file>