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3FFA2" w14:textId="77777777" w:rsidR="00BE4F9B" w:rsidRPr="000C0857" w:rsidRDefault="00601491" w:rsidP="00BE4F9B">
      <w:pPr>
        <w:jc w:val="center"/>
        <w:rPr>
          <w:lang w:val="sr-Cyrl-CS"/>
        </w:rPr>
      </w:pPr>
      <w:r w:rsidRPr="000C0857">
        <w:rPr>
          <w:lang w:val="sr-Cyrl-CS"/>
        </w:rPr>
        <w:t>ОБРАЗЛОЖЕЊЕ</w:t>
      </w:r>
    </w:p>
    <w:p w14:paraId="2C12AC2A" w14:textId="77777777" w:rsidR="00601491" w:rsidRPr="000C0857" w:rsidRDefault="00601491" w:rsidP="00BE4F9B">
      <w:pPr>
        <w:jc w:val="center"/>
        <w:rPr>
          <w:lang w:val="sr-Cyrl-CS"/>
        </w:rPr>
      </w:pPr>
    </w:p>
    <w:p w14:paraId="63639794" w14:textId="77777777" w:rsidR="00601491" w:rsidRPr="000C0857" w:rsidRDefault="00601491" w:rsidP="00C47372">
      <w:pPr>
        <w:pStyle w:val="ListParagraph"/>
        <w:numPr>
          <w:ilvl w:val="0"/>
          <w:numId w:val="2"/>
        </w:numPr>
        <w:jc w:val="both"/>
        <w:rPr>
          <w:lang w:val="sr-Cyrl-CS"/>
        </w:rPr>
      </w:pPr>
      <w:r w:rsidRPr="000C0857">
        <w:rPr>
          <w:lang w:val="sr-Cyrl-CS"/>
        </w:rPr>
        <w:t>УСТАВНИ ОСНОВ ЗА ДОНОШЕЊЕ ЗАКОНА</w:t>
      </w:r>
    </w:p>
    <w:p w14:paraId="7EBAFE2D" w14:textId="77777777" w:rsidR="00601491" w:rsidRPr="000C0857" w:rsidRDefault="00601491" w:rsidP="00601491">
      <w:pPr>
        <w:pStyle w:val="Default"/>
        <w:jc w:val="both"/>
        <w:rPr>
          <w:rFonts w:ascii="Times New Roman" w:hAnsi="Times New Roman" w:cs="Times New Roman"/>
          <w:lang w:val="sr-Cyrl-CS"/>
        </w:rPr>
      </w:pPr>
    </w:p>
    <w:p w14:paraId="66B5F663" w14:textId="77777777" w:rsidR="00601491" w:rsidRPr="000C0857" w:rsidRDefault="00601491" w:rsidP="00601491">
      <w:pPr>
        <w:pStyle w:val="Default"/>
        <w:ind w:firstLine="720"/>
        <w:jc w:val="both"/>
        <w:rPr>
          <w:rFonts w:ascii="Times New Roman" w:hAnsi="Times New Roman" w:cs="Times New Roman"/>
          <w:lang w:val="sr-Cyrl-CS"/>
        </w:rPr>
      </w:pPr>
      <w:r w:rsidRPr="000C0857">
        <w:rPr>
          <w:rFonts w:ascii="Times New Roman" w:hAnsi="Times New Roman" w:cs="Times New Roman"/>
          <w:lang w:val="sr-Cyrl-CS"/>
        </w:rPr>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14:paraId="6DBA1F7C" w14:textId="77777777" w:rsidR="00601491" w:rsidRPr="000C0857" w:rsidRDefault="00601491" w:rsidP="00601491">
      <w:pPr>
        <w:pStyle w:val="ListParagraph"/>
        <w:jc w:val="both"/>
        <w:rPr>
          <w:lang w:val="sr-Cyrl-CS"/>
        </w:rPr>
      </w:pPr>
    </w:p>
    <w:p w14:paraId="1856CAFD" w14:textId="77777777" w:rsidR="00601491" w:rsidRPr="000C0857" w:rsidRDefault="00601491" w:rsidP="00601491">
      <w:pPr>
        <w:pStyle w:val="ListParagraph"/>
        <w:jc w:val="both"/>
        <w:rPr>
          <w:lang w:val="sr-Cyrl-CS"/>
        </w:rPr>
      </w:pPr>
    </w:p>
    <w:p w14:paraId="54B617F6" w14:textId="77777777" w:rsidR="00601491" w:rsidRPr="000C0857" w:rsidRDefault="00601491" w:rsidP="00C47372">
      <w:pPr>
        <w:pStyle w:val="ListParagraph"/>
        <w:numPr>
          <w:ilvl w:val="0"/>
          <w:numId w:val="2"/>
        </w:numPr>
        <w:jc w:val="both"/>
        <w:rPr>
          <w:lang w:val="sr-Cyrl-CS"/>
        </w:rPr>
      </w:pPr>
      <w:r w:rsidRPr="000C0857">
        <w:rPr>
          <w:lang w:val="sr-Cyrl-CS"/>
        </w:rPr>
        <w:t xml:space="preserve">РАЗЛОЗИ ЗА ПОТВРЂИВАЊЕ </w:t>
      </w:r>
      <w:r w:rsidR="006A5413">
        <w:rPr>
          <w:lang w:val="sr-Cyrl-CS"/>
        </w:rPr>
        <w:t>СПОРАЗУМА</w:t>
      </w:r>
    </w:p>
    <w:p w14:paraId="68C22037" w14:textId="77777777" w:rsidR="00601491" w:rsidRPr="000C0857" w:rsidRDefault="00601491" w:rsidP="00601491">
      <w:pPr>
        <w:jc w:val="both"/>
        <w:rPr>
          <w:lang w:val="sr-Cyrl-CS"/>
        </w:rPr>
      </w:pPr>
    </w:p>
    <w:p w14:paraId="7A5AD4BD" w14:textId="77777777" w:rsidR="009478A6" w:rsidRPr="000C0857" w:rsidRDefault="009478A6" w:rsidP="009478A6">
      <w:pPr>
        <w:ind w:firstLine="708"/>
        <w:jc w:val="both"/>
        <w:rPr>
          <w:lang w:val="sr-Cyrl-CS"/>
        </w:rPr>
      </w:pPr>
      <w:r w:rsidRPr="000C0857">
        <w:rPr>
          <w:lang w:val="sr-Cyrl-CS"/>
        </w:rPr>
        <w:t xml:space="preserve">Разлози за потврђивање Споразума о зајму (Пројекат развоја локалне инфраструктуре и институционалног јачања локалних самоуправа) између Републике Србије и Међународне банке за обнову и развој који је потписан у Београду, </w:t>
      </w:r>
      <w:r w:rsidR="00A15909" w:rsidRPr="000C0857">
        <w:rPr>
          <w:lang w:val="sr-Cyrl-CS"/>
        </w:rPr>
        <w:t>3. и 14. децембра</w:t>
      </w:r>
      <w:r w:rsidRPr="000C0857">
        <w:rPr>
          <w:lang w:val="sr-Cyrl-CS"/>
        </w:rPr>
        <w:t xml:space="preserve"> 2022. године (у даљем тексту: Споразум о зајму), садржани су у одредби члана 5. став 2. Закона о јавном дугу („Службени гласник РС”, бр. 61/05, 107/09, 78/11, 68/15, 95/18, 91/19 и 149/20), према којој На</w:t>
      </w:r>
      <w:r w:rsidR="001457F6" w:rsidRPr="000C0857">
        <w:rPr>
          <w:lang w:val="sr-Cyrl-CS"/>
        </w:rPr>
        <w:t>родна скупштина</w:t>
      </w:r>
      <w:r w:rsidRPr="000C0857">
        <w:rPr>
          <w:lang w:val="sr-Cyrl-CS"/>
        </w:rPr>
        <w:t xml:space="preserve">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14:paraId="09A0530B" w14:textId="77777777" w:rsidR="00A2387E" w:rsidRPr="000C0857" w:rsidRDefault="00E31F5C" w:rsidP="00A27F64">
      <w:pPr>
        <w:ind w:firstLine="720"/>
        <w:jc w:val="both"/>
        <w:rPr>
          <w:lang w:val="sr-Cyrl-CS"/>
        </w:rPr>
      </w:pPr>
      <w:r w:rsidRPr="00C87BC1">
        <w:rPr>
          <w:lang w:val="sr-Cyrl-CS"/>
        </w:rPr>
        <w:t>Законом о буџету Републике Србије за 2022. годину („Службени гласник РС”, бр. 110/21</w:t>
      </w:r>
      <w:r w:rsidR="00A15909" w:rsidRPr="00C87BC1">
        <w:rPr>
          <w:lang w:val="sr-Cyrl-CS"/>
        </w:rPr>
        <w:t xml:space="preserve"> и 125/22</w:t>
      </w:r>
      <w:r w:rsidRPr="00C87BC1">
        <w:rPr>
          <w:lang w:val="sr-Cyrl-CS"/>
        </w:rPr>
        <w:t>)</w:t>
      </w:r>
      <w:r w:rsidR="00A15909" w:rsidRPr="000C0857">
        <w:rPr>
          <w:lang w:val="sr-Cyrl-CS"/>
        </w:rPr>
        <w:t xml:space="preserve"> и Законом о буџету Републике Србије за 2023. го</w:t>
      </w:r>
      <w:r w:rsidR="001457F6" w:rsidRPr="000C0857">
        <w:rPr>
          <w:lang w:val="sr-Cyrl-CS"/>
        </w:rPr>
        <w:t>дину („Службени гласник РС”, број</w:t>
      </w:r>
      <w:r w:rsidR="00A15909" w:rsidRPr="000C0857">
        <w:rPr>
          <w:lang w:val="sr-Cyrl-CS"/>
        </w:rPr>
        <w:t xml:space="preserve"> 138/22)</w:t>
      </w:r>
      <w:r w:rsidR="001457F6" w:rsidRPr="000C0857">
        <w:rPr>
          <w:lang w:val="sr-Cyrl-CS"/>
        </w:rPr>
        <w:t xml:space="preserve"> у члану 3.</w:t>
      </w:r>
      <w:r w:rsidRPr="000C0857">
        <w:rPr>
          <w:lang w:val="sr-Cyrl-CS"/>
        </w:rPr>
        <w:t xml:space="preserve"> предвиђено је задуживање код Међународне банке за обнову и развој до износа од </w:t>
      </w:r>
      <w:r w:rsidR="00A15909" w:rsidRPr="000C0857">
        <w:rPr>
          <w:lang w:val="sr-Cyrl-CS"/>
        </w:rPr>
        <w:t>88.400.000</w:t>
      </w:r>
      <w:r w:rsidRPr="000C0857">
        <w:rPr>
          <w:lang w:val="sr-Cyrl-CS"/>
        </w:rPr>
        <w:t xml:space="preserve"> </w:t>
      </w:r>
      <w:r w:rsidR="00A15909" w:rsidRPr="000C0857">
        <w:rPr>
          <w:lang w:val="sr-Cyrl-CS"/>
        </w:rPr>
        <w:t>ЕУР</w:t>
      </w:r>
      <w:r w:rsidRPr="000C0857">
        <w:rPr>
          <w:lang w:val="sr-Cyrl-CS"/>
        </w:rPr>
        <w:t xml:space="preserve"> за</w:t>
      </w:r>
      <w:r w:rsidR="002773F1" w:rsidRPr="000C0857">
        <w:rPr>
          <w:lang w:val="sr-Cyrl-CS"/>
        </w:rPr>
        <w:t xml:space="preserve"> </w:t>
      </w:r>
      <w:r w:rsidR="00A27F64" w:rsidRPr="000C0857">
        <w:rPr>
          <w:lang w:val="sr-Cyrl-CS"/>
        </w:rPr>
        <w:t>П</w:t>
      </w:r>
      <w:r w:rsidR="002773F1" w:rsidRPr="000C0857">
        <w:rPr>
          <w:lang w:val="sr-Cyrl-CS"/>
        </w:rPr>
        <w:t>ројек</w:t>
      </w:r>
      <w:r w:rsidR="00A27F64" w:rsidRPr="000C0857">
        <w:rPr>
          <w:lang w:val="sr-Cyrl-CS"/>
        </w:rPr>
        <w:t>а</w:t>
      </w:r>
      <w:r w:rsidRPr="000C0857">
        <w:rPr>
          <w:lang w:val="sr-Cyrl-CS"/>
        </w:rPr>
        <w:t xml:space="preserve">т </w:t>
      </w:r>
      <w:r w:rsidR="00A27F64" w:rsidRPr="000C0857">
        <w:rPr>
          <w:lang w:val="sr-Cyrl-CS"/>
        </w:rPr>
        <w:t>р</w:t>
      </w:r>
      <w:r w:rsidR="002773F1" w:rsidRPr="000C0857">
        <w:rPr>
          <w:lang w:val="sr-Cyrl-CS"/>
        </w:rPr>
        <w:t>азвој</w:t>
      </w:r>
      <w:r w:rsidR="00A27F64" w:rsidRPr="000C0857">
        <w:rPr>
          <w:lang w:val="sr-Cyrl-CS"/>
        </w:rPr>
        <w:t>а</w:t>
      </w:r>
      <w:r w:rsidRPr="000C0857">
        <w:rPr>
          <w:lang w:val="sr-Cyrl-CS"/>
        </w:rPr>
        <w:t xml:space="preserve"> локалне инфраструктуре и институционалног јачања локалних самоуправа</w:t>
      </w:r>
      <w:r w:rsidR="00804972" w:rsidRPr="000C0857">
        <w:rPr>
          <w:lang w:val="sr-Cyrl-CS"/>
        </w:rPr>
        <w:t xml:space="preserve"> </w:t>
      </w:r>
      <w:r w:rsidR="00804972" w:rsidRPr="000C0857">
        <w:rPr>
          <w:bCs/>
          <w:lang w:val="sr-Cyrl-CS"/>
        </w:rPr>
        <w:t>(у даљем тексту: Пројекат)</w:t>
      </w:r>
      <w:r w:rsidRPr="000C0857">
        <w:rPr>
          <w:lang w:val="sr-Cyrl-CS"/>
        </w:rPr>
        <w:t>.</w:t>
      </w:r>
    </w:p>
    <w:p w14:paraId="669E948D" w14:textId="77777777" w:rsidR="007F068E" w:rsidRPr="000C0857" w:rsidRDefault="007F068E" w:rsidP="007F068E">
      <w:pPr>
        <w:ind w:firstLine="720"/>
        <w:jc w:val="both"/>
        <w:rPr>
          <w:rFonts w:eastAsia="Calibri"/>
          <w:lang w:val="sr-Cyrl-CS"/>
        </w:rPr>
      </w:pPr>
      <w:r w:rsidRPr="000C0857">
        <w:rPr>
          <w:rFonts w:eastAsia="Calibri"/>
          <w:lang w:val="sr-Cyrl-CS"/>
        </w:rPr>
        <w:t>Како би подржала локални економски и урбани развој, Влада је</w:t>
      </w:r>
      <w:r w:rsidR="000F46E5">
        <w:rPr>
          <w:rFonts w:eastAsia="Calibri"/>
          <w:lang w:val="sr-Cyrl-CS"/>
        </w:rPr>
        <w:t xml:space="preserve"> 2019. године </w:t>
      </w:r>
      <w:r w:rsidRPr="000C0857">
        <w:rPr>
          <w:rFonts w:eastAsia="Calibri"/>
          <w:lang w:val="sr-Cyrl-CS"/>
        </w:rPr>
        <w:t xml:space="preserve"> усвојила Стратегију одрживог урбаног развоја Републике Србије до 2030. године</w:t>
      </w:r>
      <w:r w:rsidR="00A622B4">
        <w:rPr>
          <w:rFonts w:eastAsia="Calibri"/>
          <w:lang w:val="sr-Cyrl-CS"/>
        </w:rPr>
        <w:t xml:space="preserve"> </w:t>
      </w:r>
      <w:r w:rsidR="00A622B4" w:rsidRPr="000C0857">
        <w:rPr>
          <w:lang w:val="sr-Cyrl-CS"/>
        </w:rPr>
        <w:t>(„Службени гласник РС”, број</w:t>
      </w:r>
      <w:r w:rsidR="00A622B4">
        <w:rPr>
          <w:lang w:val="sr-Cyrl-CS"/>
        </w:rPr>
        <w:t xml:space="preserve"> 47/19 ‒ </w:t>
      </w:r>
      <w:r w:rsidR="00AE3437" w:rsidRPr="000C0857">
        <w:rPr>
          <w:rFonts w:eastAsia="Calibri"/>
          <w:lang w:val="sr-Cyrl-CS"/>
        </w:rPr>
        <w:t xml:space="preserve">у даљем тексту: </w:t>
      </w:r>
      <w:r w:rsidRPr="000C0857">
        <w:rPr>
          <w:rFonts w:eastAsia="Calibri"/>
          <w:lang w:val="sr-Cyrl-CS"/>
        </w:rPr>
        <w:t>Стратегија). Стратегија представља интегрисани пакет за планирање следеће фазе развоја градова и општина Србије. Његови главни циљеви су: одрживи економски развој; побољшано управљање градским насељима</w:t>
      </w:r>
      <w:r w:rsidR="00AE3437" w:rsidRPr="000C0857">
        <w:rPr>
          <w:rFonts w:eastAsia="Calibri"/>
          <w:lang w:val="sr-Cyrl-CS"/>
        </w:rPr>
        <w:t xml:space="preserve"> и урбаним срединама</w:t>
      </w:r>
      <w:r w:rsidRPr="000C0857">
        <w:rPr>
          <w:rFonts w:eastAsia="Calibri"/>
          <w:lang w:val="sr-Cyrl-CS"/>
        </w:rPr>
        <w:t>; друштвено благостање</w:t>
      </w:r>
      <w:r w:rsidR="00AE3437" w:rsidRPr="000C0857">
        <w:rPr>
          <w:rFonts w:eastAsia="Calibri"/>
          <w:lang w:val="sr-Cyrl-CS"/>
        </w:rPr>
        <w:t xml:space="preserve"> и виши квалитет животне средине</w:t>
      </w:r>
      <w:r w:rsidRPr="000C0857">
        <w:rPr>
          <w:rFonts w:eastAsia="Calibri"/>
          <w:lang w:val="sr-Cyrl-CS"/>
        </w:rPr>
        <w:t xml:space="preserve">. Примена Стратегије ће допринети процесу придруживања Србије </w:t>
      </w:r>
      <w:r w:rsidR="00A64798" w:rsidRPr="000C0857">
        <w:rPr>
          <w:rFonts w:eastAsia="Calibri"/>
          <w:lang w:val="sr-Cyrl-CS"/>
        </w:rPr>
        <w:t>Европској унији (у даљем тексту: ЕУ)</w:t>
      </w:r>
      <w:r w:rsidRPr="000C0857">
        <w:rPr>
          <w:rFonts w:eastAsia="Calibri"/>
          <w:lang w:val="sr-Cyrl-CS"/>
        </w:rPr>
        <w:t xml:space="preserve"> и усклађивању њене политике урбаног развоја са циљевима Урбане агенде ЕУ и Зеленог договора ЕУ.</w:t>
      </w:r>
    </w:p>
    <w:p w14:paraId="6CB5D0F8" w14:textId="77777777" w:rsidR="00287F90" w:rsidRPr="000C0857" w:rsidRDefault="00287F90" w:rsidP="00287F90">
      <w:pPr>
        <w:ind w:firstLine="720"/>
        <w:jc w:val="both"/>
        <w:rPr>
          <w:lang w:val="sr-Cyrl-CS"/>
        </w:rPr>
      </w:pPr>
      <w:r w:rsidRPr="000C0857">
        <w:rPr>
          <w:lang w:val="sr-Cyrl-CS"/>
        </w:rPr>
        <w:t xml:space="preserve">У складу са Закључком Владе 05 Број: 48-365/2022 од 20. јануара 2022. године, </w:t>
      </w:r>
      <w:r w:rsidR="00B47FD9" w:rsidRPr="000C0857">
        <w:rPr>
          <w:lang w:val="sr-Cyrl-CS"/>
        </w:rPr>
        <w:t>којим је утврђена</w:t>
      </w:r>
      <w:r w:rsidRPr="000C0857">
        <w:rPr>
          <w:lang w:val="sr-Cyrl-CS"/>
        </w:rPr>
        <w:t xml:space="preserve"> Основа за преговоре са Међународном банком за обнову и развој и Француском агенцијом за развој у вези са одобравањем зајма за Пројекат развоја локалне инфраструктуре и институционалног јачања локалних самоуправа и одређен преговарачки тим Републике Србије</w:t>
      </w:r>
      <w:r w:rsidR="00B47FD9" w:rsidRPr="000C0857">
        <w:rPr>
          <w:lang w:val="sr-Cyrl-CS"/>
        </w:rPr>
        <w:t>, стране су одржале преговоре дана</w:t>
      </w:r>
      <w:r w:rsidRPr="000C0857">
        <w:rPr>
          <w:lang w:val="sr-Cyrl-CS"/>
        </w:rPr>
        <w:t xml:space="preserve"> 24. јануара  2022. године путем аудио-видео к</w:t>
      </w:r>
      <w:r w:rsidR="00B47FD9" w:rsidRPr="000C0857">
        <w:rPr>
          <w:lang w:val="sr-Cyrl-CS"/>
        </w:rPr>
        <w:t>омуникације. Том приликом су договорени услови</w:t>
      </w:r>
      <w:r w:rsidRPr="000C0857">
        <w:rPr>
          <w:lang w:val="sr-Cyrl-CS"/>
        </w:rPr>
        <w:t xml:space="preserve"> и начин коришћења зајма у износу од 88.400</w:t>
      </w:r>
      <w:r w:rsidR="00B47FD9" w:rsidRPr="000C0857">
        <w:rPr>
          <w:lang w:val="sr-Cyrl-CS"/>
        </w:rPr>
        <w:t xml:space="preserve">.000 </w:t>
      </w:r>
      <w:r w:rsidR="00C80E75" w:rsidRPr="000C0857">
        <w:rPr>
          <w:lang w:val="sr-Cyrl-CS"/>
        </w:rPr>
        <w:t>ЕУР</w:t>
      </w:r>
      <w:r w:rsidR="00B47FD9" w:rsidRPr="000C0857">
        <w:rPr>
          <w:lang w:val="sr-Cyrl-CS"/>
        </w:rPr>
        <w:t xml:space="preserve"> и усаглашене су</w:t>
      </w:r>
      <w:r w:rsidRPr="000C0857">
        <w:rPr>
          <w:lang w:val="sr-Cyrl-CS"/>
        </w:rPr>
        <w:t xml:space="preserve"> одредбе Споразума о зајму. </w:t>
      </w:r>
    </w:p>
    <w:p w14:paraId="161E9B94" w14:textId="77777777" w:rsidR="009A295B" w:rsidRPr="000C0857" w:rsidRDefault="00B36CAE" w:rsidP="009A295B">
      <w:pPr>
        <w:ind w:firstLine="720"/>
        <w:jc w:val="both"/>
        <w:rPr>
          <w:bCs/>
          <w:lang w:val="sr-Cyrl-CS"/>
        </w:rPr>
      </w:pPr>
      <w:r w:rsidRPr="000C0857">
        <w:rPr>
          <w:bCs/>
          <w:color w:val="000000"/>
          <w:lang w:val="sr-Cyrl-CS"/>
        </w:rPr>
        <w:t xml:space="preserve">Циљ </w:t>
      </w:r>
      <w:r w:rsidR="009A295B" w:rsidRPr="000C0857">
        <w:rPr>
          <w:bCs/>
          <w:lang w:val="sr-Cyrl-CS"/>
        </w:rPr>
        <w:t xml:space="preserve">Пројекта </w:t>
      </w:r>
      <w:r w:rsidRPr="000C0857">
        <w:rPr>
          <w:bCs/>
          <w:color w:val="000000"/>
          <w:lang w:val="sr-Cyrl-CS"/>
        </w:rPr>
        <w:t xml:space="preserve">јесте побољшање </w:t>
      </w:r>
      <w:r w:rsidR="009A295B" w:rsidRPr="000C0857">
        <w:rPr>
          <w:bCs/>
          <w:lang w:val="sr-Cyrl-CS"/>
        </w:rPr>
        <w:t>капацитета локалне самоуправе да управља одрживом инфраструктуром и повећа приступ економским и друштвеним могућностима узимајући у обзир аспекте климатских промена.</w:t>
      </w:r>
    </w:p>
    <w:p w14:paraId="2F433C62" w14:textId="77777777" w:rsidR="00777B3C" w:rsidRPr="000C0857" w:rsidRDefault="00777B3C" w:rsidP="00777B3C">
      <w:pPr>
        <w:ind w:firstLine="720"/>
        <w:jc w:val="both"/>
        <w:rPr>
          <w:rFonts w:eastAsia="Calibri"/>
          <w:lang w:val="sr-Cyrl-CS"/>
        </w:rPr>
      </w:pPr>
      <w:r w:rsidRPr="000C0857">
        <w:rPr>
          <w:rFonts w:eastAsia="Calibri"/>
          <w:lang w:val="sr-Cyrl-CS"/>
        </w:rPr>
        <w:t>Пројекат ће обезбедити фин</w:t>
      </w:r>
      <w:r w:rsidR="000C0857">
        <w:rPr>
          <w:rFonts w:eastAsia="Calibri"/>
          <w:lang w:val="sr-Cyrl-CS"/>
        </w:rPr>
        <w:t>ан</w:t>
      </w:r>
      <w:r w:rsidRPr="000C0857">
        <w:rPr>
          <w:rFonts w:eastAsia="Calibri"/>
          <w:lang w:val="sr-Cyrl-CS"/>
        </w:rPr>
        <w:t xml:space="preserve">сирање инвестиционе и техничке помоћи за побољшање пружања зелених и инклузивних инфраструктурних услуга на локалном нивоу, укључујући имплементацију релевантних поглавља Стратегије. Пројекат ће се фокусирати на јачање капацитета и техничких приступа за имплементацију постојећих </w:t>
      </w:r>
      <w:r w:rsidRPr="000C0857">
        <w:rPr>
          <w:rFonts w:eastAsia="Calibri"/>
          <w:lang w:val="sr-Cyrl-CS"/>
        </w:rPr>
        <w:lastRenderedPageBreak/>
        <w:t>регулаторних, планских и законских оквира. Инвестиције ће дати приоритет побољшању интегрисане инфраструктуре мобилности и општој отпорности локалних самоуправа (</w:t>
      </w:r>
      <w:r w:rsidR="00872944" w:rsidRPr="000C0857">
        <w:rPr>
          <w:rFonts w:eastAsia="Calibri"/>
          <w:lang w:val="sr-Cyrl-CS"/>
        </w:rPr>
        <w:t xml:space="preserve">у даљем тексту: </w:t>
      </w:r>
      <w:r w:rsidRPr="000C0857">
        <w:rPr>
          <w:rFonts w:eastAsia="Calibri"/>
          <w:lang w:val="sr-Cyrl-CS"/>
        </w:rPr>
        <w:t>ЛСУ).</w:t>
      </w:r>
    </w:p>
    <w:p w14:paraId="4170373F" w14:textId="77777777" w:rsidR="009A295B" w:rsidRPr="000C0857" w:rsidRDefault="009A295B" w:rsidP="009A295B">
      <w:pPr>
        <w:ind w:firstLine="720"/>
        <w:jc w:val="both"/>
        <w:rPr>
          <w:bCs/>
          <w:color w:val="000000"/>
          <w:lang w:val="sr-Cyrl-CS"/>
        </w:rPr>
      </w:pPr>
      <w:r w:rsidRPr="000C0857">
        <w:rPr>
          <w:bCs/>
          <w:color w:val="000000"/>
          <w:lang w:val="sr-Cyrl-CS"/>
        </w:rPr>
        <w:t>Пројекат је структуиран кроз спровођење активности подељених у три основне компоненте:</w:t>
      </w:r>
    </w:p>
    <w:p w14:paraId="090435D8" w14:textId="77777777" w:rsidR="00145269" w:rsidRPr="000C0857" w:rsidRDefault="00145269" w:rsidP="00145269">
      <w:pPr>
        <w:ind w:firstLine="720"/>
        <w:jc w:val="both"/>
        <w:rPr>
          <w:b/>
          <w:lang w:val="sr-Cyrl-CS"/>
        </w:rPr>
      </w:pPr>
      <w:r w:rsidRPr="000C0857">
        <w:rPr>
          <w:b/>
          <w:lang w:val="sr-Cyrl-CS"/>
        </w:rPr>
        <w:t>Компонента</w:t>
      </w:r>
      <w:r w:rsidR="00B36CAE" w:rsidRPr="000C0857">
        <w:rPr>
          <w:b/>
          <w:lang w:val="sr-Cyrl-CS"/>
        </w:rPr>
        <w:t xml:space="preserve"> 1: Климатски паметна мобилност</w:t>
      </w:r>
    </w:p>
    <w:p w14:paraId="01925DAA" w14:textId="77777777" w:rsidR="00145269" w:rsidRPr="000C0857" w:rsidRDefault="00145269" w:rsidP="00145269">
      <w:pPr>
        <w:ind w:firstLine="720"/>
        <w:jc w:val="both"/>
        <w:rPr>
          <w:lang w:val="sr-Cyrl-CS"/>
        </w:rPr>
      </w:pPr>
      <w:r w:rsidRPr="000C0857">
        <w:rPr>
          <w:lang w:val="sr-Cyrl-CS"/>
        </w:rPr>
        <w:t>Ова компонента се фокусира на поб</w:t>
      </w:r>
      <w:r w:rsidR="00440427" w:rsidRPr="000C0857">
        <w:rPr>
          <w:lang w:val="sr-Cyrl-CS"/>
        </w:rPr>
        <w:t>ољшање транспортне и пратеће инф</w:t>
      </w:r>
      <w:r w:rsidRPr="000C0857">
        <w:rPr>
          <w:lang w:val="sr-Cyrl-CS"/>
        </w:rPr>
        <w:t>раструктуре кроз, између осталог: (a) пружање Грантова ЛСУ које учествују у Пројекту у циљу финансирања потпројеката санације и обнове локалне транспортне инфраструктуре и тзв. „greenfield” инвестиција мањег обима („Потпројекти”); и (б) пружање техничке помоћи за припрему докумената који се односе на Потпројекте; као и јачање капацитета ЛСУ које учествују у Пројекту за управљање локалним путевима.</w:t>
      </w:r>
    </w:p>
    <w:p w14:paraId="671FED17" w14:textId="77777777" w:rsidR="00145269" w:rsidRPr="000C0857" w:rsidRDefault="00145269" w:rsidP="00145269">
      <w:pPr>
        <w:ind w:firstLine="720"/>
        <w:jc w:val="both"/>
        <w:rPr>
          <w:b/>
          <w:lang w:val="sr-Cyrl-CS"/>
        </w:rPr>
      </w:pPr>
      <w:r w:rsidRPr="000C0857">
        <w:rPr>
          <w:b/>
          <w:lang w:val="sr-Cyrl-CS"/>
        </w:rPr>
        <w:t>Компонента 2: Јачање капацитета за пружање инфраструктурних услуга:</w:t>
      </w:r>
    </w:p>
    <w:p w14:paraId="4ED77D3F" w14:textId="77777777" w:rsidR="00145269" w:rsidRPr="000C0857" w:rsidRDefault="00145269" w:rsidP="00145269">
      <w:pPr>
        <w:ind w:firstLine="720"/>
        <w:jc w:val="both"/>
        <w:rPr>
          <w:lang w:val="sr-Cyrl-CS"/>
        </w:rPr>
      </w:pPr>
      <w:r w:rsidRPr="000C0857">
        <w:rPr>
          <w:bCs/>
          <w:lang w:val="sr-Cyrl-CS"/>
        </w:rPr>
        <w:t xml:space="preserve">Компонента се фокусира на унапређење капацитета одабраних ЛСУ које учествују у Пројекту за стратешко партиципативно планирање и припрему инвестиција кроз, између осталог: (a) побољшање планирања на локалном нивоу укључујући путем ревизије тренутног планског и стратешког оквира и израде планских докумената; (б) повезивање унапређеног локалног планирања са процесима буџетирања; (ц) увођење иновативних приступа партиципативном планирању; (д) унапређење портала е-Управе укључивањем партиципативног приступа; и (е) пружање техничке помоћи у вези са идентификовањем и припремом пројеката урбаног развоја и комуналне инфраструктуре. Поред наведеног, ова компонента довешће до побољшања пружања инфраструктурних услуга од стране ЛСУ које учествују у Пројекту и унапређење одрживости кроз, између осталог: (а) оцену тренутног оквира за финансирање локалне инфраструктуре; (б) пружање техничке помоћи и Обука у циљу унапређења њиховог приступа могућностима за финансирање; (ц) анализу тренутне структуре институција и пружање препорука за консолидоване приступе и поједностављивање процеса у циљу омогућавања постојећим запосленима да ефикасно раде и испуне републичке и локалне захтеве; (д) развој базе података за систем управљања јавним улагањима и алата за пројектно управљање (е) осмишљавање и реализацију Програма радних пракси; (ф) развој </w:t>
      </w:r>
      <w:r w:rsidR="002B36E6" w:rsidRPr="00596050">
        <w:rPr>
          <w:bCs/>
          <w:lang w:val="sr-Cyrl-CS"/>
        </w:rPr>
        <w:t>приоритетних</w:t>
      </w:r>
      <w:r w:rsidRPr="00596050">
        <w:rPr>
          <w:bCs/>
          <w:lang w:val="sr-Cyrl-CS"/>
        </w:rPr>
        <w:t xml:space="preserve"> </w:t>
      </w:r>
      <w:r w:rsidRPr="000C0857">
        <w:rPr>
          <w:bCs/>
          <w:lang w:val="sr-Cyrl-CS"/>
        </w:rPr>
        <w:t>приступа ангажовању додатних запослених и Обуци и изградњи капацитета запослених у области зелене набавке, управљања јавним финансијама и управљања јавним улагањима, управљања уговорима, и социјалног и еколошког управљања; и (г) олакшавање сарадње и размене знања између ЛСУ.</w:t>
      </w:r>
    </w:p>
    <w:p w14:paraId="3BECC2C9" w14:textId="77777777" w:rsidR="00145269" w:rsidRPr="000C0857" w:rsidRDefault="00145269" w:rsidP="00145269">
      <w:pPr>
        <w:ind w:firstLine="720"/>
        <w:jc w:val="both"/>
        <w:rPr>
          <w:b/>
          <w:lang w:val="sr-Cyrl-CS"/>
        </w:rPr>
      </w:pPr>
      <w:r w:rsidRPr="000C0857">
        <w:rPr>
          <w:b/>
          <w:lang w:val="sr-Cyrl-CS"/>
        </w:rPr>
        <w:t xml:space="preserve">Компонента 3: Пројектно управљање и подизање свести </w:t>
      </w:r>
    </w:p>
    <w:p w14:paraId="04F97E40" w14:textId="77777777" w:rsidR="00145269" w:rsidRPr="000C0857" w:rsidRDefault="00145269" w:rsidP="00145269">
      <w:pPr>
        <w:ind w:firstLine="720"/>
        <w:jc w:val="both"/>
        <w:rPr>
          <w:bCs/>
          <w:lang w:val="sr-Cyrl-CS"/>
        </w:rPr>
      </w:pPr>
      <w:r w:rsidRPr="000C0857">
        <w:rPr>
          <w:bCs/>
          <w:lang w:val="sr-Cyrl-CS"/>
        </w:rPr>
        <w:t>Ова компонента ће омогућити пружање подршке у областима Пројектног управљања, координације, надзора, финансијског управљања, извештавања, комуникације и промоције, подизања свести, праћења и евалуације, набавке, еколошких и социјалних аспеката и надзора над спровођењем Плана обавеза у области животне средине и социјалних питања (ESCP) и успостављања платформе за онлајн</w:t>
      </w:r>
      <w:r w:rsidR="00901075" w:rsidRPr="000C0857">
        <w:rPr>
          <w:bCs/>
          <w:lang w:val="sr-Cyrl-CS"/>
        </w:rPr>
        <w:t xml:space="preserve"> надзор и интернет странице за П</w:t>
      </w:r>
      <w:r w:rsidRPr="000C0857">
        <w:rPr>
          <w:bCs/>
          <w:lang w:val="sr-Cyrl-CS"/>
        </w:rPr>
        <w:t>ројекат.</w:t>
      </w:r>
    </w:p>
    <w:p w14:paraId="726D1FEF" w14:textId="77777777" w:rsidR="00145269" w:rsidRPr="000C0857" w:rsidRDefault="00145269" w:rsidP="00145269">
      <w:pPr>
        <w:ind w:firstLine="720"/>
        <w:jc w:val="both"/>
        <w:rPr>
          <w:bCs/>
          <w:iCs/>
          <w:lang w:val="sr-Cyrl-CS"/>
        </w:rPr>
      </w:pPr>
      <w:r w:rsidRPr="000C0857">
        <w:rPr>
          <w:bCs/>
          <w:iCs/>
          <w:lang w:val="sr-Cyrl-CS"/>
        </w:rPr>
        <w:t xml:space="preserve">Обнова и озелењавање локалних путева и инфраструктуре обезбедиће бољу и здравију животну средину за укупно око 6,7 милиона становника у 145 ЛСУ које учествују у Пројекту. Корисничке заједнице обухватају мешавину градова, урбаних насеља, руралних насеља у функционалним урбаним областима и подручја са социо-економски разноликим становништвом. Побољшања инфраструктуре користиће становницима, предузећима и пружаоцима услуга. Побољшани услови животне средине ће побољшати економску конкурентност производних подручја, подржавајући економски раст заједница корисника. Обнова инфраструктуре као што су аутобуска стајалишта, тротоари, бициклистички објекти, побољшана дренажа, безбедносне карактеристике и зеленије јавне површине омогућиће становницима већи квалитет </w:t>
      </w:r>
      <w:r w:rsidRPr="000C0857">
        <w:rPr>
          <w:bCs/>
          <w:iCs/>
          <w:lang w:val="sr-Cyrl-CS"/>
        </w:rPr>
        <w:lastRenderedPageBreak/>
        <w:t>живота. Повећање климатске отпорности инфраструктурних мрежа локалних самоуправа користиће становницима и предузећима повећањем безбедности и смањењем вероватноће и озбиљности природних опасности.</w:t>
      </w:r>
    </w:p>
    <w:p w14:paraId="5F6F06FD" w14:textId="77777777" w:rsidR="00145269" w:rsidRPr="000C0857" w:rsidRDefault="00145269" w:rsidP="00145269">
      <w:pPr>
        <w:ind w:firstLine="720"/>
        <w:jc w:val="both"/>
        <w:rPr>
          <w:bCs/>
          <w:iCs/>
          <w:lang w:val="sr-Cyrl-CS"/>
        </w:rPr>
      </w:pPr>
      <w:r w:rsidRPr="000C0857">
        <w:rPr>
          <w:bCs/>
          <w:iCs/>
          <w:lang w:val="sr-Cyrl-CS"/>
        </w:rPr>
        <w:t>Сходно критеријумима подобности и процедурама прихватљивим за Међународну банку за обнову и развој</w:t>
      </w:r>
      <w:r w:rsidR="00AD2101" w:rsidRPr="000C0857">
        <w:rPr>
          <w:bCs/>
          <w:iCs/>
          <w:lang w:val="sr-Cyrl-CS"/>
        </w:rPr>
        <w:t xml:space="preserve"> (у даљем тексту: Банка)</w:t>
      </w:r>
      <w:r w:rsidRPr="000C0857">
        <w:rPr>
          <w:bCs/>
          <w:iCs/>
          <w:lang w:val="sr-Cyrl-CS"/>
        </w:rPr>
        <w:t xml:space="preserve"> и детаљније предвиђеним Пројектним приручником за операције и грантове</w:t>
      </w:r>
      <w:r w:rsidR="00AD2101" w:rsidRPr="000C0857">
        <w:rPr>
          <w:bCs/>
          <w:iCs/>
          <w:lang w:val="sr-Cyrl-CS"/>
        </w:rPr>
        <w:t xml:space="preserve"> (у даљем тексту: Приручник)</w:t>
      </w:r>
      <w:r w:rsidRPr="000C0857">
        <w:rPr>
          <w:bCs/>
          <w:iCs/>
          <w:lang w:val="sr-Cyrl-CS"/>
        </w:rPr>
        <w:t>, Република Србије ће преко Министарства грађевинарства, саобраћаја и инфрастуктуре (</w:t>
      </w:r>
      <w:r w:rsidR="00872944" w:rsidRPr="000C0857">
        <w:rPr>
          <w:bCs/>
          <w:iCs/>
          <w:lang w:val="sr-Cyrl-CS"/>
        </w:rPr>
        <w:t xml:space="preserve">у даљем тексту: </w:t>
      </w:r>
      <w:r w:rsidRPr="000C0857">
        <w:rPr>
          <w:bCs/>
          <w:iCs/>
          <w:lang w:val="sr-Cyrl-CS"/>
        </w:rPr>
        <w:t xml:space="preserve">МГСИ) склопити Споразум о пројекту са ЛСУ које учествују у Пројекту, уз обавезу ЛСУ које учествују у Пројекту да: (а) учествују у обукама за Пројекат и реформским активностима; (б) бирају инвестиције у складу са планским документима; (ц) придржавају се еколошког </w:t>
      </w:r>
      <w:r w:rsidR="00AD2101" w:rsidRPr="000C0857">
        <w:rPr>
          <w:bCs/>
          <w:iCs/>
          <w:lang w:val="sr-Cyrl-CS"/>
        </w:rPr>
        <w:t>и социјалног оквира и политика Б</w:t>
      </w:r>
      <w:r w:rsidRPr="000C0857">
        <w:rPr>
          <w:bCs/>
          <w:iCs/>
          <w:lang w:val="sr-Cyrl-CS"/>
        </w:rPr>
        <w:t>анке; и (д) користе системе управљања путном инфраструктуром развијене у оквиру Пројекта.</w:t>
      </w:r>
    </w:p>
    <w:p w14:paraId="416BF8CB" w14:textId="77777777" w:rsidR="00440427" w:rsidRPr="000C0857" w:rsidRDefault="00B47FD9" w:rsidP="00440427">
      <w:pPr>
        <w:ind w:firstLine="720"/>
        <w:jc w:val="both"/>
        <w:rPr>
          <w:lang w:val="sr-Cyrl-CS"/>
        </w:rPr>
      </w:pPr>
      <w:r w:rsidRPr="000C0857">
        <w:rPr>
          <w:lang w:val="sr-Cyrl-CS"/>
        </w:rPr>
        <w:t xml:space="preserve">Извештај са преговора прихваћен је </w:t>
      </w:r>
      <w:r w:rsidR="00440427" w:rsidRPr="000C0857">
        <w:rPr>
          <w:lang w:val="sr-Cyrl-CS"/>
        </w:rPr>
        <w:t xml:space="preserve">Закључком Владе 05 Број: 48-1151/2022 од 10. фебруара 2022. године, </w:t>
      </w:r>
      <w:r w:rsidRPr="000C0857">
        <w:rPr>
          <w:lang w:val="sr-Cyrl-CS"/>
        </w:rPr>
        <w:t xml:space="preserve">којим је истовремено </w:t>
      </w:r>
      <w:r w:rsidR="00440427" w:rsidRPr="000C0857">
        <w:rPr>
          <w:lang w:val="sr-Cyrl-CS"/>
        </w:rPr>
        <w:t xml:space="preserve">усвојен Нацрт споразума о зајму (Пројекат развоја локалне инфраструктуре и институционалног јачања локалних самоуправа) између Републике Србије и Међународне банке за обнову и развој и овлашћен Синиша Мали, министар финансија, да у име Владе, као заступника Републике Србије, потпише наведени споразум. </w:t>
      </w:r>
    </w:p>
    <w:p w14:paraId="66345843" w14:textId="77777777" w:rsidR="0097695C" w:rsidRPr="000C0857" w:rsidRDefault="0097695C" w:rsidP="0097695C">
      <w:pPr>
        <w:ind w:firstLine="720"/>
        <w:jc w:val="both"/>
        <w:rPr>
          <w:lang w:val="sr-Cyrl-CS"/>
        </w:rPr>
      </w:pPr>
      <w:r w:rsidRPr="000C0857">
        <w:rPr>
          <w:lang w:val="sr-Cyrl-CS"/>
        </w:rPr>
        <w:t xml:space="preserve">На преговорима су констатовани финансијски услови, у складу са Општим условима </w:t>
      </w:r>
      <w:r w:rsidR="00295FC5" w:rsidRPr="000C0857">
        <w:rPr>
          <w:lang w:val="sr-Cyrl-CS"/>
        </w:rPr>
        <w:t xml:space="preserve">Међународне банке за обнову и развој </w:t>
      </w:r>
      <w:r w:rsidRPr="000C0857">
        <w:rPr>
          <w:lang w:val="sr-Cyrl-CS"/>
        </w:rPr>
        <w:t>од 14. децембра 2018. године (са изменама и допунама од 1. августа 2020. године, 21. децембра 2020. године и 1. априла 2021. године)</w:t>
      </w:r>
      <w:r w:rsidR="00491089" w:rsidRPr="000C0857">
        <w:rPr>
          <w:lang w:val="sr-Cyrl-CS"/>
        </w:rPr>
        <w:t xml:space="preserve"> и стандардном политиком, коју Б</w:t>
      </w:r>
      <w:r w:rsidRPr="000C0857">
        <w:rPr>
          <w:lang w:val="sr-Cyrl-CS"/>
        </w:rPr>
        <w:t xml:space="preserve">анка примењује </w:t>
      </w:r>
      <w:r w:rsidR="00843140" w:rsidRPr="000C0857">
        <w:rPr>
          <w:lang w:val="sr-Cyrl-CS"/>
        </w:rPr>
        <w:t>код одобравања зајмова за финанс</w:t>
      </w:r>
      <w:r w:rsidRPr="000C0857">
        <w:rPr>
          <w:lang w:val="sr-Cyrl-CS"/>
        </w:rPr>
        <w:t xml:space="preserve">ирање инвестиционих пројеката. </w:t>
      </w:r>
    </w:p>
    <w:p w14:paraId="012AFE5A" w14:textId="77777777" w:rsidR="0097695C" w:rsidRPr="000C0857" w:rsidRDefault="0097695C" w:rsidP="0097695C">
      <w:pPr>
        <w:ind w:firstLine="720"/>
        <w:jc w:val="both"/>
        <w:rPr>
          <w:lang w:val="sr-Cyrl-CS"/>
        </w:rPr>
      </w:pPr>
      <w:r w:rsidRPr="000C0857">
        <w:rPr>
          <w:lang w:val="sr-Cyrl-CS"/>
        </w:rPr>
        <w:t xml:space="preserve">Током преговора су дефинисани финансијски услови и начин на који ће се средства овог зајма користити и отплаћивати: </w:t>
      </w:r>
    </w:p>
    <w:p w14:paraId="696C6768"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директно задужење Републике Србије: 88.400.000</w:t>
      </w:r>
      <w:r w:rsidR="00DA10F7" w:rsidRPr="00DA10F7">
        <w:rPr>
          <w:lang w:val="sr-Cyrl-CS"/>
        </w:rPr>
        <w:t xml:space="preserve"> </w:t>
      </w:r>
      <w:r w:rsidR="00DA10F7" w:rsidRPr="000C0857">
        <w:rPr>
          <w:lang w:val="sr-Cyrl-CS"/>
        </w:rPr>
        <w:t>ЕУР</w:t>
      </w:r>
      <w:r w:rsidRPr="000C0857">
        <w:rPr>
          <w:lang w:val="sr-Cyrl-CS"/>
        </w:rPr>
        <w:t>, што представља планирани износ одобрен од стране Банке од 100.00.000 УСД прерачунат у</w:t>
      </w:r>
      <w:r w:rsidR="00DA10F7" w:rsidRPr="00DA10F7">
        <w:rPr>
          <w:lang w:val="sr-Cyrl-CS"/>
        </w:rPr>
        <w:t xml:space="preserve"> </w:t>
      </w:r>
      <w:r w:rsidR="00DA10F7" w:rsidRPr="000C0857">
        <w:rPr>
          <w:lang w:val="sr-Cyrl-CS"/>
        </w:rPr>
        <w:t>ЕУР</w:t>
      </w:r>
      <w:r w:rsidRPr="000C0857">
        <w:rPr>
          <w:lang w:val="sr-Cyrl-CS"/>
        </w:rPr>
        <w:t>, применом курса 0,88347027 УСД:1 ЕУР на дан 31. децембар 2021. године;</w:t>
      </w:r>
    </w:p>
    <w:p w14:paraId="7EC80122"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полугодишња отплата зајма, 15. јуна и 15. децембра сваке године;</w:t>
      </w:r>
    </w:p>
    <w:p w14:paraId="59E0606C"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рок доспећа: 12 годин</w:t>
      </w:r>
      <w:r w:rsidR="004B55F1" w:rsidRPr="000C0857">
        <w:rPr>
          <w:lang w:val="sr-Cyrl-CS"/>
        </w:rPr>
        <w:t>а, укључујући период почека од три</w:t>
      </w:r>
      <w:r w:rsidRPr="000C0857">
        <w:rPr>
          <w:lang w:val="sr-Cyrl-CS"/>
        </w:rPr>
        <w:t xml:space="preserve"> година, уз отплату главнице у једнаким ратама, од којих прва доспева 15. јуна 2025. године, а последња 15. децембра 2036. године;</w:t>
      </w:r>
    </w:p>
    <w:p w14:paraId="0FDFFECE"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приступна накнада: 0,25% на укупну главницу (</w:t>
      </w:r>
      <w:r w:rsidR="008466F9" w:rsidRPr="000C0857">
        <w:rPr>
          <w:lang w:val="sr-Cyrl-CS"/>
        </w:rPr>
        <w:t>221.0</w:t>
      </w:r>
      <w:r w:rsidR="00DA10F7">
        <w:rPr>
          <w:lang w:val="sr-Cyrl-CS"/>
        </w:rPr>
        <w:t xml:space="preserve">00 </w:t>
      </w:r>
      <w:r w:rsidR="00DA10F7" w:rsidRPr="000C0857">
        <w:rPr>
          <w:lang w:val="sr-Cyrl-CS"/>
        </w:rPr>
        <w:t>ЕУР</w:t>
      </w:r>
      <w:r w:rsidRPr="000C0857">
        <w:rPr>
          <w:lang w:val="sr-Cyrl-CS"/>
        </w:rPr>
        <w:t>) и плаћа се из средстава Зајмопримца једнократно;</w:t>
      </w:r>
    </w:p>
    <w:p w14:paraId="1F3EEA12"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накнада на неповучена средства износи 0,25% на годишњем нивоу;</w:t>
      </w:r>
    </w:p>
    <w:p w14:paraId="4BA68815"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каматна стопа: шестомесечни EURIBOR + варијабилна маржа, која тренутно износи 0</w:t>
      </w:r>
      <w:r w:rsidR="00DA10F7">
        <w:rPr>
          <w:lang w:val="sr-Cyrl-CS"/>
        </w:rPr>
        <w:t xml:space="preserve">,63% за зајмове ове рочности у </w:t>
      </w:r>
      <w:r w:rsidR="00DA10F7" w:rsidRPr="000C0857">
        <w:rPr>
          <w:lang w:val="sr-Cyrl-CS"/>
        </w:rPr>
        <w:t>ЕУР</w:t>
      </w:r>
      <w:r w:rsidRPr="000C0857">
        <w:rPr>
          <w:lang w:val="sr-Cyrl-CS"/>
        </w:rPr>
        <w:t xml:space="preserve"> валути, уз могућност различитих врста конверзије, ако се процени да је повољније са становишта управљања јавним дугом;</w:t>
      </w:r>
    </w:p>
    <w:p w14:paraId="4EBF7BC6" w14:textId="77777777" w:rsidR="0097695C" w:rsidRPr="000C0857" w:rsidRDefault="0097695C" w:rsidP="0097695C">
      <w:pPr>
        <w:tabs>
          <w:tab w:val="left" w:pos="990"/>
        </w:tabs>
        <w:ind w:firstLine="720"/>
        <w:jc w:val="both"/>
        <w:rPr>
          <w:lang w:val="sr-Cyrl-CS"/>
        </w:rPr>
      </w:pPr>
      <w:r w:rsidRPr="000C0857">
        <w:rPr>
          <w:lang w:val="sr-Cyrl-CS"/>
        </w:rPr>
        <w:t>-</w:t>
      </w:r>
      <w:r w:rsidRPr="000C0857">
        <w:rPr>
          <w:lang w:val="sr-Cyrl-CS"/>
        </w:rPr>
        <w:tab/>
        <w:t>рок расположивости зајма: средст</w:t>
      </w:r>
      <w:r w:rsidR="004B55F1" w:rsidRPr="000C0857">
        <w:rPr>
          <w:lang w:val="sr-Cyrl-CS"/>
        </w:rPr>
        <w:t>ва зајма се могу повлачити још четири</w:t>
      </w:r>
      <w:r w:rsidRPr="000C0857">
        <w:rPr>
          <w:lang w:val="sr-Cyrl-CS"/>
        </w:rPr>
        <w:t xml:space="preserve"> месеца након 30. новембра 2028. године, што је рок за завршетак Пројекта.</w:t>
      </w:r>
    </w:p>
    <w:p w14:paraId="22FC3538" w14:textId="77777777" w:rsidR="0097695C" w:rsidRPr="000C0857" w:rsidRDefault="0097695C" w:rsidP="0097695C">
      <w:pPr>
        <w:ind w:firstLine="720"/>
        <w:jc w:val="both"/>
        <w:rPr>
          <w:bCs/>
          <w:lang w:val="sr-Cyrl-CS"/>
        </w:rPr>
      </w:pPr>
      <w:r w:rsidRPr="000C0857">
        <w:rPr>
          <w:bCs/>
          <w:lang w:val="sr-Cyrl-CS"/>
        </w:rPr>
        <w:t xml:space="preserve">Укупна вредност Пројекта износи 265.200.000 ЕУР (300.000.000 УСД изражено у </w:t>
      </w:r>
      <w:r w:rsidR="00DA10F7" w:rsidRPr="000C0857">
        <w:rPr>
          <w:lang w:val="sr-Cyrl-CS"/>
        </w:rPr>
        <w:t>ЕУР</w:t>
      </w:r>
      <w:r w:rsidR="00DA10F7" w:rsidRPr="000C0857">
        <w:rPr>
          <w:bCs/>
          <w:lang w:val="sr-Cyrl-CS"/>
        </w:rPr>
        <w:t xml:space="preserve"> </w:t>
      </w:r>
      <w:r w:rsidRPr="000C0857">
        <w:rPr>
          <w:bCs/>
          <w:lang w:val="sr-Cyrl-CS"/>
        </w:rPr>
        <w:t xml:space="preserve">противвредности у складу са примењеним курсом договореним на преговорима) </w:t>
      </w:r>
      <w:r w:rsidRPr="000C0857">
        <w:rPr>
          <w:lang w:val="sr-Cyrl-CS"/>
        </w:rPr>
        <w:t>и биће кофинансиран средствима зајма одобреног од стране Француске агенције за развој (у даљем тексту: АФД), у преосталом износу од 176.800.000 ЕУР</w:t>
      </w:r>
      <w:r w:rsidRPr="000C0857">
        <w:rPr>
          <w:bCs/>
          <w:lang w:val="sr-Cyrl-CS"/>
        </w:rPr>
        <w:t>.</w:t>
      </w:r>
    </w:p>
    <w:p w14:paraId="40927A76" w14:textId="77777777" w:rsidR="00B47FD9" w:rsidRPr="000C0857" w:rsidRDefault="00B47FD9" w:rsidP="00B47FD9">
      <w:pPr>
        <w:ind w:firstLine="720"/>
        <w:jc w:val="both"/>
        <w:rPr>
          <w:lang w:val="sr-Cyrl-CS"/>
        </w:rPr>
      </w:pPr>
      <w:r w:rsidRPr="000C0857">
        <w:rPr>
          <w:lang w:val="sr-Cyrl-CS"/>
        </w:rPr>
        <w:t xml:space="preserve">Након што је </w:t>
      </w:r>
      <w:r w:rsidR="00AD2101" w:rsidRPr="000C0857">
        <w:rPr>
          <w:lang w:val="sr-Cyrl-CS"/>
        </w:rPr>
        <w:t>Банка</w:t>
      </w:r>
      <w:r w:rsidRPr="000C0857">
        <w:rPr>
          <w:lang w:val="sr-Cyrl-CS"/>
        </w:rPr>
        <w:t xml:space="preserve"> спровела своју процедуру одобрења од стране Одбора извршних директора, Споразум о зајму је потписан </w:t>
      </w:r>
      <w:r w:rsidR="00342C25" w:rsidRPr="000C0857">
        <w:rPr>
          <w:lang w:val="sr-Cyrl-CS"/>
        </w:rPr>
        <w:t>у Београду</w:t>
      </w:r>
      <w:r w:rsidR="00BD2868" w:rsidRPr="000C0857">
        <w:rPr>
          <w:lang w:val="sr-Cyrl-CS"/>
        </w:rPr>
        <w:t>,</w:t>
      </w:r>
      <w:r w:rsidR="00342C25" w:rsidRPr="000C0857">
        <w:rPr>
          <w:lang w:val="sr-Cyrl-CS"/>
        </w:rPr>
        <w:t xml:space="preserve"> 3. и 14. децембра</w:t>
      </w:r>
      <w:r w:rsidRPr="000C0857">
        <w:rPr>
          <w:lang w:val="sr-Cyrl-CS"/>
        </w:rPr>
        <w:t xml:space="preserve"> 2022. године.</w:t>
      </w:r>
    </w:p>
    <w:p w14:paraId="4E70E7E5" w14:textId="77777777" w:rsidR="00145269" w:rsidRPr="000C0857" w:rsidRDefault="001A32FA" w:rsidP="00145269">
      <w:pPr>
        <w:ind w:firstLine="720"/>
        <w:jc w:val="both"/>
        <w:rPr>
          <w:bCs/>
          <w:iCs/>
          <w:lang w:val="sr-Cyrl-CS"/>
        </w:rPr>
      </w:pPr>
      <w:r w:rsidRPr="000C0857">
        <w:rPr>
          <w:bCs/>
          <w:iCs/>
          <w:lang w:val="sr-Cyrl-CS"/>
        </w:rPr>
        <w:t>МГСИ ће преко Јединице за имплементацију пројекта</w:t>
      </w:r>
      <w:r w:rsidR="00145269" w:rsidRPr="000C0857">
        <w:rPr>
          <w:bCs/>
          <w:iCs/>
          <w:lang w:val="sr-Cyrl-CS"/>
        </w:rPr>
        <w:t xml:space="preserve"> бити задужено за </w:t>
      </w:r>
      <w:r w:rsidRPr="000C0857">
        <w:rPr>
          <w:bCs/>
          <w:iCs/>
          <w:lang w:val="sr-Cyrl-CS"/>
        </w:rPr>
        <w:t>спровођење</w:t>
      </w:r>
      <w:r w:rsidR="00145269" w:rsidRPr="000C0857">
        <w:rPr>
          <w:bCs/>
          <w:iCs/>
          <w:lang w:val="sr-Cyrl-CS"/>
        </w:rPr>
        <w:t xml:space="preserve"> свих компоненти. </w:t>
      </w:r>
    </w:p>
    <w:p w14:paraId="5C7D0CAA" w14:textId="77777777" w:rsidR="00145269" w:rsidRPr="000C0857" w:rsidRDefault="00145269" w:rsidP="00145269">
      <w:pPr>
        <w:ind w:firstLine="720"/>
        <w:jc w:val="both"/>
        <w:rPr>
          <w:bCs/>
          <w:iCs/>
          <w:lang w:val="sr-Cyrl-CS"/>
        </w:rPr>
      </w:pPr>
      <w:r w:rsidRPr="000C0857">
        <w:rPr>
          <w:bCs/>
          <w:iCs/>
          <w:lang w:val="sr-Cyrl-CS"/>
        </w:rPr>
        <w:t xml:space="preserve">Имајући у виду да ће </w:t>
      </w:r>
      <w:r w:rsidR="00AD2101" w:rsidRPr="000C0857">
        <w:rPr>
          <w:bCs/>
          <w:iCs/>
          <w:lang w:val="sr-Cyrl-CS"/>
        </w:rPr>
        <w:t>Банка</w:t>
      </w:r>
      <w:r w:rsidRPr="000C0857">
        <w:rPr>
          <w:bCs/>
          <w:iCs/>
          <w:lang w:val="sr-Cyrl-CS"/>
        </w:rPr>
        <w:t xml:space="preserve"> заједно са АФД кофинансирати све квалификоване трошкове који ће настати у вези са имплементацијом Пројекта у пропорцији 33%-67%, </w:t>
      </w:r>
      <w:r w:rsidRPr="000C0857">
        <w:rPr>
          <w:bCs/>
          <w:iCs/>
          <w:lang w:val="sr-Cyrl-CS"/>
        </w:rPr>
        <w:lastRenderedPageBreak/>
        <w:t xml:space="preserve">Централна фидуцијарна јединица (ЦФЈ), формирана у Министарству финансија у октобру 2017. године, као подршка у области финансијског управљања и спровођења набавки за све пројекте у Републици Србији које финансира </w:t>
      </w:r>
      <w:r w:rsidR="00A25E09" w:rsidRPr="000C0857">
        <w:rPr>
          <w:bCs/>
          <w:iCs/>
          <w:lang w:val="sr-Cyrl-CS"/>
        </w:rPr>
        <w:t>Светска б</w:t>
      </w:r>
      <w:r w:rsidR="00491089" w:rsidRPr="000C0857">
        <w:rPr>
          <w:bCs/>
          <w:iCs/>
          <w:lang w:val="sr-Cyrl-CS"/>
        </w:rPr>
        <w:t>анка</w:t>
      </w:r>
      <w:r w:rsidRPr="000C0857">
        <w:rPr>
          <w:bCs/>
          <w:iCs/>
          <w:lang w:val="sr-Cyrl-CS"/>
        </w:rPr>
        <w:t xml:space="preserve">, укључена је и у овај пројекат и задужена је за спровођење набавки и финансијско управљање Пројектом, у складу са </w:t>
      </w:r>
      <w:r w:rsidR="00AD2101" w:rsidRPr="000C0857">
        <w:rPr>
          <w:bCs/>
          <w:iCs/>
          <w:lang w:val="sr-Cyrl-CS"/>
        </w:rPr>
        <w:t>Приручником</w:t>
      </w:r>
      <w:r w:rsidRPr="000C0857">
        <w:rPr>
          <w:bCs/>
          <w:iCs/>
          <w:lang w:val="sr-Cyrl-CS"/>
        </w:rPr>
        <w:t xml:space="preserve">. </w:t>
      </w:r>
      <w:r w:rsidR="00AD2101" w:rsidRPr="000C0857">
        <w:rPr>
          <w:bCs/>
          <w:iCs/>
          <w:lang w:val="sr-Cyrl-CS"/>
        </w:rPr>
        <w:t>Приручник</w:t>
      </w:r>
      <w:r w:rsidRPr="000C0857">
        <w:rPr>
          <w:bCs/>
          <w:iCs/>
          <w:lang w:val="sr-Cyrl-CS"/>
        </w:rPr>
        <w:t xml:space="preserve"> ће детаљно разјаснити аранжмане за имплементацију, укључујући конкретну поделу одговорности између учесника у реализацији Пројекта. </w:t>
      </w:r>
    </w:p>
    <w:p w14:paraId="445BB2BE" w14:textId="77777777" w:rsidR="009A295B" w:rsidRPr="000C0857" w:rsidRDefault="009A295B" w:rsidP="009A295B">
      <w:pPr>
        <w:ind w:firstLine="720"/>
        <w:jc w:val="both"/>
        <w:rPr>
          <w:bCs/>
          <w:iCs/>
          <w:lang w:val="sr-Cyrl-CS"/>
        </w:rPr>
      </w:pPr>
      <w:r w:rsidRPr="000C0857">
        <w:rPr>
          <w:bCs/>
          <w:iCs/>
          <w:lang w:val="sr-Cyrl-CS"/>
        </w:rPr>
        <w:t>Управни одбор у саставу, са надлежностима и рес</w:t>
      </w:r>
      <w:r w:rsidR="00AD2101" w:rsidRPr="000C0857">
        <w:rPr>
          <w:bCs/>
          <w:iCs/>
          <w:lang w:val="sr-Cyrl-CS"/>
        </w:rPr>
        <w:t>урсима прихватљивим за Б</w:t>
      </w:r>
      <w:r w:rsidRPr="000C0857">
        <w:rPr>
          <w:bCs/>
          <w:iCs/>
          <w:lang w:val="sr-Cyrl-CS"/>
        </w:rPr>
        <w:t>анку, којим председава државни секретар МГСИ или представници министарства и чине га представници министарстава, других државних органа Републике, по потреби, ЛСУ које учествују у Пројекту и од кључног су значаја</w:t>
      </w:r>
      <w:r w:rsidR="004B55F1" w:rsidRPr="000C0857">
        <w:rPr>
          <w:bCs/>
          <w:iCs/>
          <w:lang w:val="sr-Cyrl-CS"/>
        </w:rPr>
        <w:t xml:space="preserve"> за Пројекат, биће успостављен шест</w:t>
      </w:r>
      <w:r w:rsidRPr="000C0857">
        <w:rPr>
          <w:bCs/>
          <w:iCs/>
          <w:lang w:val="sr-Cyrl-CS"/>
        </w:rPr>
        <w:t xml:space="preserve"> месеци од ступања на снагу Споразума о зајму са </w:t>
      </w:r>
      <w:r w:rsidR="00AD2101" w:rsidRPr="000C0857">
        <w:rPr>
          <w:bCs/>
          <w:iCs/>
          <w:lang w:val="sr-Cyrl-CS"/>
        </w:rPr>
        <w:t>Банком</w:t>
      </w:r>
      <w:r w:rsidRPr="000C0857">
        <w:rPr>
          <w:bCs/>
          <w:iCs/>
          <w:lang w:val="sr-Cyrl-CS"/>
        </w:rPr>
        <w:t xml:space="preserve"> за финансирање предметног Пројекта.</w:t>
      </w:r>
    </w:p>
    <w:p w14:paraId="0CE50CD3" w14:textId="77777777" w:rsidR="009A295B" w:rsidRPr="000C0857" w:rsidRDefault="00AD2101" w:rsidP="009A295B">
      <w:pPr>
        <w:ind w:firstLine="720"/>
        <w:jc w:val="both"/>
        <w:rPr>
          <w:bCs/>
          <w:lang w:val="sr-Cyrl-CS"/>
        </w:rPr>
      </w:pPr>
      <w:r w:rsidRPr="000C0857">
        <w:rPr>
          <w:bCs/>
          <w:lang w:val="sr-Cyrl-CS"/>
        </w:rPr>
        <w:t>Б</w:t>
      </w:r>
      <w:r w:rsidR="009A295B" w:rsidRPr="000C0857">
        <w:rPr>
          <w:bCs/>
          <w:lang w:val="sr-Cyrl-CS"/>
        </w:rPr>
        <w:t xml:space="preserve">aнкa ћe прaтити стaтус Прoјекта и спровођење договорених активности, кроз полугодишње мисије за подршку имплементацији. </w:t>
      </w:r>
    </w:p>
    <w:p w14:paraId="4A29C069" w14:textId="77777777" w:rsidR="009A295B" w:rsidRPr="000C0857" w:rsidRDefault="009A295B" w:rsidP="009A295B">
      <w:pPr>
        <w:ind w:firstLine="720"/>
        <w:jc w:val="both"/>
        <w:rPr>
          <w:lang w:val="sr-Cyrl-CS"/>
        </w:rPr>
      </w:pPr>
    </w:p>
    <w:p w14:paraId="3EC75A1B" w14:textId="77777777" w:rsidR="00601491" w:rsidRPr="000C0857" w:rsidRDefault="00601491" w:rsidP="00601491">
      <w:pPr>
        <w:pStyle w:val="Default"/>
        <w:ind w:firstLine="720"/>
        <w:jc w:val="both"/>
        <w:rPr>
          <w:rFonts w:ascii="Times New Roman" w:hAnsi="Times New Roman" w:cs="Times New Roman"/>
          <w:color w:val="auto"/>
          <w:lang w:val="sr-Cyrl-CS"/>
        </w:rPr>
      </w:pPr>
      <w:r w:rsidRPr="000C0857">
        <w:rPr>
          <w:rFonts w:ascii="Times New Roman" w:hAnsi="Times New Roman" w:cs="Times New Roman"/>
          <w:color w:val="auto"/>
          <w:lang w:val="sr-Cyrl-CS"/>
        </w:rPr>
        <w:t>III</w:t>
      </w:r>
      <w:r w:rsidR="004B55F1" w:rsidRPr="000C0857">
        <w:rPr>
          <w:rFonts w:ascii="Times New Roman" w:hAnsi="Times New Roman" w:cs="Times New Roman"/>
          <w:color w:val="auto"/>
          <w:lang w:val="sr-Cyrl-CS"/>
        </w:rPr>
        <w:t>.</w:t>
      </w:r>
      <w:r w:rsidRPr="000C0857">
        <w:rPr>
          <w:rFonts w:ascii="Times New Roman" w:hAnsi="Times New Roman" w:cs="Times New Roman"/>
          <w:color w:val="auto"/>
          <w:lang w:val="sr-Cyrl-CS"/>
        </w:rPr>
        <w:t xml:space="preserve"> ОБЈАШЊЕЊЕ ОСНОВНИХ ПРАВНИХ ИНСТИТУТА И ПОЈЕДИНАЧНИХ РЕШЕЊА </w:t>
      </w:r>
    </w:p>
    <w:p w14:paraId="00D88F1C" w14:textId="77777777" w:rsidR="00601491" w:rsidRPr="000C0857" w:rsidRDefault="00601491" w:rsidP="00601491">
      <w:pPr>
        <w:pStyle w:val="Default"/>
        <w:ind w:firstLine="720"/>
        <w:jc w:val="both"/>
        <w:rPr>
          <w:rFonts w:ascii="Times New Roman" w:hAnsi="Times New Roman" w:cs="Times New Roman"/>
          <w:color w:val="auto"/>
          <w:lang w:val="sr-Cyrl-CS"/>
        </w:rPr>
      </w:pPr>
    </w:p>
    <w:p w14:paraId="0EF6DBB9" w14:textId="77777777" w:rsidR="00601491" w:rsidRPr="000C0857" w:rsidRDefault="00601491" w:rsidP="00601491">
      <w:pPr>
        <w:pStyle w:val="Default"/>
        <w:ind w:firstLine="720"/>
        <w:jc w:val="both"/>
        <w:rPr>
          <w:rFonts w:ascii="Times New Roman" w:hAnsi="Times New Roman" w:cs="Times New Roman"/>
          <w:lang w:val="sr-Cyrl-CS"/>
        </w:rPr>
      </w:pPr>
      <w:r w:rsidRPr="000C0857">
        <w:rPr>
          <w:rFonts w:ascii="Times New Roman" w:hAnsi="Times New Roman" w:cs="Times New Roman"/>
          <w:color w:val="auto"/>
          <w:lang w:val="sr-Cyrl-CS"/>
        </w:rPr>
        <w:t xml:space="preserve">Одредбом </w:t>
      </w:r>
      <w:r w:rsidR="009D5564" w:rsidRPr="000C0857">
        <w:rPr>
          <w:rFonts w:ascii="Times New Roman" w:hAnsi="Times New Roman" w:cs="Times New Roman"/>
          <w:color w:val="auto"/>
          <w:lang w:val="sr-Cyrl-CS"/>
        </w:rPr>
        <w:t>члана 1. овог закона</w:t>
      </w:r>
      <w:r w:rsidR="00D1326F" w:rsidRPr="000C0857">
        <w:rPr>
          <w:rFonts w:ascii="Times New Roman" w:hAnsi="Times New Roman" w:cs="Times New Roman"/>
          <w:color w:val="auto"/>
          <w:lang w:val="sr-Cyrl-CS"/>
        </w:rPr>
        <w:t xml:space="preserve"> предвиђа се потврђивање</w:t>
      </w:r>
      <w:r w:rsidRPr="000C0857">
        <w:rPr>
          <w:rFonts w:ascii="Times New Roman" w:hAnsi="Times New Roman" w:cs="Times New Roman"/>
          <w:color w:val="auto"/>
          <w:lang w:val="sr-Cyrl-CS"/>
        </w:rPr>
        <w:t xml:space="preserve"> </w:t>
      </w:r>
      <w:r w:rsidR="009D5564" w:rsidRPr="000C0857">
        <w:rPr>
          <w:rFonts w:ascii="Times New Roman" w:hAnsi="Times New Roman" w:cs="Times New Roman"/>
          <w:color w:val="auto"/>
          <w:lang w:val="sr-Cyrl-CS"/>
        </w:rPr>
        <w:t>Споразум</w:t>
      </w:r>
      <w:r w:rsidR="00D1326F" w:rsidRPr="000C0857">
        <w:rPr>
          <w:rFonts w:ascii="Times New Roman" w:hAnsi="Times New Roman" w:cs="Times New Roman"/>
          <w:color w:val="auto"/>
          <w:lang w:val="sr-Cyrl-CS"/>
        </w:rPr>
        <w:t>а</w:t>
      </w:r>
      <w:r w:rsidR="00287F90" w:rsidRPr="000C0857">
        <w:rPr>
          <w:rFonts w:ascii="Times New Roman" w:hAnsi="Times New Roman" w:cs="Times New Roman"/>
          <w:color w:val="auto"/>
          <w:lang w:val="sr-Cyrl-CS"/>
        </w:rPr>
        <w:t xml:space="preserve"> о зајму</w:t>
      </w:r>
      <w:r w:rsidRPr="000C0857">
        <w:rPr>
          <w:rFonts w:ascii="Times New Roman" w:hAnsi="Times New Roman" w:cs="Times New Roman"/>
          <w:color w:val="auto"/>
          <w:lang w:val="sr-Cyrl-CS"/>
        </w:rPr>
        <w:t xml:space="preserve"> </w:t>
      </w:r>
      <w:r w:rsidR="00777B3C" w:rsidRPr="000C0857">
        <w:rPr>
          <w:rFonts w:ascii="Times New Roman" w:hAnsi="Times New Roman" w:cs="Times New Roman"/>
          <w:color w:val="auto"/>
          <w:lang w:val="sr-Cyrl-CS"/>
        </w:rPr>
        <w:t>(Пројекат развоја локалне инфраструктуре и институционалног јачања локалних самоуправа) између Републике Србије и Међународне банке за обнову и развој</w:t>
      </w:r>
      <w:r w:rsidR="009D5564" w:rsidRPr="000C0857">
        <w:rPr>
          <w:rFonts w:ascii="Times New Roman" w:hAnsi="Times New Roman" w:cs="Times New Roman"/>
          <w:color w:val="auto"/>
          <w:lang w:val="sr-Cyrl-CS"/>
        </w:rPr>
        <w:t>,</w:t>
      </w:r>
      <w:r w:rsidR="00777B3C" w:rsidRPr="000C0857">
        <w:rPr>
          <w:rFonts w:ascii="Times New Roman" w:hAnsi="Times New Roman" w:cs="Times New Roman"/>
          <w:color w:val="auto"/>
          <w:lang w:val="sr-Cyrl-CS"/>
        </w:rPr>
        <w:t xml:space="preserve"> </w:t>
      </w:r>
      <w:r w:rsidR="006E238E" w:rsidRPr="000C0857">
        <w:rPr>
          <w:rFonts w:ascii="Times New Roman" w:hAnsi="Times New Roman" w:cs="Times New Roman"/>
          <w:color w:val="auto"/>
          <w:lang w:val="sr-Cyrl-CS"/>
        </w:rPr>
        <w:t xml:space="preserve">који је </w:t>
      </w:r>
      <w:r w:rsidRPr="000C0857">
        <w:rPr>
          <w:rFonts w:ascii="Times New Roman" w:hAnsi="Times New Roman" w:cs="Times New Roman"/>
          <w:color w:val="auto"/>
          <w:lang w:val="sr-Cyrl-CS"/>
        </w:rPr>
        <w:t>потписан у Београду</w:t>
      </w:r>
      <w:r w:rsidR="00BD2868" w:rsidRPr="000C0857">
        <w:rPr>
          <w:rFonts w:ascii="Times New Roman" w:hAnsi="Times New Roman" w:cs="Times New Roman"/>
          <w:color w:val="auto"/>
          <w:lang w:val="sr-Cyrl-CS"/>
        </w:rPr>
        <w:t>, 3. и 14. децембра</w:t>
      </w:r>
      <w:r w:rsidR="006E238E" w:rsidRPr="000C0857">
        <w:rPr>
          <w:rFonts w:ascii="Times New Roman" w:hAnsi="Times New Roman" w:cs="Times New Roman"/>
          <w:color w:val="auto"/>
          <w:lang w:val="sr-Cyrl-CS"/>
        </w:rPr>
        <w:t xml:space="preserve"> 2022</w:t>
      </w:r>
      <w:r w:rsidRPr="000C0857">
        <w:rPr>
          <w:rFonts w:ascii="Times New Roman" w:hAnsi="Times New Roman" w:cs="Times New Roman"/>
          <w:color w:val="auto"/>
          <w:lang w:val="sr-Cyrl-CS"/>
        </w:rPr>
        <w:t>. године</w:t>
      </w:r>
      <w:r w:rsidR="00BD2868" w:rsidRPr="000C0857">
        <w:rPr>
          <w:rFonts w:ascii="Times New Roman" w:hAnsi="Times New Roman" w:cs="Times New Roman"/>
          <w:color w:val="auto"/>
          <w:lang w:val="sr-Cyrl-CS"/>
        </w:rPr>
        <w:t>,</w:t>
      </w:r>
      <w:r w:rsidRPr="000C0857">
        <w:rPr>
          <w:rFonts w:ascii="Times New Roman" w:hAnsi="Times New Roman" w:cs="Times New Roman"/>
          <w:color w:val="auto"/>
          <w:lang w:val="sr-Cyrl-CS"/>
        </w:rPr>
        <w:t xml:space="preserve"> </w:t>
      </w:r>
      <w:r w:rsidRPr="000C0857">
        <w:rPr>
          <w:rFonts w:ascii="Times New Roman" w:hAnsi="Times New Roman" w:cs="Times New Roman"/>
          <w:lang w:val="sr-Cyrl-CS"/>
        </w:rPr>
        <w:t xml:space="preserve">у оригиналу на енглеском језику. </w:t>
      </w:r>
    </w:p>
    <w:p w14:paraId="2F5804AD" w14:textId="77777777" w:rsidR="00601491" w:rsidRPr="000C0857" w:rsidRDefault="00601491" w:rsidP="00601491">
      <w:pPr>
        <w:pStyle w:val="Default"/>
        <w:ind w:firstLine="720"/>
        <w:jc w:val="both"/>
        <w:rPr>
          <w:rFonts w:ascii="Times New Roman" w:hAnsi="Times New Roman" w:cs="Times New Roman"/>
          <w:color w:val="auto"/>
          <w:lang w:val="sr-Cyrl-CS"/>
        </w:rPr>
      </w:pPr>
      <w:r w:rsidRPr="000C0857">
        <w:rPr>
          <w:rFonts w:ascii="Times New Roman" w:hAnsi="Times New Roman" w:cs="Times New Roman"/>
          <w:color w:val="auto"/>
          <w:lang w:val="sr-Cyrl-CS"/>
        </w:rPr>
        <w:t xml:space="preserve">Одредба члана 2. овог закона садржи текст </w:t>
      </w:r>
      <w:r w:rsidR="006E238E" w:rsidRPr="000C0857">
        <w:rPr>
          <w:rFonts w:ascii="Times New Roman" w:hAnsi="Times New Roman" w:cs="Times New Roman"/>
          <w:color w:val="auto"/>
          <w:lang w:val="sr-Cyrl-CS"/>
        </w:rPr>
        <w:t>Споразума о зајму (Пројекат развоја локалне инфраструктуре и институционалног јачања локалних самоуправа) између Републике Србије и Међународне банке за обнову и развој</w:t>
      </w:r>
      <w:r w:rsidRPr="000C0857">
        <w:rPr>
          <w:rFonts w:ascii="Times New Roman" w:hAnsi="Times New Roman" w:cs="Times New Roman"/>
          <w:color w:val="auto"/>
          <w:lang w:val="sr-Cyrl-CS"/>
        </w:rPr>
        <w:t>, у оригиналу на енглеском</w:t>
      </w:r>
      <w:r w:rsidR="004B55F1" w:rsidRPr="000C0857">
        <w:rPr>
          <w:rFonts w:ascii="Times New Roman" w:hAnsi="Times New Roman" w:cs="Times New Roman"/>
          <w:color w:val="auto"/>
          <w:lang w:val="sr-Cyrl-CS"/>
        </w:rPr>
        <w:t xml:space="preserve"> језику</w:t>
      </w:r>
      <w:r w:rsidRPr="000C0857">
        <w:rPr>
          <w:rFonts w:ascii="Times New Roman" w:hAnsi="Times New Roman" w:cs="Times New Roman"/>
          <w:color w:val="auto"/>
          <w:lang w:val="sr-Cyrl-CS"/>
        </w:rPr>
        <w:t xml:space="preserve"> и преводу на српски језик. </w:t>
      </w:r>
    </w:p>
    <w:p w14:paraId="5EB8363A" w14:textId="77777777" w:rsidR="00601491" w:rsidRPr="000C0857" w:rsidRDefault="004B55F1" w:rsidP="00601491">
      <w:pPr>
        <w:pStyle w:val="Default"/>
        <w:ind w:firstLine="720"/>
        <w:jc w:val="both"/>
        <w:rPr>
          <w:rFonts w:ascii="Times New Roman" w:hAnsi="Times New Roman" w:cs="Times New Roman"/>
          <w:color w:val="auto"/>
          <w:lang w:val="sr-Cyrl-CS"/>
        </w:rPr>
      </w:pPr>
      <w:r w:rsidRPr="000C0857">
        <w:rPr>
          <w:rFonts w:ascii="Times New Roman" w:hAnsi="Times New Roman" w:cs="Times New Roman"/>
          <w:color w:val="auto"/>
          <w:lang w:val="sr-Cyrl-CS"/>
        </w:rPr>
        <w:t>У одредби члана 3.</w:t>
      </w:r>
      <w:r w:rsidR="00601491" w:rsidRPr="000C0857">
        <w:rPr>
          <w:rFonts w:ascii="Times New Roman" w:hAnsi="Times New Roman" w:cs="Times New Roman"/>
          <w:color w:val="auto"/>
          <w:lang w:val="sr-Cyrl-CS"/>
        </w:rPr>
        <w:t xml:space="preserve"> уређује се ступање на снагу овог закона. </w:t>
      </w:r>
    </w:p>
    <w:p w14:paraId="5C053B4E" w14:textId="77777777" w:rsidR="00601491" w:rsidRPr="000C0857" w:rsidRDefault="00601491" w:rsidP="00601491">
      <w:pPr>
        <w:pStyle w:val="Default"/>
        <w:jc w:val="both"/>
        <w:rPr>
          <w:rFonts w:ascii="Times New Roman" w:hAnsi="Times New Roman" w:cs="Times New Roman"/>
          <w:color w:val="auto"/>
          <w:lang w:val="sr-Cyrl-CS"/>
        </w:rPr>
      </w:pPr>
    </w:p>
    <w:p w14:paraId="4FC0F49B" w14:textId="77777777" w:rsidR="00601491" w:rsidRPr="000C0857" w:rsidRDefault="00601491" w:rsidP="00601491">
      <w:pPr>
        <w:pStyle w:val="Default"/>
        <w:ind w:firstLine="720"/>
        <w:jc w:val="both"/>
        <w:rPr>
          <w:rFonts w:ascii="Times New Roman" w:hAnsi="Times New Roman" w:cs="Times New Roman"/>
          <w:color w:val="auto"/>
          <w:lang w:val="sr-Cyrl-CS"/>
        </w:rPr>
      </w:pPr>
      <w:r w:rsidRPr="000C0857">
        <w:rPr>
          <w:rFonts w:ascii="Times New Roman" w:hAnsi="Times New Roman" w:cs="Times New Roman"/>
          <w:color w:val="auto"/>
          <w:lang w:val="sr-Cyrl-CS"/>
        </w:rPr>
        <w:t>IV</w:t>
      </w:r>
      <w:r w:rsidR="004B55F1" w:rsidRPr="000C0857">
        <w:rPr>
          <w:rFonts w:ascii="Times New Roman" w:hAnsi="Times New Roman" w:cs="Times New Roman"/>
          <w:color w:val="auto"/>
          <w:lang w:val="sr-Cyrl-CS"/>
        </w:rPr>
        <w:t>.</w:t>
      </w:r>
      <w:r w:rsidRPr="000C0857">
        <w:rPr>
          <w:rFonts w:ascii="Times New Roman" w:hAnsi="Times New Roman" w:cs="Times New Roman"/>
          <w:color w:val="auto"/>
          <w:lang w:val="sr-Cyrl-CS"/>
        </w:rPr>
        <w:t xml:space="preserve"> ФИНАНСИЈСКЕ ОБАВЕЗЕ И ПРОЦЕНА ФИНАНСИЈСКИХ СРЕДСТАВА КОЈА НАСТАЈУ ИЗВРШАВАЊЕМ ЗАКОНА</w:t>
      </w:r>
    </w:p>
    <w:p w14:paraId="3874ACE9" w14:textId="77777777" w:rsidR="00601491" w:rsidRPr="000C0857" w:rsidRDefault="00601491" w:rsidP="00601491">
      <w:pPr>
        <w:pStyle w:val="Default"/>
        <w:ind w:firstLine="720"/>
        <w:jc w:val="both"/>
        <w:rPr>
          <w:rFonts w:ascii="Times New Roman" w:hAnsi="Times New Roman" w:cs="Times New Roman"/>
          <w:color w:val="auto"/>
          <w:lang w:val="sr-Cyrl-CS"/>
        </w:rPr>
      </w:pPr>
      <w:r w:rsidRPr="000C0857">
        <w:rPr>
          <w:rFonts w:ascii="Times New Roman" w:hAnsi="Times New Roman" w:cs="Times New Roman"/>
          <w:color w:val="auto"/>
          <w:lang w:val="sr-Cyrl-CS"/>
        </w:rPr>
        <w:t xml:space="preserve"> </w:t>
      </w:r>
    </w:p>
    <w:p w14:paraId="6F1A2EDF" w14:textId="77777777" w:rsidR="00601491" w:rsidRPr="000C0857" w:rsidRDefault="00601491" w:rsidP="00601491">
      <w:pPr>
        <w:pStyle w:val="Default"/>
        <w:ind w:firstLine="720"/>
        <w:jc w:val="both"/>
        <w:rPr>
          <w:rFonts w:ascii="Times New Roman" w:hAnsi="Times New Roman" w:cs="Times New Roman"/>
          <w:color w:val="auto"/>
          <w:lang w:val="sr-Cyrl-CS"/>
        </w:rPr>
      </w:pPr>
      <w:r w:rsidRPr="000C0857">
        <w:rPr>
          <w:rFonts w:ascii="Times New Roman" w:hAnsi="Times New Roman" w:cs="Times New Roman"/>
          <w:color w:val="auto"/>
          <w:lang w:val="sr-Cyrl-CS"/>
        </w:rPr>
        <w:t xml:space="preserve">За спровођење овог закона обезбеђиваће се средства у буџету Републике Србије. </w:t>
      </w:r>
    </w:p>
    <w:p w14:paraId="5A85251C" w14:textId="77777777" w:rsidR="002C4BCD" w:rsidRPr="000C0857" w:rsidRDefault="00000000">
      <w:pPr>
        <w:rPr>
          <w:lang w:val="sr-Cyrl-CS"/>
        </w:rPr>
      </w:pPr>
    </w:p>
    <w:sectPr w:rsidR="002C4BCD" w:rsidRPr="000C0857" w:rsidSect="00D477CC">
      <w:headerReference w:type="default" r:id="rId7"/>
      <w:pgSz w:w="11906" w:h="16838"/>
      <w:pgMar w:top="126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6435A" w14:textId="77777777" w:rsidR="009C3210" w:rsidRDefault="009C3210" w:rsidP="00D477CC">
      <w:r>
        <w:separator/>
      </w:r>
    </w:p>
  </w:endnote>
  <w:endnote w:type="continuationSeparator" w:id="0">
    <w:p w14:paraId="0875EE3C" w14:textId="77777777" w:rsidR="009C3210" w:rsidRDefault="009C3210" w:rsidP="00D4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C987" w14:textId="77777777" w:rsidR="009C3210" w:rsidRDefault="009C3210" w:rsidP="00D477CC">
      <w:r>
        <w:separator/>
      </w:r>
    </w:p>
  </w:footnote>
  <w:footnote w:type="continuationSeparator" w:id="0">
    <w:p w14:paraId="4B66221D" w14:textId="77777777" w:rsidR="009C3210" w:rsidRDefault="009C3210" w:rsidP="00D47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0705248"/>
      <w:docPartObj>
        <w:docPartGallery w:val="Page Numbers (Top of Page)"/>
        <w:docPartUnique/>
      </w:docPartObj>
    </w:sdtPr>
    <w:sdtEndPr>
      <w:rPr>
        <w:noProof/>
      </w:rPr>
    </w:sdtEndPr>
    <w:sdtContent>
      <w:p w14:paraId="2BE3A5B3" w14:textId="77777777" w:rsidR="00D477CC" w:rsidRDefault="00D477CC">
        <w:pPr>
          <w:pStyle w:val="Header"/>
          <w:jc w:val="center"/>
        </w:pPr>
        <w:r>
          <w:fldChar w:fldCharType="begin"/>
        </w:r>
        <w:r>
          <w:instrText xml:space="preserve"> PAGE   \* MERGEFORMAT </w:instrText>
        </w:r>
        <w:r>
          <w:fldChar w:fldCharType="separate"/>
        </w:r>
        <w:r w:rsidR="000F46E5">
          <w:rPr>
            <w:noProof/>
          </w:rPr>
          <w:t>2</w:t>
        </w:r>
        <w:r>
          <w:rPr>
            <w:noProof/>
          </w:rPr>
          <w:fldChar w:fldCharType="end"/>
        </w:r>
      </w:p>
    </w:sdtContent>
  </w:sdt>
  <w:p w14:paraId="57589420" w14:textId="77777777" w:rsidR="00D477CC" w:rsidRDefault="00D47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46AC2"/>
    <w:multiLevelType w:val="hybridMultilevel"/>
    <w:tmpl w:val="D5B4DACA"/>
    <w:lvl w:ilvl="0" w:tplc="20E2DFFA">
      <w:numFmt w:val="bullet"/>
      <w:lvlText w:val="-"/>
      <w:lvlJc w:val="left"/>
      <w:pPr>
        <w:ind w:left="4195" w:hanging="360"/>
      </w:pPr>
      <w:rPr>
        <w:rFonts w:ascii="Times New Roman" w:eastAsia="Calibri" w:hAnsi="Times New Roman" w:cs="Times New Roman" w:hint="default"/>
      </w:rPr>
    </w:lvl>
    <w:lvl w:ilvl="1" w:tplc="241A0003">
      <w:start w:val="1"/>
      <w:numFmt w:val="bullet"/>
      <w:lvlText w:val="o"/>
      <w:lvlJc w:val="left"/>
      <w:pPr>
        <w:ind w:left="4915" w:hanging="360"/>
      </w:pPr>
      <w:rPr>
        <w:rFonts w:ascii="Courier New" w:hAnsi="Courier New" w:cs="Courier New" w:hint="default"/>
      </w:rPr>
    </w:lvl>
    <w:lvl w:ilvl="2" w:tplc="241A0005">
      <w:start w:val="1"/>
      <w:numFmt w:val="bullet"/>
      <w:lvlText w:val=""/>
      <w:lvlJc w:val="left"/>
      <w:pPr>
        <w:ind w:left="5635" w:hanging="360"/>
      </w:pPr>
      <w:rPr>
        <w:rFonts w:ascii="Wingdings" w:hAnsi="Wingdings" w:hint="default"/>
      </w:rPr>
    </w:lvl>
    <w:lvl w:ilvl="3" w:tplc="241A0001">
      <w:start w:val="1"/>
      <w:numFmt w:val="bullet"/>
      <w:lvlText w:val=""/>
      <w:lvlJc w:val="left"/>
      <w:pPr>
        <w:ind w:left="6355" w:hanging="360"/>
      </w:pPr>
      <w:rPr>
        <w:rFonts w:ascii="Symbol" w:hAnsi="Symbol" w:hint="default"/>
      </w:rPr>
    </w:lvl>
    <w:lvl w:ilvl="4" w:tplc="241A0003">
      <w:start w:val="1"/>
      <w:numFmt w:val="bullet"/>
      <w:lvlText w:val="o"/>
      <w:lvlJc w:val="left"/>
      <w:pPr>
        <w:ind w:left="7075" w:hanging="360"/>
      </w:pPr>
      <w:rPr>
        <w:rFonts w:ascii="Courier New" w:hAnsi="Courier New" w:cs="Courier New" w:hint="default"/>
      </w:rPr>
    </w:lvl>
    <w:lvl w:ilvl="5" w:tplc="241A0005">
      <w:start w:val="1"/>
      <w:numFmt w:val="bullet"/>
      <w:lvlText w:val=""/>
      <w:lvlJc w:val="left"/>
      <w:pPr>
        <w:ind w:left="7795" w:hanging="360"/>
      </w:pPr>
      <w:rPr>
        <w:rFonts w:ascii="Wingdings" w:hAnsi="Wingdings" w:hint="default"/>
      </w:rPr>
    </w:lvl>
    <w:lvl w:ilvl="6" w:tplc="241A0001">
      <w:start w:val="1"/>
      <w:numFmt w:val="bullet"/>
      <w:lvlText w:val=""/>
      <w:lvlJc w:val="left"/>
      <w:pPr>
        <w:ind w:left="8515" w:hanging="360"/>
      </w:pPr>
      <w:rPr>
        <w:rFonts w:ascii="Symbol" w:hAnsi="Symbol" w:hint="default"/>
      </w:rPr>
    </w:lvl>
    <w:lvl w:ilvl="7" w:tplc="241A0003">
      <w:start w:val="1"/>
      <w:numFmt w:val="bullet"/>
      <w:lvlText w:val="o"/>
      <w:lvlJc w:val="left"/>
      <w:pPr>
        <w:ind w:left="9235" w:hanging="360"/>
      </w:pPr>
      <w:rPr>
        <w:rFonts w:ascii="Courier New" w:hAnsi="Courier New" w:cs="Courier New" w:hint="default"/>
      </w:rPr>
    </w:lvl>
    <w:lvl w:ilvl="8" w:tplc="241A0005">
      <w:start w:val="1"/>
      <w:numFmt w:val="bullet"/>
      <w:lvlText w:val=""/>
      <w:lvlJc w:val="left"/>
      <w:pPr>
        <w:ind w:left="9955" w:hanging="360"/>
      </w:pPr>
      <w:rPr>
        <w:rFonts w:ascii="Wingdings" w:hAnsi="Wingdings" w:hint="default"/>
      </w:rPr>
    </w:lvl>
  </w:abstractNum>
  <w:abstractNum w:abstractNumId="1" w15:restartNumberingAfterBreak="0">
    <w:nsid w:val="669E75C2"/>
    <w:multiLevelType w:val="hybridMultilevel"/>
    <w:tmpl w:val="D3E807EE"/>
    <w:lvl w:ilvl="0" w:tplc="0409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386269262">
    <w:abstractNumId w:val="0"/>
  </w:num>
  <w:num w:numId="2" w16cid:durableId="746420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F9B"/>
    <w:rsid w:val="00042FA0"/>
    <w:rsid w:val="0004558D"/>
    <w:rsid w:val="00045DDC"/>
    <w:rsid w:val="0006446C"/>
    <w:rsid w:val="000C0857"/>
    <w:rsid w:val="000F46E5"/>
    <w:rsid w:val="00117C14"/>
    <w:rsid w:val="00135BBB"/>
    <w:rsid w:val="00145269"/>
    <w:rsid w:val="001457F6"/>
    <w:rsid w:val="0016024B"/>
    <w:rsid w:val="001610A3"/>
    <w:rsid w:val="00165B38"/>
    <w:rsid w:val="001A32FA"/>
    <w:rsid w:val="001A37EA"/>
    <w:rsid w:val="001D0D87"/>
    <w:rsid w:val="001D14DA"/>
    <w:rsid w:val="002537C4"/>
    <w:rsid w:val="002773F1"/>
    <w:rsid w:val="00287F90"/>
    <w:rsid w:val="00295FC5"/>
    <w:rsid w:val="002A40E8"/>
    <w:rsid w:val="002B2B6A"/>
    <w:rsid w:val="002B36E6"/>
    <w:rsid w:val="002E468E"/>
    <w:rsid w:val="002F5225"/>
    <w:rsid w:val="00340C91"/>
    <w:rsid w:val="00342C25"/>
    <w:rsid w:val="00346D5B"/>
    <w:rsid w:val="00362890"/>
    <w:rsid w:val="0036669B"/>
    <w:rsid w:val="00372A01"/>
    <w:rsid w:val="00390847"/>
    <w:rsid w:val="003C1029"/>
    <w:rsid w:val="003F5DC9"/>
    <w:rsid w:val="00421B5A"/>
    <w:rsid w:val="00426994"/>
    <w:rsid w:val="0043259B"/>
    <w:rsid w:val="00440427"/>
    <w:rsid w:val="00446B32"/>
    <w:rsid w:val="0045187F"/>
    <w:rsid w:val="0047703B"/>
    <w:rsid w:val="00491089"/>
    <w:rsid w:val="004B55F1"/>
    <w:rsid w:val="004C3F45"/>
    <w:rsid w:val="004E0AF1"/>
    <w:rsid w:val="004F29E3"/>
    <w:rsid w:val="00524960"/>
    <w:rsid w:val="00526622"/>
    <w:rsid w:val="00561396"/>
    <w:rsid w:val="005639F8"/>
    <w:rsid w:val="00563B7B"/>
    <w:rsid w:val="00575761"/>
    <w:rsid w:val="005803BC"/>
    <w:rsid w:val="00596050"/>
    <w:rsid w:val="005A349F"/>
    <w:rsid w:val="005B26BC"/>
    <w:rsid w:val="005B4328"/>
    <w:rsid w:val="005D4A7A"/>
    <w:rsid w:val="005E18DE"/>
    <w:rsid w:val="00601491"/>
    <w:rsid w:val="00617C82"/>
    <w:rsid w:val="00640EC7"/>
    <w:rsid w:val="006468BC"/>
    <w:rsid w:val="00657FC3"/>
    <w:rsid w:val="00664B3F"/>
    <w:rsid w:val="006A5413"/>
    <w:rsid w:val="006E238E"/>
    <w:rsid w:val="0070423B"/>
    <w:rsid w:val="00707D31"/>
    <w:rsid w:val="00711766"/>
    <w:rsid w:val="00734BD9"/>
    <w:rsid w:val="00745406"/>
    <w:rsid w:val="007459BA"/>
    <w:rsid w:val="00767BEC"/>
    <w:rsid w:val="007737D6"/>
    <w:rsid w:val="00774662"/>
    <w:rsid w:val="00777B3C"/>
    <w:rsid w:val="007A4CA2"/>
    <w:rsid w:val="007A5F55"/>
    <w:rsid w:val="007B329B"/>
    <w:rsid w:val="007B3391"/>
    <w:rsid w:val="007C3D51"/>
    <w:rsid w:val="007C61FD"/>
    <w:rsid w:val="007F068E"/>
    <w:rsid w:val="007F57F0"/>
    <w:rsid w:val="007F72BE"/>
    <w:rsid w:val="00804972"/>
    <w:rsid w:val="00843140"/>
    <w:rsid w:val="008466F9"/>
    <w:rsid w:val="00853530"/>
    <w:rsid w:val="00853F08"/>
    <w:rsid w:val="00872944"/>
    <w:rsid w:val="008E2CBE"/>
    <w:rsid w:val="008F19EA"/>
    <w:rsid w:val="008F6C2D"/>
    <w:rsid w:val="00901075"/>
    <w:rsid w:val="00902C52"/>
    <w:rsid w:val="00907539"/>
    <w:rsid w:val="00934336"/>
    <w:rsid w:val="009478A6"/>
    <w:rsid w:val="009618EF"/>
    <w:rsid w:val="0097695C"/>
    <w:rsid w:val="009A295B"/>
    <w:rsid w:val="009A6500"/>
    <w:rsid w:val="009C0D5C"/>
    <w:rsid w:val="009C3210"/>
    <w:rsid w:val="009D5564"/>
    <w:rsid w:val="00A07225"/>
    <w:rsid w:val="00A14BA4"/>
    <w:rsid w:val="00A15909"/>
    <w:rsid w:val="00A2387E"/>
    <w:rsid w:val="00A25E09"/>
    <w:rsid w:val="00A27F64"/>
    <w:rsid w:val="00A41A26"/>
    <w:rsid w:val="00A55E2D"/>
    <w:rsid w:val="00A622B4"/>
    <w:rsid w:val="00A64798"/>
    <w:rsid w:val="00A7060B"/>
    <w:rsid w:val="00A8566E"/>
    <w:rsid w:val="00A9434B"/>
    <w:rsid w:val="00AD2101"/>
    <w:rsid w:val="00AD5418"/>
    <w:rsid w:val="00AE3437"/>
    <w:rsid w:val="00B36CAE"/>
    <w:rsid w:val="00B47FD9"/>
    <w:rsid w:val="00BD2868"/>
    <w:rsid w:val="00BE4F9B"/>
    <w:rsid w:val="00C65FD0"/>
    <w:rsid w:val="00C7600E"/>
    <w:rsid w:val="00C80E75"/>
    <w:rsid w:val="00C844EB"/>
    <w:rsid w:val="00C85D3A"/>
    <w:rsid w:val="00C87BC1"/>
    <w:rsid w:val="00CC057E"/>
    <w:rsid w:val="00CC0B5E"/>
    <w:rsid w:val="00CD73B8"/>
    <w:rsid w:val="00CF0172"/>
    <w:rsid w:val="00D1326F"/>
    <w:rsid w:val="00D23C6D"/>
    <w:rsid w:val="00D278F6"/>
    <w:rsid w:val="00D45589"/>
    <w:rsid w:val="00D477CC"/>
    <w:rsid w:val="00D91C8D"/>
    <w:rsid w:val="00D92F80"/>
    <w:rsid w:val="00DA10F7"/>
    <w:rsid w:val="00DD2132"/>
    <w:rsid w:val="00DF44D2"/>
    <w:rsid w:val="00E31F5C"/>
    <w:rsid w:val="00E3456C"/>
    <w:rsid w:val="00E42A9A"/>
    <w:rsid w:val="00E56089"/>
    <w:rsid w:val="00E612DE"/>
    <w:rsid w:val="00E627AF"/>
    <w:rsid w:val="00E7495D"/>
    <w:rsid w:val="00E813A8"/>
    <w:rsid w:val="00EE5E97"/>
    <w:rsid w:val="00F61A07"/>
    <w:rsid w:val="00FA0AA2"/>
    <w:rsid w:val="00FC6B4B"/>
    <w:rsid w:val="00FE610B"/>
    <w:rsid w:val="00FE6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704EB"/>
  <w15:docId w15:val="{00A9F922-E4D2-4D8F-86EB-96C65E0A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F9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ain numbered paragraph,123 List Paragraph,Numbered Paragraph,References,Numbered List Paragraph,Bullets,List Paragraph (numbered (a)),List Paragraph nowy,Liste 1,List_Paragraph,Multilevel para_II,List Paragraph1,Bullet paras,Bullet,lp1"/>
    <w:basedOn w:val="Normal"/>
    <w:link w:val="ListParagraphChar"/>
    <w:uiPriority w:val="34"/>
    <w:qFormat/>
    <w:rsid w:val="00BE4F9B"/>
    <w:pPr>
      <w:ind w:left="720"/>
      <w:contextualSpacing/>
    </w:pPr>
  </w:style>
  <w:style w:type="character" w:customStyle="1" w:styleId="ListParagraphChar">
    <w:name w:val="List Paragraph Char"/>
    <w:aliases w:val="Main numbered paragraph Char,123 List Paragraph Char,Numbered Paragraph Char,References Char,Numbered List Paragraph Char,Bullets Char,List Paragraph (numbered (a)) Char,List Paragraph nowy Char,Liste 1 Char,List_Paragraph Char"/>
    <w:link w:val="ListParagraph"/>
    <w:uiPriority w:val="34"/>
    <w:qFormat/>
    <w:locked/>
    <w:rsid w:val="00BE4F9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F29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9E3"/>
    <w:rPr>
      <w:rFonts w:ascii="Segoe UI" w:eastAsia="Times New Roman" w:hAnsi="Segoe UI" w:cs="Segoe UI"/>
      <w:sz w:val="18"/>
      <w:szCs w:val="18"/>
      <w:lang w:val="en-US"/>
    </w:rPr>
  </w:style>
  <w:style w:type="paragraph" w:customStyle="1" w:styleId="Default">
    <w:name w:val="Default"/>
    <w:rsid w:val="00601491"/>
    <w:pPr>
      <w:autoSpaceDE w:val="0"/>
      <w:autoSpaceDN w:val="0"/>
      <w:adjustRightInd w:val="0"/>
      <w:spacing w:after="0" w:line="240" w:lineRule="auto"/>
    </w:pPr>
    <w:rPr>
      <w:rFonts w:ascii="Arial" w:eastAsia="Calibri" w:hAnsi="Arial" w:cs="Arial"/>
      <w:color w:val="000000"/>
      <w:sz w:val="24"/>
      <w:szCs w:val="24"/>
      <w:lang w:val="en-US"/>
    </w:rPr>
  </w:style>
  <w:style w:type="paragraph" w:styleId="Header">
    <w:name w:val="header"/>
    <w:basedOn w:val="Normal"/>
    <w:link w:val="HeaderChar"/>
    <w:uiPriority w:val="99"/>
    <w:unhideWhenUsed/>
    <w:rsid w:val="00D477CC"/>
    <w:pPr>
      <w:tabs>
        <w:tab w:val="center" w:pos="4680"/>
        <w:tab w:val="right" w:pos="9360"/>
      </w:tabs>
    </w:pPr>
  </w:style>
  <w:style w:type="character" w:customStyle="1" w:styleId="HeaderChar">
    <w:name w:val="Header Char"/>
    <w:basedOn w:val="DefaultParagraphFont"/>
    <w:link w:val="Header"/>
    <w:uiPriority w:val="99"/>
    <w:rsid w:val="00D477C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477CC"/>
    <w:pPr>
      <w:tabs>
        <w:tab w:val="center" w:pos="4680"/>
        <w:tab w:val="right" w:pos="9360"/>
      </w:tabs>
    </w:pPr>
  </w:style>
  <w:style w:type="character" w:customStyle="1" w:styleId="FooterChar">
    <w:name w:val="Footer Char"/>
    <w:basedOn w:val="DefaultParagraphFont"/>
    <w:link w:val="Footer"/>
    <w:uiPriority w:val="99"/>
    <w:rsid w:val="00D477C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864306">
      <w:bodyDiv w:val="1"/>
      <w:marLeft w:val="0"/>
      <w:marRight w:val="0"/>
      <w:marTop w:val="0"/>
      <w:marBottom w:val="0"/>
      <w:divBdr>
        <w:top w:val="none" w:sz="0" w:space="0" w:color="auto"/>
        <w:left w:val="none" w:sz="0" w:space="0" w:color="auto"/>
        <w:bottom w:val="none" w:sz="0" w:space="0" w:color="auto"/>
        <w:right w:val="none" w:sz="0" w:space="0" w:color="auto"/>
      </w:divBdr>
    </w:div>
    <w:div w:id="199826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DraganaD</dc:creator>
  <cp:keywords/>
  <dc:description/>
  <cp:lastModifiedBy>Ivana Vojinović</cp:lastModifiedBy>
  <cp:revision>2</cp:revision>
  <cp:lastPrinted>2022-02-02T09:56:00Z</cp:lastPrinted>
  <dcterms:created xsi:type="dcterms:W3CDTF">2023-02-24T11:08:00Z</dcterms:created>
  <dcterms:modified xsi:type="dcterms:W3CDTF">2023-02-24T11:08:00Z</dcterms:modified>
</cp:coreProperties>
</file>