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C0D3A" w14:textId="77777777" w:rsidR="00225B85" w:rsidRDefault="00225B85" w:rsidP="00225B85">
      <w:pPr>
        <w:tabs>
          <w:tab w:val="left" w:pos="855"/>
        </w:tabs>
        <w:jc w:val="both"/>
        <w:rPr>
          <w:lang w:val="sr-Cyrl-RS"/>
        </w:rPr>
      </w:pPr>
    </w:p>
    <w:p w14:paraId="7C74318C" w14:textId="77777777" w:rsidR="00225B85" w:rsidRDefault="00225B85" w:rsidP="00225B85">
      <w:pPr>
        <w:jc w:val="center"/>
        <w:rPr>
          <w:rFonts w:eastAsia="Calibri"/>
          <w:lang w:val="sr-Cyrl-RS"/>
        </w:rPr>
      </w:pPr>
      <w:r>
        <w:rPr>
          <w:rFonts w:eastAsia="Calibri"/>
          <w:lang w:val="sr-Cyrl-RS"/>
        </w:rPr>
        <w:t>ПРЕГЛЕД ОДРЕДАБА ЗАКОНА О ОРГАНИЗАЦИЈИ И НАДЛЕЖНОСТИ ДРЖАВНИХ ОРГАНА У ПОСТУПКУ ЗА РАТНЕ ЗЛОЧИНЕ КОЈЕ СЕ МЕЊАЈУ</w:t>
      </w:r>
    </w:p>
    <w:p w14:paraId="109DD301" w14:textId="77777777" w:rsidR="00225B85" w:rsidRDefault="00225B85" w:rsidP="00225B85">
      <w:pPr>
        <w:jc w:val="both"/>
      </w:pPr>
      <w:r>
        <w:t xml:space="preserve">  </w:t>
      </w:r>
      <w:bookmarkStart w:id="0" w:name="str_1"/>
      <w:bookmarkStart w:id="1" w:name="str_3"/>
      <w:bookmarkEnd w:id="0"/>
      <w:bookmarkEnd w:id="1"/>
    </w:p>
    <w:p w14:paraId="11B48CAE" w14:textId="77777777" w:rsidR="00225B85" w:rsidRDefault="00225B85" w:rsidP="00225B85">
      <w:pPr>
        <w:jc w:val="center"/>
        <w:rPr>
          <w:bCs/>
        </w:rPr>
      </w:pPr>
      <w:r>
        <w:rPr>
          <w:bCs/>
        </w:rPr>
        <w:t xml:space="preserve">1. </w:t>
      </w:r>
      <w:r>
        <w:rPr>
          <w:bCs/>
          <w:strike/>
        </w:rPr>
        <w:t>Тужилаштво</w:t>
      </w:r>
      <w:r>
        <w:rPr>
          <w:bCs/>
        </w:rPr>
        <w:t xml:space="preserve"> </w:t>
      </w:r>
      <w:r>
        <w:rPr>
          <w:bCs/>
          <w:lang w:val="sr-Cyrl-RS"/>
        </w:rPr>
        <w:t xml:space="preserve">ЈАВНО ТУЖИЛАШТВО </w:t>
      </w:r>
      <w:r>
        <w:rPr>
          <w:bCs/>
        </w:rPr>
        <w:t>за ратне злочине</w:t>
      </w:r>
    </w:p>
    <w:p w14:paraId="5685B558" w14:textId="77777777" w:rsidR="00225B85" w:rsidRDefault="00225B85" w:rsidP="00225B85">
      <w:pPr>
        <w:jc w:val="both"/>
        <w:rPr>
          <w:b/>
          <w:bCs/>
        </w:rPr>
      </w:pPr>
      <w:bookmarkStart w:id="2" w:name="clan_4"/>
      <w:bookmarkEnd w:id="2"/>
    </w:p>
    <w:p w14:paraId="628ACB68" w14:textId="77777777" w:rsidR="00225B85" w:rsidRDefault="00225B85" w:rsidP="00225B85">
      <w:pPr>
        <w:jc w:val="center"/>
        <w:rPr>
          <w:bCs/>
        </w:rPr>
      </w:pPr>
      <w:r>
        <w:rPr>
          <w:bCs/>
        </w:rPr>
        <w:t>Члан 4</w:t>
      </w:r>
      <w:r>
        <w:rPr>
          <w:bCs/>
          <w:lang w:val="sr-Cyrl-RS"/>
        </w:rPr>
        <w:t>.</w:t>
      </w:r>
    </w:p>
    <w:p w14:paraId="01AA37D7" w14:textId="77777777" w:rsidR="00225B85" w:rsidRDefault="00225B85" w:rsidP="00225B85">
      <w:pPr>
        <w:ind w:firstLine="720"/>
        <w:jc w:val="both"/>
      </w:pPr>
      <w:r>
        <w:t xml:space="preserve">За поступање у предметима кривичних дела из члана 2. овог закона надлежно је </w:t>
      </w:r>
      <w:r>
        <w:rPr>
          <w:strike/>
        </w:rPr>
        <w:t>Тужилаштво</w:t>
      </w:r>
      <w:r>
        <w:t xml:space="preserve"> </w:t>
      </w:r>
      <w:r>
        <w:rPr>
          <w:lang w:val="sr-Cyrl-RS"/>
        </w:rPr>
        <w:t xml:space="preserve">ЈАВНО ТУЖИЛАШТВО </w:t>
      </w:r>
      <w:r>
        <w:t>за ратне злочине.</w:t>
      </w:r>
    </w:p>
    <w:p w14:paraId="7A2CEB86" w14:textId="77777777" w:rsidR="00225B85" w:rsidRDefault="00225B85" w:rsidP="00225B85">
      <w:pPr>
        <w:ind w:firstLine="720"/>
        <w:jc w:val="both"/>
      </w:pPr>
      <w:r>
        <w:t xml:space="preserve">Радом </w:t>
      </w:r>
      <w:r>
        <w:rPr>
          <w:strike/>
        </w:rPr>
        <w:t>Тужилаштва</w:t>
      </w:r>
      <w:r>
        <w:t xml:space="preserve"> </w:t>
      </w:r>
      <w:r>
        <w:rPr>
          <w:lang w:val="sr-Cyrl-RS"/>
        </w:rPr>
        <w:t xml:space="preserve">ЈАВНОГ ТУЖИЛАШТВА </w:t>
      </w:r>
      <w:r>
        <w:t xml:space="preserve">за ратне злочине руководи </w:t>
      </w:r>
      <w:r>
        <w:rPr>
          <w:strike/>
        </w:rPr>
        <w:t>Тужилац за ратне злочине</w:t>
      </w:r>
      <w:r>
        <w:rPr>
          <w:lang w:val="sr-Cyrl-RS"/>
        </w:rPr>
        <w:t xml:space="preserve"> ГЛАВНИ ЈАВНИ ТУЖИЛАЦ </w:t>
      </w:r>
      <w:r>
        <w:rPr>
          <w:rFonts w:eastAsia="Calibri"/>
          <w:lang w:val="sr-Cyrl-CS"/>
        </w:rPr>
        <w:t>ЈАВНОГ ТУЖИЛАШТВА ЗА РАТНЕ ЗЛОЧИНЕ (У ДАЉЕМ ТЕКСТУ: ГЛАВНИ ЈАВНИ ТУЖИЛАЦ)</w:t>
      </w:r>
      <w:r>
        <w:t>.</w:t>
      </w:r>
    </w:p>
    <w:p w14:paraId="28546B45" w14:textId="77777777" w:rsidR="00225B85" w:rsidRDefault="00225B85" w:rsidP="00225B85">
      <w:pPr>
        <w:ind w:firstLine="720"/>
        <w:jc w:val="both"/>
      </w:pPr>
      <w:r>
        <w:t xml:space="preserve">Ако овим законом није другачије одређено, на </w:t>
      </w:r>
      <w:r>
        <w:rPr>
          <w:strike/>
        </w:rPr>
        <w:t>Тужилаштво</w:t>
      </w:r>
      <w:r>
        <w:t xml:space="preserve"> </w:t>
      </w:r>
      <w:r>
        <w:rPr>
          <w:lang w:val="sr-Cyrl-RS"/>
        </w:rPr>
        <w:t xml:space="preserve">ЈАВНО ТУЖИЛАШТВО </w:t>
      </w:r>
      <w:r>
        <w:t>за ратне злочине примењују се одредбе закона којим се уређује јавно тужилаштво.</w:t>
      </w:r>
    </w:p>
    <w:p w14:paraId="49A3F12F" w14:textId="77777777" w:rsidR="00225B85" w:rsidRDefault="00225B85" w:rsidP="00225B85">
      <w:pPr>
        <w:jc w:val="both"/>
        <w:rPr>
          <w:b/>
          <w:bCs/>
        </w:rPr>
      </w:pPr>
      <w:bookmarkStart w:id="3" w:name="clan_5"/>
      <w:bookmarkEnd w:id="3"/>
    </w:p>
    <w:p w14:paraId="31687DFA" w14:textId="77777777" w:rsidR="00225B85" w:rsidRDefault="00225B85" w:rsidP="00225B85">
      <w:pPr>
        <w:jc w:val="center"/>
        <w:rPr>
          <w:rFonts w:eastAsia="Calibri"/>
          <w:strike/>
          <w:lang w:val="sr-Cyrl-RS"/>
        </w:rPr>
      </w:pPr>
      <w:r>
        <w:rPr>
          <w:rFonts w:eastAsia="Calibri"/>
          <w:strike/>
        </w:rPr>
        <w:t>Члан 5</w:t>
      </w:r>
      <w:r>
        <w:rPr>
          <w:rFonts w:eastAsia="Calibri"/>
          <w:strike/>
          <w:lang w:val="sr-Cyrl-RS"/>
        </w:rPr>
        <w:t>.</w:t>
      </w:r>
    </w:p>
    <w:p w14:paraId="10B5BADD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>Приликом предлагања кандидата за Тужиоца за ратне злочине, односно избора заменика Тужиоца за ратне злочине, предност имају кандидати који поседују потребна стручна знања и искуство у области кривичног права, међународног хуманитарног права и људских права.</w:t>
      </w:r>
    </w:p>
    <w:p w14:paraId="26CE5800" w14:textId="77777777" w:rsidR="00225B85" w:rsidRDefault="00225B85" w:rsidP="00225B85">
      <w:pPr>
        <w:ind w:firstLine="720"/>
        <w:jc w:val="both"/>
        <w:rPr>
          <w:strike/>
        </w:rPr>
      </w:pPr>
      <w:r>
        <w:rPr>
          <w:strike/>
        </w:rPr>
        <w:t>Републички јавни тужилац може, на предлог Тужиоца за ратне злочине, да упути у Тужилаштво за ратне злочине, заменика јавног тужиоца, уз његову писмену сагласност.</w:t>
      </w:r>
    </w:p>
    <w:p w14:paraId="5512B5D1" w14:textId="77777777" w:rsidR="00225B85" w:rsidRDefault="00225B85" w:rsidP="00225B85">
      <w:pPr>
        <w:ind w:firstLine="720"/>
        <w:jc w:val="both"/>
        <w:rPr>
          <w:strike/>
        </w:rPr>
      </w:pPr>
      <w:r>
        <w:rPr>
          <w:strike/>
        </w:rPr>
        <w:t>Упућивање из става 1. овог члана траје најдуже четири године, а може бити продужено одлуком Републичког јавног тужиоца, на предлог Тужиоца за ратне злочине, уз писмену сагласност упућеног заменика јавног тужиоца.</w:t>
      </w:r>
    </w:p>
    <w:p w14:paraId="49D5E725" w14:textId="77777777" w:rsidR="00225B85" w:rsidRDefault="00225B85" w:rsidP="00225B85">
      <w:pPr>
        <w:ind w:firstLine="720"/>
        <w:jc w:val="both"/>
        <w:rPr>
          <w:strike/>
        </w:rPr>
      </w:pPr>
      <w:r>
        <w:rPr>
          <w:strike/>
        </w:rPr>
        <w:t>Тужиоцу за ратне злочине функција не престаје навршењем радног века, ако му није истекао мандат на који је изабран за Тужиоца за ратне злочине.</w:t>
      </w:r>
    </w:p>
    <w:p w14:paraId="2E115693" w14:textId="77777777" w:rsidR="00225B85" w:rsidRDefault="00225B85" w:rsidP="00225B85">
      <w:pPr>
        <w:ind w:firstLine="720"/>
        <w:jc w:val="both"/>
        <w:rPr>
          <w:strike/>
        </w:rPr>
      </w:pPr>
      <w:r>
        <w:rPr>
          <w:strike/>
        </w:rPr>
        <w:t>У случају из става 4. овог члана, Тужиоцу за ратне злочине та функција престаје истеком мандата на који је изабран.</w:t>
      </w:r>
    </w:p>
    <w:p w14:paraId="6A3320F6" w14:textId="77777777" w:rsidR="00225B85" w:rsidRDefault="00225B85" w:rsidP="00225B85">
      <w:pPr>
        <w:jc w:val="both"/>
        <w:rPr>
          <w:b/>
          <w:bCs/>
        </w:rPr>
      </w:pPr>
      <w:bookmarkStart w:id="4" w:name="clan_6"/>
      <w:bookmarkEnd w:id="4"/>
    </w:p>
    <w:p w14:paraId="46847C39" w14:textId="77777777" w:rsidR="00225B85" w:rsidRDefault="00225B85" w:rsidP="00225B85">
      <w:pPr>
        <w:jc w:val="center"/>
        <w:rPr>
          <w:bCs/>
          <w:lang w:val="sr-Cyrl-RS"/>
        </w:rPr>
      </w:pPr>
      <w:r>
        <w:rPr>
          <w:bCs/>
          <w:lang w:val="sr-Cyrl-RS"/>
        </w:rPr>
        <w:t>ЧЛАН 5.</w:t>
      </w:r>
    </w:p>
    <w:p w14:paraId="639E5E09" w14:textId="77777777" w:rsidR="00225B85" w:rsidRDefault="00225B85" w:rsidP="00225B85">
      <w:pPr>
        <w:jc w:val="both"/>
      </w:pPr>
      <w:r>
        <w:tab/>
        <w:t xml:space="preserve">ПРИЛИКОМ </w:t>
      </w:r>
      <w:r>
        <w:rPr>
          <w:lang w:val="sr-Cyrl-RS"/>
        </w:rPr>
        <w:t>ИЗБОРА ГЛАВНОГ ЈАВНОГ ТУЖИОЦА</w:t>
      </w:r>
      <w:r>
        <w:t xml:space="preserve">, ОДНОСНО </w:t>
      </w:r>
      <w:r>
        <w:rPr>
          <w:lang w:val="sr-Cyrl-RS"/>
        </w:rPr>
        <w:t xml:space="preserve">ЈАВНОГ </w:t>
      </w:r>
      <w:r>
        <w:t>ТУЖИОЦА</w:t>
      </w:r>
      <w:r>
        <w:rPr>
          <w:lang w:val="sr-Cyrl-CS"/>
        </w:rPr>
        <w:t xml:space="preserve"> ЈАВНОГ ТУЖИЛАШТВА ЗА РАТНЕ ЗЛОЧИНЕ (У ДАЉЕМ ТЕКСТУ: ЈАВНИ ТУЖИЛАЦ)</w:t>
      </w:r>
      <w:r>
        <w:t>, ПРЕДНОСТ ИМАЈУ КАНДИДАТИ КОЈИ ПОСЕДУЈУ ПОТРЕБНА СТРУЧНА ЗНАЊА И ИСКУСТВО У ОБЛАСТИ КРИВИЧНОГ ПРАВА, МЕЂУНАРОДНОГ ХУМАНИТАРНОГ ПРАВА И ЉУДСКИХ ПРАВА.</w:t>
      </w:r>
    </w:p>
    <w:p w14:paraId="4D8A7C79" w14:textId="77777777" w:rsidR="00225B85" w:rsidRDefault="00225B85" w:rsidP="00225B85">
      <w:pPr>
        <w:jc w:val="both"/>
        <w:rPr>
          <w:b/>
          <w:bCs/>
          <w:lang w:val="sr-Cyrl-RS"/>
        </w:rPr>
      </w:pPr>
    </w:p>
    <w:p w14:paraId="54D61BCD" w14:textId="77777777" w:rsidR="00225B85" w:rsidRDefault="00225B85" w:rsidP="00225B85">
      <w:pPr>
        <w:jc w:val="center"/>
        <w:rPr>
          <w:bCs/>
          <w:lang w:val="sr-Cyrl-RS"/>
        </w:rPr>
      </w:pPr>
      <w:r>
        <w:rPr>
          <w:bCs/>
        </w:rPr>
        <w:t>Члан 6</w:t>
      </w:r>
      <w:r>
        <w:rPr>
          <w:bCs/>
          <w:lang w:val="sr-Cyrl-RS"/>
        </w:rPr>
        <w:t>.</w:t>
      </w:r>
    </w:p>
    <w:p w14:paraId="34F56C41" w14:textId="77777777" w:rsidR="00225B85" w:rsidRDefault="00225B85" w:rsidP="00225B85">
      <w:pPr>
        <w:ind w:firstLine="720"/>
        <w:jc w:val="both"/>
      </w:pPr>
      <w:r>
        <w:rPr>
          <w:strike/>
        </w:rPr>
        <w:t>Тужилац за ратне злочине</w:t>
      </w:r>
      <w:r>
        <w:t xml:space="preserve"> </w:t>
      </w:r>
      <w:r>
        <w:rPr>
          <w:lang w:val="sr-Cyrl-RS"/>
        </w:rPr>
        <w:t>ГЛАВНИ ЈАВНИ ТУЖИЛАЦ</w:t>
      </w:r>
      <w:r>
        <w:t xml:space="preserve"> доноси акт о унутрашњој организацији и систематизацији радних места у </w:t>
      </w:r>
      <w:r>
        <w:rPr>
          <w:strike/>
        </w:rPr>
        <w:t>Тужилаштву</w:t>
      </w:r>
      <w:r>
        <w:t xml:space="preserve"> </w:t>
      </w:r>
      <w:r>
        <w:rPr>
          <w:lang w:val="sr-Cyrl-RS"/>
        </w:rPr>
        <w:t xml:space="preserve">ЈАВНОМ ТУЖИЛАШТВУ </w:t>
      </w:r>
      <w:r>
        <w:t>за ратне злочине, уз сагласност министра надлежног за правосуђе.</w:t>
      </w:r>
    </w:p>
    <w:p w14:paraId="4646B8DA" w14:textId="77777777" w:rsidR="00225B85" w:rsidRDefault="00225B85" w:rsidP="00225B85">
      <w:pPr>
        <w:jc w:val="both"/>
        <w:rPr>
          <w:b/>
          <w:bCs/>
        </w:rPr>
      </w:pPr>
      <w:bookmarkStart w:id="5" w:name="clan_7"/>
      <w:bookmarkEnd w:id="5"/>
    </w:p>
    <w:p w14:paraId="222E68BA" w14:textId="77777777" w:rsidR="00225B85" w:rsidRDefault="00225B85" w:rsidP="00225B85">
      <w:pPr>
        <w:jc w:val="center"/>
        <w:rPr>
          <w:b/>
          <w:bCs/>
        </w:rPr>
      </w:pPr>
    </w:p>
    <w:p w14:paraId="69745FC4" w14:textId="77777777" w:rsidR="00494EB3" w:rsidRDefault="00494EB3" w:rsidP="00225B85">
      <w:pPr>
        <w:jc w:val="center"/>
        <w:rPr>
          <w:b/>
          <w:bCs/>
        </w:rPr>
      </w:pPr>
    </w:p>
    <w:p w14:paraId="308AC4E3" w14:textId="77777777" w:rsidR="00494EB3" w:rsidRDefault="00494EB3" w:rsidP="00225B85">
      <w:pPr>
        <w:jc w:val="center"/>
        <w:rPr>
          <w:b/>
          <w:bCs/>
        </w:rPr>
      </w:pPr>
    </w:p>
    <w:p w14:paraId="56AFF468" w14:textId="77777777" w:rsidR="00225B85" w:rsidRDefault="00225B85" w:rsidP="00225B85">
      <w:pPr>
        <w:jc w:val="center"/>
        <w:rPr>
          <w:bCs/>
          <w:lang w:val="sr-Cyrl-RS"/>
        </w:rPr>
      </w:pPr>
      <w:r>
        <w:rPr>
          <w:bCs/>
        </w:rPr>
        <w:lastRenderedPageBreak/>
        <w:t>Члан 7</w:t>
      </w:r>
      <w:r>
        <w:rPr>
          <w:bCs/>
          <w:lang w:val="sr-Cyrl-RS"/>
        </w:rPr>
        <w:t>.</w:t>
      </w:r>
    </w:p>
    <w:p w14:paraId="37401F9C" w14:textId="77777777" w:rsidR="00225B85" w:rsidRDefault="00225B85" w:rsidP="00225B85">
      <w:pPr>
        <w:ind w:firstLine="720"/>
        <w:jc w:val="both"/>
      </w:pPr>
      <w:r>
        <w:t xml:space="preserve">Сви државни органи и организације дужни су да на захтев </w:t>
      </w:r>
      <w:r>
        <w:rPr>
          <w:strike/>
        </w:rPr>
        <w:t>Тужиоца за ратне злочине</w:t>
      </w:r>
      <w:r>
        <w:t xml:space="preserve"> </w:t>
      </w:r>
      <w:r>
        <w:rPr>
          <w:lang w:val="sr-Cyrl-RS"/>
        </w:rPr>
        <w:t xml:space="preserve">ГЛАВНОГ ЈАВНОГ ТУЖИОЦА </w:t>
      </w:r>
      <w:r>
        <w:t>или Службе за откривање ратних злочина:</w:t>
      </w:r>
    </w:p>
    <w:p w14:paraId="320977BE" w14:textId="77777777" w:rsidR="00225B85" w:rsidRDefault="00225B85" w:rsidP="00225B85">
      <w:pPr>
        <w:ind w:firstLine="720"/>
        <w:jc w:val="both"/>
      </w:pPr>
      <w:r>
        <w:t xml:space="preserve">1) без одлагања омогуће употребу сваког техничког средства којим располажу, </w:t>
      </w:r>
    </w:p>
    <w:p w14:paraId="30438639" w14:textId="77777777" w:rsidR="00225B85" w:rsidRDefault="00225B85" w:rsidP="00225B85">
      <w:pPr>
        <w:ind w:firstLine="720"/>
        <w:jc w:val="both"/>
      </w:pPr>
      <w:r>
        <w:t>2) обезбеде благовремено одазивање свог припадника, односно запосленог, укључујући и старешине органа или организација, ради давања обавештења и саслушања, односно испитивања у својству грађанина, осумњиченог или сведока,</w:t>
      </w:r>
    </w:p>
    <w:p w14:paraId="2980F626" w14:textId="77777777" w:rsidR="00225B85" w:rsidRDefault="00225B85" w:rsidP="00225B85">
      <w:pPr>
        <w:ind w:firstLine="720"/>
        <w:jc w:val="both"/>
      </w:pPr>
      <w:r>
        <w:t>3) без одлагања предају свако писмено или други доказ који поседују, или на други начин саопште информације које могу да помогну у откривању учинилаца ратних злочина.</w:t>
      </w:r>
    </w:p>
    <w:p w14:paraId="536FE78B" w14:textId="77777777" w:rsidR="00225B85" w:rsidRDefault="00225B85" w:rsidP="00225B85">
      <w:pPr>
        <w:jc w:val="both"/>
        <w:rPr>
          <w:b/>
          <w:bCs/>
        </w:rPr>
      </w:pPr>
      <w:bookmarkStart w:id="6" w:name="str_4"/>
      <w:bookmarkEnd w:id="6"/>
    </w:p>
    <w:p w14:paraId="0712B43D" w14:textId="77777777" w:rsidR="00225B85" w:rsidRDefault="00225B85" w:rsidP="00225B85">
      <w:pPr>
        <w:jc w:val="both"/>
        <w:rPr>
          <w:b/>
          <w:bCs/>
        </w:rPr>
      </w:pPr>
    </w:p>
    <w:p w14:paraId="73993B7C" w14:textId="77777777" w:rsidR="00225B85" w:rsidRDefault="00225B85" w:rsidP="00225B85">
      <w:pPr>
        <w:jc w:val="center"/>
        <w:rPr>
          <w:bCs/>
          <w:lang w:val="sr-Cyrl-RS"/>
        </w:rPr>
      </w:pPr>
      <w:bookmarkStart w:id="7" w:name="clan_8"/>
      <w:bookmarkEnd w:id="7"/>
      <w:r>
        <w:rPr>
          <w:bCs/>
        </w:rPr>
        <w:t>Члан 8</w:t>
      </w:r>
      <w:r>
        <w:rPr>
          <w:bCs/>
          <w:lang w:val="sr-Cyrl-RS"/>
        </w:rPr>
        <w:t>.</w:t>
      </w:r>
    </w:p>
    <w:p w14:paraId="588BEE25" w14:textId="77777777" w:rsidR="00225B85" w:rsidRDefault="00225B85" w:rsidP="00225B85">
      <w:pPr>
        <w:ind w:firstLine="720"/>
        <w:jc w:val="both"/>
      </w:pPr>
      <w:r>
        <w:t xml:space="preserve">У министарству надлежном за унутрашње послове ради откривања кривичних дела из члана 2. овог закона образује се Служба за откривање ратних злочина (у даљем тексту: Служба). </w:t>
      </w:r>
    </w:p>
    <w:p w14:paraId="0B3BE314" w14:textId="77777777" w:rsidR="00225B85" w:rsidRDefault="00225B85" w:rsidP="00225B85">
      <w:pPr>
        <w:ind w:firstLine="720"/>
        <w:jc w:val="both"/>
      </w:pPr>
      <w:r>
        <w:t xml:space="preserve">Служба поступа по захтевима </w:t>
      </w:r>
      <w:r>
        <w:rPr>
          <w:strike/>
        </w:rPr>
        <w:t>Тужиоца за ратне злочине</w:t>
      </w:r>
      <w:r>
        <w:rPr>
          <w:lang w:val="sr-Cyrl-RS"/>
        </w:rPr>
        <w:t xml:space="preserve"> ГЛАВНОГ ЈАВНОГ ТУЖИОЦА</w:t>
      </w:r>
      <w:r>
        <w:t>, у складу са законом.</w:t>
      </w:r>
    </w:p>
    <w:p w14:paraId="13831D62" w14:textId="77777777" w:rsidR="00225B85" w:rsidRDefault="00225B85" w:rsidP="00225B85">
      <w:pPr>
        <w:ind w:firstLine="720"/>
        <w:jc w:val="both"/>
      </w:pPr>
      <w:r>
        <w:t xml:space="preserve">Министар надлежан за унутрашње послове поставља и разрешава старешину службе, по прибављеном мишљењу </w:t>
      </w:r>
      <w:r>
        <w:rPr>
          <w:strike/>
        </w:rPr>
        <w:t>Тужиоца за ратне злочине</w:t>
      </w:r>
      <w:r>
        <w:rPr>
          <w:lang w:val="sr-Cyrl-RS"/>
        </w:rPr>
        <w:t xml:space="preserve"> ГЛАВНОГ ЈАВНОГ ТУЖИОЦА</w:t>
      </w:r>
      <w:r>
        <w:t>.</w:t>
      </w:r>
    </w:p>
    <w:p w14:paraId="280AE509" w14:textId="77777777" w:rsidR="00225B85" w:rsidRDefault="00225B85" w:rsidP="00225B85">
      <w:pPr>
        <w:ind w:firstLine="720"/>
        <w:jc w:val="both"/>
      </w:pPr>
      <w:r>
        <w:t xml:space="preserve">Рад Службе уређује се актом који доноси министар надлежан за унутрашње послове, по прибављеном мишљењу </w:t>
      </w:r>
      <w:r>
        <w:rPr>
          <w:strike/>
        </w:rPr>
        <w:t>Тужиоца за ратне злочине</w:t>
      </w:r>
      <w:r>
        <w:rPr>
          <w:lang w:val="sr-Cyrl-RS"/>
        </w:rPr>
        <w:t xml:space="preserve"> ГЛАВНОГ ЈАВНОГ ТУЖИОЦА</w:t>
      </w:r>
      <w:r>
        <w:t xml:space="preserve">. </w:t>
      </w:r>
    </w:p>
    <w:p w14:paraId="45015918" w14:textId="77777777" w:rsidR="00225B85" w:rsidRDefault="00225B85" w:rsidP="00225B85">
      <w:pPr>
        <w:jc w:val="both"/>
        <w:rPr>
          <w:b/>
          <w:bCs/>
        </w:rPr>
      </w:pPr>
      <w:bookmarkStart w:id="8" w:name="str_5"/>
      <w:bookmarkEnd w:id="8"/>
    </w:p>
    <w:p w14:paraId="5FC3CADA" w14:textId="77777777" w:rsidR="00225B85" w:rsidRDefault="00225B85" w:rsidP="00225B85">
      <w:pPr>
        <w:jc w:val="center"/>
        <w:rPr>
          <w:rFonts w:eastAsia="Calibri"/>
          <w:strike/>
          <w:lang w:val="sr-Cyrl-RS"/>
        </w:rPr>
      </w:pPr>
      <w:r>
        <w:rPr>
          <w:rFonts w:eastAsia="Calibri"/>
          <w:strike/>
          <w:lang w:val="sr-Cyrl-RS"/>
        </w:rPr>
        <w:t>Члан 10.</w:t>
      </w:r>
    </w:p>
    <w:p w14:paraId="754A04EE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>У Вишем суду у Београду, за поступање у предметима кривичних дела из члана 2. овог закона, образује се Одељење за ратне злочине (у даљем тексту: Одељење Вишег суда).</w:t>
      </w:r>
    </w:p>
    <w:p w14:paraId="33AC0257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>Радом Одељења Вишег суда руководи председник Одељења Вишег суда.</w:t>
      </w:r>
    </w:p>
    <w:p w14:paraId="68E2A263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Председника Одељења Вишег суда поставља председник Вишег суда у Београду из реда судија распоређених на рад у Одељење Вишег суда, на време од четири године. Председник Одељења Вишег суда мора имати најмање 10 година професионалног искуства у области кривичног права. </w:t>
      </w:r>
    </w:p>
    <w:p w14:paraId="597CA78D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Судије у Одељење Вишег суда распоређује председник Вишег суда у Београду, на време од шест година, уз њихову писмену сагласност. Судија Одељења Вишег суда мора имати најмање осам година професионалног искуства у области кривичног права. </w:t>
      </w:r>
    </w:p>
    <w:p w14:paraId="1E34A22B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Изузетно од одредаба Закона о судијама, Високи савет судства може упутити судију из другог суда на рад у Одељење Вишег суда, на време од шест година, уз његову писмену сагласност. Судија који се упућује мора испуњавати услове из става 4. овог члана. </w:t>
      </w:r>
    </w:p>
    <w:p w14:paraId="643E0C35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Приликом распоређивања, односно упућивања у Одељење Вишег суда, предност имају судије које поседују потребна стручна знања и искуство из области међународног хуманитарног права и људских права. </w:t>
      </w:r>
    </w:p>
    <w:p w14:paraId="3B673D1F" w14:textId="77777777" w:rsidR="00225B85" w:rsidRDefault="00225B85" w:rsidP="00225B85">
      <w:pPr>
        <w:ind w:firstLine="720"/>
        <w:jc w:val="both"/>
        <w:rPr>
          <w:rFonts w:eastAsia="Calibri"/>
        </w:rPr>
      </w:pPr>
      <w:r>
        <w:rPr>
          <w:rFonts w:eastAsia="Calibri"/>
          <w:strike/>
        </w:rPr>
        <w:t>Председник Вишег суда у Београду ближе уређује рад Одељења Вишег суда</w:t>
      </w:r>
      <w:r>
        <w:rPr>
          <w:rFonts w:eastAsia="Calibri"/>
        </w:rPr>
        <w:t xml:space="preserve">. </w:t>
      </w:r>
    </w:p>
    <w:p w14:paraId="02A0AF5F" w14:textId="77777777" w:rsidR="00225B85" w:rsidRDefault="00225B85" w:rsidP="00225B85">
      <w:pPr>
        <w:jc w:val="both"/>
        <w:rPr>
          <w:b/>
          <w:bCs/>
        </w:rPr>
      </w:pPr>
    </w:p>
    <w:p w14:paraId="69749292" w14:textId="77777777" w:rsidR="00225B85" w:rsidRDefault="00225B85" w:rsidP="00225B85">
      <w:pPr>
        <w:jc w:val="center"/>
        <w:rPr>
          <w:bCs/>
          <w:lang w:val="sr-Cyrl-RS"/>
        </w:rPr>
      </w:pPr>
      <w:bookmarkStart w:id="9" w:name="clan_9"/>
      <w:bookmarkStart w:id="10" w:name="clan_10"/>
      <w:bookmarkEnd w:id="9"/>
      <w:bookmarkEnd w:id="10"/>
      <w:r>
        <w:rPr>
          <w:bCs/>
        </w:rPr>
        <w:t>ЧЛАН 10</w:t>
      </w:r>
      <w:r>
        <w:rPr>
          <w:bCs/>
          <w:lang w:val="sr-Cyrl-RS"/>
        </w:rPr>
        <w:t>.</w:t>
      </w:r>
    </w:p>
    <w:p w14:paraId="3827DAAF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clan_10a"/>
      <w:bookmarkEnd w:id="11"/>
      <w:r>
        <w:rPr>
          <w:rFonts w:ascii="Times New Roman" w:eastAsia="Times New Roman" w:hAnsi="Times New Roman"/>
          <w:sz w:val="24"/>
          <w:szCs w:val="24"/>
        </w:rPr>
        <w:t>У ВИШЕМ СУДУ У БЕОГРАДУ, ЗА ПОСТУПАЊЕ У ПРЕДМЕТИМА КРИВИЧНИХ ДЕЛА ИЗ ЧЛАНА 2. ОВОГ ЗАКОНА, ОБРАЗУЈЕ СЕ ОДЕЉЕЊЕ ЗА РАТНЕ ЗЛОЧИНЕ (У ДАЉЕМ ТЕКСТУ: ОДЕЉЕЊЕ ВИШЕГ СУДА).</w:t>
      </w:r>
    </w:p>
    <w:p w14:paraId="6BFD4EC7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РАДОМ ОДЕЉЕЊА ВИШЕГ СУДА РУКОВОДИ ПРЕДСЕДНИК ОДЕЉЕЊА ВИШЕГ СУДА.</w:t>
      </w:r>
    </w:p>
    <w:p w14:paraId="6FC41503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</w:rPr>
        <w:t>ПРЕДСЕДНИКА ОДЕЉЕЊА ВИШЕГ СУДА ПОСТАВЉА ПРЕДСЕДНИК ВИШЕГ СУДА У БЕОГРАДУ ИЗ РЕДА СУДИЈА ВИШЕГ СУДА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У БЕОГРАДУ</w:t>
      </w:r>
      <w:r>
        <w:rPr>
          <w:rFonts w:ascii="Times New Roman" w:eastAsia="Times New Roman" w:hAnsi="Times New Roman"/>
          <w:sz w:val="24"/>
          <w:szCs w:val="24"/>
        </w:rPr>
        <w:t>, НА ЧЕТИРИ ГОДИНЕ. ПРЕДСЕДНИК ОДЕЉЕЊА ВИШЕГ СУДА МОРА ИМАТИ НАЈМАЊЕ ДЕСЕТ ГОДИНА ПРОФЕСИОНАЛНОГ ИСКУСТВА У ОБЛАСТИ КРИВИЧНОГ ПРАВА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МЕЂУНАРОДНОГ ХУМАНИТАРНОГ ПРАВА 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ЛИ</w:t>
      </w:r>
      <w:r>
        <w:rPr>
          <w:rFonts w:ascii="Times New Roman" w:eastAsia="Times New Roman" w:hAnsi="Times New Roman"/>
          <w:sz w:val="24"/>
          <w:szCs w:val="24"/>
        </w:rPr>
        <w:t xml:space="preserve"> ЉУДСКИХ ПРАВА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50670382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СУДИЈА ОДЕЉЕЊА ВИШЕГ СУДА МОРА ИМАТИ НАЈМАЊЕ ОСАМ ГОДИНА ПРОФЕСИОНАЛНОГ ИСКУСТВА У ОБЛАСТИ КРИВИЧНОГ ПРАВА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МЕЂУНАРОДНОГ ХУМАНИТАРНОГ ПРАВА 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ЛИ</w:t>
      </w:r>
      <w:r>
        <w:rPr>
          <w:rFonts w:ascii="Times New Roman" w:eastAsia="Times New Roman" w:hAnsi="Times New Roman"/>
          <w:sz w:val="24"/>
          <w:szCs w:val="24"/>
        </w:rPr>
        <w:t xml:space="preserve"> ЉУДСКИХ ПРАВА. </w:t>
      </w:r>
    </w:p>
    <w:p w14:paraId="1AFE6FF7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У СКЛАДУ СА</w:t>
      </w:r>
      <w:r>
        <w:rPr>
          <w:rFonts w:ascii="Times New Roman" w:eastAsia="Times New Roman" w:hAnsi="Times New Roman"/>
          <w:sz w:val="24"/>
          <w:szCs w:val="24"/>
        </w:rPr>
        <w:t xml:space="preserve"> ОДРЕДБА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МА</w:t>
      </w:r>
      <w:r>
        <w:rPr>
          <w:rFonts w:ascii="Times New Roman" w:eastAsia="Times New Roman" w:hAnsi="Times New Roman"/>
          <w:sz w:val="24"/>
          <w:szCs w:val="24"/>
        </w:rPr>
        <w:t xml:space="preserve"> ЗАКОНА О СУДИЈАМА, ВИСОКИ САВЕТ СУДСТВА МОЖЕ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ПРИВРЕМЕНО </w:t>
      </w:r>
      <w:r>
        <w:rPr>
          <w:rFonts w:ascii="Times New Roman" w:eastAsia="Times New Roman" w:hAnsi="Times New Roman"/>
          <w:sz w:val="24"/>
          <w:szCs w:val="24"/>
        </w:rPr>
        <w:t xml:space="preserve">УПУТИТИ СУДИЈУ ИЗ ДРУГОГ СУДА НА РАД У ОДЕЉЕЊЕ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ВИШЕГ</w:t>
      </w:r>
      <w:r>
        <w:rPr>
          <w:rFonts w:ascii="Times New Roman" w:eastAsia="Times New Roman" w:hAnsi="Times New Roman"/>
          <w:sz w:val="24"/>
          <w:szCs w:val="24"/>
        </w:rPr>
        <w:t xml:space="preserve"> СУДА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СУДИЈА КОЈИ СЕ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ПРИВРЕМЕНО </w:t>
      </w:r>
      <w:r>
        <w:rPr>
          <w:rFonts w:ascii="Times New Roman" w:eastAsia="Times New Roman" w:hAnsi="Times New Roman"/>
          <w:sz w:val="24"/>
          <w:szCs w:val="24"/>
        </w:rPr>
        <w:t xml:space="preserve">УПУЋУЈЕ МОРА ИСПУЊАВАТИ УСЛОВЕ ИЗ СТАВА 4. ОВОГ ЧЛАНА. </w:t>
      </w:r>
    </w:p>
    <w:p w14:paraId="2E1A1320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ПРИЛИКОМ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ПРИВРЕМЕНОГ </w:t>
      </w:r>
      <w:r>
        <w:rPr>
          <w:rFonts w:ascii="Times New Roman" w:eastAsia="Times New Roman" w:hAnsi="Times New Roman"/>
          <w:sz w:val="24"/>
          <w:szCs w:val="24"/>
        </w:rPr>
        <w:t>УПУЋИВАЊА У ОДЕЉЕЊЕ ВИШЕГ СУДА, ПРЕДНОСТ ИМАЈУ СУДИЈЕ КОЈЕ ПОСЕДУЈУ ПОТРЕБНА СТРУЧНА ЗНАЊА И ИСКУСТВО ИЗ ОБЛАСТИ МЕЂУНАРОДНОГ ХУМАНИТАРНОГ ПРАВА 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ЛИ</w:t>
      </w:r>
      <w:r>
        <w:rPr>
          <w:rFonts w:ascii="Times New Roman" w:eastAsia="Times New Roman" w:hAnsi="Times New Roman"/>
          <w:sz w:val="24"/>
          <w:szCs w:val="24"/>
        </w:rPr>
        <w:t xml:space="preserve"> ЉУДСКИХ ПРАВА. </w:t>
      </w:r>
    </w:p>
    <w:p w14:paraId="395C7589" w14:textId="77777777" w:rsidR="00225B85" w:rsidRDefault="00225B85" w:rsidP="00225B85">
      <w:pPr>
        <w:jc w:val="both"/>
        <w:rPr>
          <w:b/>
          <w:bCs/>
        </w:rPr>
      </w:pPr>
      <w:r>
        <w:tab/>
        <w:t>ПРЕДСЕДНИК ВИШЕГ СУДА У БЕОГРАДУ БЛИЖЕ УРЕЂУЈЕ РАД ОДЕЉЕЊА ВИШЕГ СУДА.</w:t>
      </w:r>
    </w:p>
    <w:p w14:paraId="2B15EA7A" w14:textId="77777777" w:rsidR="00225B85" w:rsidRDefault="00225B85" w:rsidP="00225B85">
      <w:pPr>
        <w:rPr>
          <w:rFonts w:eastAsia="Calibri"/>
        </w:rPr>
      </w:pPr>
    </w:p>
    <w:p w14:paraId="02D11EC5" w14:textId="77777777" w:rsidR="00225B85" w:rsidRDefault="00225B85" w:rsidP="00225B85">
      <w:pPr>
        <w:jc w:val="center"/>
        <w:rPr>
          <w:rFonts w:eastAsia="Calibri"/>
          <w:strike/>
        </w:rPr>
      </w:pPr>
      <w:r>
        <w:rPr>
          <w:rFonts w:eastAsia="Calibri"/>
          <w:strike/>
        </w:rPr>
        <w:t>Члан 10а</w:t>
      </w:r>
    </w:p>
    <w:p w14:paraId="2B9613E1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У Апелационом суду у Београду, за поступање у предметима кривичних дела из члана 2. овог закона, образује се Одељење за ратне злочине (у даљем тексту: Одељење Апелационог суда). </w:t>
      </w:r>
    </w:p>
    <w:p w14:paraId="37856DF1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Радом Одељења Апелационог суда руководи председник Одељења Апелационог суда. </w:t>
      </w:r>
    </w:p>
    <w:p w14:paraId="14D780CF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Председника Одељења Апелационог суда поставља председник Апелационог суда у Београду из реда судија распоређених на рад у Одељење Апелационог суда, на време од четири године. Председник Одељења Апелационог суда мора имати најмање 12 година професионалног искуства у области кривичног права. </w:t>
      </w:r>
    </w:p>
    <w:p w14:paraId="2A7538E7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Судије у Одељење Апелационог суда распоређује председник Апелационог суда у Београду, на време од шест година, уз њихову писмену сагласност. Судија Одељења Апелационог суда мора имати најмање 10 година професионалног искуства у области кривичног права. </w:t>
      </w:r>
    </w:p>
    <w:p w14:paraId="6E14B621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Изузетно од одредаба Закона о судијама, Високи савет судства може упутити судију из другог суда на рад у Одељење Апелационог суда, на време од шест година, уз његову писмену сагласност. Судија који се упућује мора испуњавати услове из става 4. овог члана. </w:t>
      </w:r>
    </w:p>
    <w:p w14:paraId="2B9C0361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 xml:space="preserve">Приликом распоређивања, односно упућивања у Одељење Апелационог суда, предност имају судије које поседују потребна стручна знања и искуство из области међународног хуманитарног права и људских права. </w:t>
      </w:r>
    </w:p>
    <w:p w14:paraId="1B3A6F97" w14:textId="77777777" w:rsidR="00225B85" w:rsidRDefault="00225B85" w:rsidP="00225B85">
      <w:pPr>
        <w:ind w:firstLine="720"/>
        <w:jc w:val="both"/>
        <w:rPr>
          <w:rFonts w:eastAsia="Calibri"/>
          <w:strike/>
        </w:rPr>
      </w:pPr>
      <w:r>
        <w:rPr>
          <w:rFonts w:eastAsia="Calibri"/>
          <w:strike/>
        </w:rPr>
        <w:t>Председник Апелационог суда у Београду ближе уређује рад Одељења Апелационог суда.</w:t>
      </w:r>
    </w:p>
    <w:p w14:paraId="2BD7B50B" w14:textId="77777777" w:rsidR="00494EB3" w:rsidRDefault="00494EB3" w:rsidP="00225B85">
      <w:pPr>
        <w:ind w:firstLine="720"/>
        <w:jc w:val="both"/>
        <w:rPr>
          <w:rFonts w:eastAsia="Calibri"/>
          <w:strike/>
        </w:rPr>
      </w:pPr>
    </w:p>
    <w:p w14:paraId="0D4941E3" w14:textId="77777777" w:rsidR="00494EB3" w:rsidRDefault="00494EB3" w:rsidP="00225B85">
      <w:pPr>
        <w:ind w:firstLine="720"/>
        <w:jc w:val="both"/>
        <w:rPr>
          <w:rFonts w:eastAsia="Calibri"/>
          <w:strike/>
        </w:rPr>
      </w:pPr>
    </w:p>
    <w:p w14:paraId="4E71619A" w14:textId="77777777" w:rsidR="00225B85" w:rsidRDefault="00225B85" w:rsidP="00225B85">
      <w:pPr>
        <w:jc w:val="both"/>
        <w:rPr>
          <w:b/>
          <w:bCs/>
        </w:rPr>
      </w:pPr>
    </w:p>
    <w:p w14:paraId="6EBA3D5D" w14:textId="77777777" w:rsidR="00225B85" w:rsidRDefault="00225B85" w:rsidP="00225B85">
      <w:pPr>
        <w:jc w:val="center"/>
        <w:rPr>
          <w:bCs/>
        </w:rPr>
      </w:pPr>
      <w:r>
        <w:rPr>
          <w:bCs/>
        </w:rPr>
        <w:lastRenderedPageBreak/>
        <w:t>ЧЛАН 10А</w:t>
      </w:r>
    </w:p>
    <w:p w14:paraId="79D1129E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bookmarkStart w:id="12" w:name="clan_11"/>
      <w:bookmarkEnd w:id="12"/>
      <w:r>
        <w:rPr>
          <w:rFonts w:ascii="Times New Roman" w:eastAsia="Times New Roman" w:hAnsi="Times New Roman"/>
          <w:sz w:val="24"/>
          <w:szCs w:val="24"/>
        </w:rPr>
        <w:t xml:space="preserve">У АПЕЛАЦИОНОМ СУДУ У БЕОГРАДУ, ЗА ПОСТУПАЊЕ У ПРЕДМЕТИМА КРИВИЧНИХ ДЕЛА ИЗ ЧЛАНА 2. ОВОГ ЗАКОНА, ОБРАЗУЈЕ СЕ ОДЕЉЕЊЕ ЗА РАТНЕ ЗЛОЧИНЕ (У ДАЉЕМ ТЕКСТУ: ОДЕЉЕЊЕ АПЕЛАЦИОНОГ СУДА). </w:t>
      </w:r>
    </w:p>
    <w:p w14:paraId="64C41EB9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РАДОМ ОДЕЉЕЊА АПЕЛАЦИОНОГ СУДА РУКОВОДИ ПРЕДСЕДНИК ОДЕЉЕЊА АПЕЛАЦИОНОГ СУДА. </w:t>
      </w:r>
    </w:p>
    <w:p w14:paraId="52DB8BA1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ПРЕДСЕДНИКА ОДЕЉЕЊА АПЕЛАЦИОНОГ СУДА ПОСТАВЉА ПРЕДСЕДНИК АПЕЛАЦИОНОГ СУДА У БЕОГРАДУ ИЗ РЕДА СУДИЈА АПЕЛАЦИОНОГ СУДА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У БЕОГРАДУ</w:t>
      </w:r>
      <w:r>
        <w:rPr>
          <w:rFonts w:ascii="Times New Roman" w:eastAsia="Times New Roman" w:hAnsi="Times New Roman"/>
          <w:sz w:val="24"/>
          <w:szCs w:val="24"/>
        </w:rPr>
        <w:t>, НА ЧЕТИРИ ГОДИНЕ. ПРЕДСЕДНИК ОДЕЉЕЊА АПЕЛАЦИОНОГ СУДА МОРА ИМАТИ НАЈМАЊЕ 12 ГОДИНА ПРОФЕСИОНАЛНОГ ИСКУСТВА У ОБЛАСТИ КРИВИЧНОГ ПРАВА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МЕЂУНАРОДНОГ ХУМАНИТАРНОГ ПРАВА 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ЛИ</w:t>
      </w:r>
      <w:r>
        <w:rPr>
          <w:rFonts w:ascii="Times New Roman" w:eastAsia="Times New Roman" w:hAnsi="Times New Roman"/>
          <w:sz w:val="24"/>
          <w:szCs w:val="24"/>
        </w:rPr>
        <w:t xml:space="preserve"> ЉУДСКИХ ПРАВА. </w:t>
      </w:r>
    </w:p>
    <w:p w14:paraId="4B8872F5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СУДИЈА ОДЕЉЕЊА АПЕЛАЦИОНОГ СУДА МОРА ИМАТИ НАЈМАЊЕ ДЕСЕТ ГОДИНА ПРОФЕСИОНАЛНОГ ИСКУСТВА У ОБЛАСТИ КРИВИЧНОГ ПРАВА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МЕЂУНАРОДНОГ ХУМАНИТАРНОГ ПРАВА 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ЛИ</w:t>
      </w:r>
      <w:r>
        <w:rPr>
          <w:rFonts w:ascii="Times New Roman" w:eastAsia="Times New Roman" w:hAnsi="Times New Roman"/>
          <w:sz w:val="24"/>
          <w:szCs w:val="24"/>
        </w:rPr>
        <w:t xml:space="preserve"> ЉУДСКИХ ПРАВА. </w:t>
      </w:r>
    </w:p>
    <w:p w14:paraId="4CAF082E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У СКЛАДУ СА</w:t>
      </w:r>
      <w:r>
        <w:rPr>
          <w:rFonts w:ascii="Times New Roman" w:eastAsia="Times New Roman" w:hAnsi="Times New Roman"/>
          <w:sz w:val="24"/>
          <w:szCs w:val="24"/>
        </w:rPr>
        <w:t xml:space="preserve"> ОДРЕДБА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МА</w:t>
      </w:r>
      <w:r>
        <w:rPr>
          <w:rFonts w:ascii="Times New Roman" w:eastAsia="Times New Roman" w:hAnsi="Times New Roman"/>
          <w:sz w:val="24"/>
          <w:szCs w:val="24"/>
        </w:rPr>
        <w:t xml:space="preserve"> ЗАКОНА О СУДИЈАМА, ВИСОКИ САВЕТ СУДСТВА МОЖЕ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ПРИВРЕМЕНО </w:t>
      </w:r>
      <w:r>
        <w:rPr>
          <w:rFonts w:ascii="Times New Roman" w:eastAsia="Times New Roman" w:hAnsi="Times New Roman"/>
          <w:sz w:val="24"/>
          <w:szCs w:val="24"/>
        </w:rPr>
        <w:t>УПУТИТИ СУДИЈУ ИЗ ДРУГОГ СУДА НА РАД У ОДЕЉЕЊЕ АПЕЛАЦИОНОГ СУДА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СУДИЈА КОЈИ СЕ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ПРИВРЕМЕНО </w:t>
      </w:r>
      <w:r>
        <w:rPr>
          <w:rFonts w:ascii="Times New Roman" w:eastAsia="Times New Roman" w:hAnsi="Times New Roman"/>
          <w:sz w:val="24"/>
          <w:szCs w:val="24"/>
        </w:rPr>
        <w:t xml:space="preserve">УПУЋУЈЕ МОРА ИСПУЊАВАТИ УСЛОВЕ ИЗ СТАВА 4. ОВОГ ЧЛАНА. </w:t>
      </w:r>
    </w:p>
    <w:p w14:paraId="71D9AB1E" w14:textId="77777777" w:rsidR="00225B85" w:rsidRDefault="00225B85" w:rsidP="00225B85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ПРИЛИКОМ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ПРИВРЕМЕНОГ </w:t>
      </w:r>
      <w:r>
        <w:rPr>
          <w:rFonts w:ascii="Times New Roman" w:eastAsia="Times New Roman" w:hAnsi="Times New Roman"/>
          <w:sz w:val="24"/>
          <w:szCs w:val="24"/>
        </w:rPr>
        <w:t xml:space="preserve">УПУЋИВАЊА У ОДЕЉЕЊЕ АПЕЛАЦИОНОГ СУДА, ПРЕДНОСТ ИМАЈУ СУДИЈЕ КОЈЕ ПОСЕДУЈУ ПОТРЕБНА СТРУЧНА ЗНАЊА И ИСКУСТВО ИЗ ОБЛАСТИ МЕЂУНАРОДНОГ ХУМАНИТАРНОГ ПРАВА И ЉУДСКИХ ПРАВА. </w:t>
      </w:r>
    </w:p>
    <w:p w14:paraId="46869901" w14:textId="77777777" w:rsidR="00225B85" w:rsidRDefault="00225B85" w:rsidP="00225B85">
      <w:pPr>
        <w:ind w:firstLine="720"/>
        <w:jc w:val="both"/>
      </w:pPr>
      <w:r>
        <w:t>ПРЕДСЕДНИК АПЕЛАЦИОНОГ СУДА У БЕОГРАДУ БЛИЖЕ УРЕЂУЈЕ РАД ОДЕЉЕЊА АПЕЛАЦИОНОГ СУДА.</w:t>
      </w:r>
    </w:p>
    <w:p w14:paraId="34A8A5FD" w14:textId="77777777" w:rsidR="00225B85" w:rsidRDefault="00225B85" w:rsidP="00225B85">
      <w:pPr>
        <w:jc w:val="both"/>
        <w:rPr>
          <w:b/>
          <w:bCs/>
        </w:rPr>
      </w:pPr>
    </w:p>
    <w:p w14:paraId="44F4A098" w14:textId="77777777" w:rsidR="00225B85" w:rsidRDefault="00225B85" w:rsidP="00225B85">
      <w:pPr>
        <w:jc w:val="center"/>
        <w:rPr>
          <w:bCs/>
        </w:rPr>
      </w:pPr>
      <w:bookmarkStart w:id="13" w:name="str_6"/>
      <w:bookmarkStart w:id="14" w:name="clan_14a"/>
      <w:bookmarkEnd w:id="13"/>
      <w:bookmarkEnd w:id="14"/>
      <w:r>
        <w:rPr>
          <w:bCs/>
        </w:rPr>
        <w:t>Члан 14а</w:t>
      </w:r>
    </w:p>
    <w:p w14:paraId="77C1BE35" w14:textId="77777777" w:rsidR="00225B85" w:rsidRDefault="00225B85" w:rsidP="00225B85">
      <w:pPr>
        <w:ind w:firstLine="720"/>
        <w:jc w:val="both"/>
      </w:pPr>
      <w:r>
        <w:t xml:space="preserve">У случају када Међународни кривични суд за бившу Југославију, у складу са својим Статутом и Правилима о поступку и доказима, уступи одређени предмет Републици Србији, </w:t>
      </w:r>
      <w:r>
        <w:rPr>
          <w:strike/>
        </w:rPr>
        <w:t>Тужилац за ратне злочине</w:t>
      </w:r>
      <w:r>
        <w:t xml:space="preserve"> </w:t>
      </w:r>
      <w:r>
        <w:rPr>
          <w:lang w:val="sr-Cyrl-RS"/>
        </w:rPr>
        <w:t>ГЛАВНИ ЈАВНИ ТУЖИЛАЦ</w:t>
      </w:r>
      <w:r>
        <w:t xml:space="preserve"> ће предузети кривично гоњење на основу чињеница и доказа на којима се заснивала оптужба пред Међународним кривичним судом за бившу Југославију.</w:t>
      </w:r>
    </w:p>
    <w:p w14:paraId="5EAAF309" w14:textId="77777777" w:rsidR="00225B85" w:rsidRDefault="00225B85" w:rsidP="00225B85">
      <w:pPr>
        <w:ind w:firstLine="720"/>
        <w:jc w:val="both"/>
      </w:pPr>
      <w:r>
        <w:rPr>
          <w:strike/>
        </w:rPr>
        <w:t>Тужилац за ратне злочине</w:t>
      </w:r>
      <w:r>
        <w:t xml:space="preserve"> </w:t>
      </w:r>
      <w:r>
        <w:rPr>
          <w:lang w:val="sr-Cyrl-RS"/>
        </w:rPr>
        <w:t>ГЛАВНИ ЈАВНИ ТУЖИЛАЦ</w:t>
      </w:r>
      <w:r>
        <w:t xml:space="preserve"> може предузети кривично гоњење на основу података и доказа прикупљених од стране Тужиоца Међународног кривичног суда за бившу Југославију.</w:t>
      </w:r>
    </w:p>
    <w:p w14:paraId="5F3A7CCE" w14:textId="77777777" w:rsidR="00225B85" w:rsidRDefault="00225B85" w:rsidP="00225B85">
      <w:pPr>
        <w:ind w:firstLine="720"/>
        <w:jc w:val="both"/>
      </w:pPr>
      <w:r>
        <w:t>У кривичном поступку који се након уступања предмета води у Републици Србији примењиваће се домаће право.</w:t>
      </w:r>
    </w:p>
    <w:p w14:paraId="61D2D130" w14:textId="77777777" w:rsidR="00225B85" w:rsidRDefault="00225B85" w:rsidP="00225B85">
      <w:pPr>
        <w:ind w:firstLine="720"/>
        <w:jc w:val="both"/>
      </w:pPr>
      <w:r>
        <w:t>Докази прикупљени или изведени од стране Међународног кривичног суда за бившу Југославију могу се, након уступања, користити као докази у кривичном поступку пред домаћим судом, под условом да су прикупљени или изведени на начин предвиђен Статутом и Правилима о поступку и доказима Међународног кривичног суда за бившу Југославију. Постојање или непостојање чињеница које се доказују тим доказима суд цени у складу са одредбама Законика о кривичном поступку.</w:t>
      </w:r>
    </w:p>
    <w:p w14:paraId="6FAFFCEB" w14:textId="77777777" w:rsidR="00494EB3" w:rsidRDefault="00494EB3" w:rsidP="00225B85">
      <w:pPr>
        <w:ind w:firstLine="720"/>
        <w:jc w:val="both"/>
      </w:pPr>
    </w:p>
    <w:p w14:paraId="4D86C572" w14:textId="77777777" w:rsidR="00494EB3" w:rsidRDefault="00494EB3" w:rsidP="00225B85">
      <w:pPr>
        <w:ind w:firstLine="720"/>
        <w:jc w:val="both"/>
      </w:pPr>
    </w:p>
    <w:p w14:paraId="46518CD7" w14:textId="77777777" w:rsidR="00225B85" w:rsidRDefault="00225B85" w:rsidP="00225B85">
      <w:pPr>
        <w:ind w:firstLine="720"/>
        <w:jc w:val="both"/>
      </w:pPr>
      <w:r>
        <w:lastRenderedPageBreak/>
        <w:t>Мере заштите сведока или оштећеног и степен поверљивости доказа одређени од стране Међународног кривичног суда за бившу Југославију остају на снази. О измени или укидању мера заштите или поверљивости доказа може одлучити домаћи суд, само након прибављене сагласности Међународног кривичног суда за бившу Југославију.</w:t>
      </w:r>
    </w:p>
    <w:p w14:paraId="4194F98F" w14:textId="77777777" w:rsidR="00225B85" w:rsidRDefault="00225B85" w:rsidP="00225B85">
      <w:pPr>
        <w:ind w:firstLine="720"/>
        <w:jc w:val="both"/>
      </w:pPr>
      <w:r>
        <w:t>Лице које има пребивалиште или боравиште у иностранству не може бити лишено слободе, притворено или кривично гоњено за раније учињено кривично дело док се налази на територији Републике Србије ради давања исказа у својству оштећеног, сведока или вештака у предметима кривичних дела из члана 2. овог закона. У позиву ће се посебно назначити да оштећени, сведок или вештак има наведена права.</w:t>
      </w:r>
    </w:p>
    <w:p w14:paraId="0B36BA8B" w14:textId="77777777" w:rsidR="00225B85" w:rsidRDefault="00225B85" w:rsidP="00225B85">
      <w:pPr>
        <w:ind w:firstLine="720"/>
        <w:jc w:val="both"/>
      </w:pPr>
      <w:r>
        <w:t>Представници Међународног кривичног суда за бившу Југославију имају право да присуствују свим фазама кривичног поступка пред домаћим судом и да буду обавештени о његовом току.</w:t>
      </w:r>
    </w:p>
    <w:p w14:paraId="4D9F26EF" w14:textId="77777777" w:rsidR="00225B85" w:rsidRDefault="00225B85" w:rsidP="00225B85">
      <w:pPr>
        <w:jc w:val="both"/>
        <w:rPr>
          <w:b/>
          <w:bCs/>
        </w:rPr>
      </w:pPr>
      <w:bookmarkStart w:id="15" w:name="clan_14b"/>
      <w:bookmarkEnd w:id="15"/>
    </w:p>
    <w:p w14:paraId="6DA580C1" w14:textId="77777777" w:rsidR="00225B85" w:rsidRDefault="00225B85" w:rsidP="00225B85">
      <w:pPr>
        <w:jc w:val="center"/>
        <w:rPr>
          <w:bCs/>
        </w:rPr>
      </w:pPr>
      <w:bookmarkStart w:id="16" w:name="str_8"/>
      <w:bookmarkStart w:id="17" w:name="clan_17"/>
      <w:bookmarkEnd w:id="16"/>
      <w:bookmarkEnd w:id="17"/>
      <w:r>
        <w:rPr>
          <w:bCs/>
        </w:rPr>
        <w:t>Члан 17</w:t>
      </w:r>
      <w:r>
        <w:rPr>
          <w:bCs/>
          <w:lang w:val="sr-Cyrl-RS"/>
        </w:rPr>
        <w:t>.</w:t>
      </w:r>
    </w:p>
    <w:p w14:paraId="01495577" w14:textId="77777777" w:rsidR="00225B85" w:rsidRDefault="00225B85" w:rsidP="00225B85">
      <w:pPr>
        <w:ind w:firstLine="720"/>
        <w:jc w:val="both"/>
      </w:pPr>
      <w:r>
        <w:t xml:space="preserve">Лица која обављају послове и задатке у државним органима и посебним организационим јединицама из овог закона имају право на плату која не може бити већа од двоструког износа плате коју би остварила лица запослена на одговарајућим пословима и задацима у </w:t>
      </w:r>
      <w:r>
        <w:rPr>
          <w:strike/>
        </w:rPr>
        <w:t>Тужилаштву</w:t>
      </w:r>
      <w:r>
        <w:t xml:space="preserve"> </w:t>
      </w:r>
      <w:r>
        <w:rPr>
          <w:lang w:val="sr-Cyrl-RS"/>
        </w:rPr>
        <w:t xml:space="preserve">ЈАВНОМ ТУЖИЛАШТВУ </w:t>
      </w:r>
      <w:r>
        <w:t>за ратне злочине, Вишем суду у Београду, Апелационом суду у Београду, министарству надлежном за унутрашње послове и Окружном затвору у Београду.</w:t>
      </w:r>
    </w:p>
    <w:p w14:paraId="756078B0" w14:textId="77777777" w:rsidR="00225B85" w:rsidRDefault="00225B85" w:rsidP="00225B85">
      <w:pPr>
        <w:ind w:firstLine="720"/>
        <w:jc w:val="both"/>
      </w:pPr>
      <w:r>
        <w:t xml:space="preserve">Плате лица из става 1. овог члана уређује Влада. </w:t>
      </w:r>
    </w:p>
    <w:p w14:paraId="1102FC91" w14:textId="77777777" w:rsidR="00225B85" w:rsidRDefault="00225B85" w:rsidP="00225B85">
      <w:pPr>
        <w:jc w:val="both"/>
        <w:rPr>
          <w:b/>
          <w:bCs/>
        </w:rPr>
      </w:pPr>
      <w:bookmarkStart w:id="18" w:name="clan_18"/>
      <w:bookmarkEnd w:id="18"/>
    </w:p>
    <w:p w14:paraId="3A9FF2A9" w14:textId="77777777" w:rsidR="00225B85" w:rsidRDefault="00225B85" w:rsidP="00225B85">
      <w:pPr>
        <w:jc w:val="center"/>
        <w:rPr>
          <w:bCs/>
        </w:rPr>
      </w:pPr>
      <w:r>
        <w:rPr>
          <w:bCs/>
        </w:rPr>
        <w:t>Члан 18</w:t>
      </w:r>
      <w:r>
        <w:rPr>
          <w:bCs/>
          <w:lang w:val="sr-Cyrl-RS"/>
        </w:rPr>
        <w:t>.</w:t>
      </w:r>
    </w:p>
    <w:p w14:paraId="252D08C6" w14:textId="77777777" w:rsidR="00225B85" w:rsidRDefault="00225B85" w:rsidP="00225B85">
      <w:pPr>
        <w:ind w:firstLine="720"/>
        <w:jc w:val="both"/>
      </w:pPr>
      <w:r>
        <w:t xml:space="preserve">Судије распоређене у Одељење Вишег суда и Одељење Апелационог суда, </w:t>
      </w:r>
      <w:r>
        <w:rPr>
          <w:strike/>
        </w:rPr>
        <w:t>Тужилац за ратне злочине и његови заменици</w:t>
      </w:r>
      <w:r>
        <w:rPr>
          <w:strike/>
          <w:lang w:val="sr-Cyrl-RS"/>
        </w:rPr>
        <w:t xml:space="preserve"> </w:t>
      </w:r>
      <w:r>
        <w:rPr>
          <w:lang w:val="sr-Cyrl-RS"/>
        </w:rPr>
        <w:t>ГЛАВНИ ЈАВНИ ТУЖИЛАЦ И ЈАВНИ ТУЖИОЦИ</w:t>
      </w:r>
      <w:r>
        <w:t xml:space="preserve">, имају право на стаж осигурања који се рачуна са увећаним трајањем, и то тако што се 12 месеци проведених на раду у одељењима за ратне злочине, односно </w:t>
      </w:r>
      <w:r>
        <w:rPr>
          <w:strike/>
        </w:rPr>
        <w:t>Тужилаштву</w:t>
      </w:r>
      <w:r>
        <w:t xml:space="preserve"> </w:t>
      </w:r>
      <w:r>
        <w:rPr>
          <w:lang w:val="sr-Cyrl-RS"/>
        </w:rPr>
        <w:t xml:space="preserve">ЈАВНОМ ТУЖИЛАШТВУ </w:t>
      </w:r>
      <w:r>
        <w:t>за ратне злочине рачуна као 16 месеци стажа осигурања.</w:t>
      </w:r>
    </w:p>
    <w:p w14:paraId="4BB6636E" w14:textId="77777777" w:rsidR="00225B85" w:rsidRDefault="00225B85" w:rsidP="00225B85">
      <w:pPr>
        <w:jc w:val="both"/>
      </w:pPr>
      <w:bookmarkStart w:id="19" w:name="str_9"/>
      <w:bookmarkEnd w:id="19"/>
    </w:p>
    <w:p w14:paraId="2F114216" w14:textId="77777777" w:rsidR="00225B85" w:rsidRDefault="00225B85" w:rsidP="00225B85">
      <w:pPr>
        <w:jc w:val="center"/>
        <w:rPr>
          <w:bCs/>
          <w:lang w:val="sr-Cyrl-RS"/>
        </w:rPr>
      </w:pPr>
      <w:bookmarkStart w:id="20" w:name="clan_19"/>
      <w:bookmarkEnd w:id="20"/>
      <w:r>
        <w:rPr>
          <w:bCs/>
        </w:rPr>
        <w:t>Члан 19</w:t>
      </w:r>
      <w:r>
        <w:rPr>
          <w:bCs/>
          <w:lang w:val="sr-Cyrl-RS"/>
        </w:rPr>
        <w:t>.</w:t>
      </w:r>
    </w:p>
    <w:p w14:paraId="442118A3" w14:textId="77777777" w:rsidR="00225B85" w:rsidRDefault="00225B85" w:rsidP="00225B85">
      <w:pPr>
        <w:ind w:firstLine="720"/>
        <w:jc w:val="both"/>
      </w:pPr>
      <w:r>
        <w:t xml:space="preserve">Министарство надлежно за правосуђе обезбеђује одговарајуће просторије и све друге техничке услове потребне за ефикасан и безбедан рад </w:t>
      </w:r>
      <w:r>
        <w:rPr>
          <w:strike/>
        </w:rPr>
        <w:t>Тужилаштва</w:t>
      </w:r>
      <w:r>
        <w:t xml:space="preserve"> </w:t>
      </w:r>
      <w:r>
        <w:rPr>
          <w:lang w:val="sr-Cyrl-RS"/>
        </w:rPr>
        <w:t xml:space="preserve">ЈАВНОГ ТУЖИЛАШТВА </w:t>
      </w:r>
      <w:r>
        <w:t>за ратне злочине, Одељења Вишег суда, Одељења Апелационог суда, Службе за помоћ и подршку и Посебне притворске јединице.</w:t>
      </w:r>
    </w:p>
    <w:p w14:paraId="44BB0C77" w14:textId="77777777" w:rsidR="00225B85" w:rsidRDefault="00225B85" w:rsidP="00225B85">
      <w:pPr>
        <w:jc w:val="both"/>
        <w:rPr>
          <w:b/>
          <w:bCs/>
        </w:rPr>
      </w:pPr>
      <w:bookmarkStart w:id="21" w:name="clan_20"/>
      <w:bookmarkEnd w:id="21"/>
    </w:p>
    <w:p w14:paraId="56DA169B" w14:textId="77777777" w:rsidR="00225B85" w:rsidRDefault="00225B85" w:rsidP="00225B85">
      <w:pPr>
        <w:tabs>
          <w:tab w:val="left" w:pos="720"/>
        </w:tabs>
        <w:jc w:val="center"/>
        <w:rPr>
          <w:bCs/>
          <w:lang w:val="sr-Cyrl-RS"/>
        </w:rPr>
      </w:pPr>
      <w:r>
        <w:rPr>
          <w:bCs/>
        </w:rPr>
        <w:t>Члан 20</w:t>
      </w:r>
      <w:r>
        <w:rPr>
          <w:bCs/>
          <w:lang w:val="sr-Cyrl-RS"/>
        </w:rPr>
        <w:t>.</w:t>
      </w:r>
    </w:p>
    <w:p w14:paraId="07A22F4C" w14:textId="77777777" w:rsidR="00225B85" w:rsidRDefault="00225B85" w:rsidP="00225B85">
      <w:pPr>
        <w:ind w:firstLine="720"/>
        <w:jc w:val="both"/>
      </w:pPr>
      <w:r>
        <w:t xml:space="preserve">Средства за рад </w:t>
      </w:r>
      <w:r>
        <w:rPr>
          <w:strike/>
        </w:rPr>
        <w:t>Тужилаштва</w:t>
      </w:r>
      <w:r>
        <w:t xml:space="preserve"> </w:t>
      </w:r>
      <w:r>
        <w:rPr>
          <w:lang w:val="sr-Cyrl-RS"/>
        </w:rPr>
        <w:t>ЈАВНОГ ТУЖИЛАШТВА</w:t>
      </w:r>
      <w:r>
        <w:t xml:space="preserve"> за ратне злочине, Одељења Вишег суда, Одељења Апелационог суда, Службе за помоћ и подршку, Службе и Посебне притворске јединице обезбеђују се у буџету Републике Србије.</w:t>
      </w:r>
    </w:p>
    <w:p w14:paraId="73FD3B2A" w14:textId="77777777" w:rsidR="00225B85" w:rsidRDefault="00225B85" w:rsidP="00225B85">
      <w:pPr>
        <w:tabs>
          <w:tab w:val="left" w:pos="855"/>
        </w:tabs>
        <w:jc w:val="both"/>
        <w:rPr>
          <w:lang w:val="sr-Cyrl-RS"/>
        </w:rPr>
      </w:pPr>
    </w:p>
    <w:p w14:paraId="54D3C22D" w14:textId="77777777" w:rsidR="00300D8F" w:rsidRDefault="00300D8F"/>
    <w:sectPr w:rsidR="00300D8F" w:rsidSect="00225B85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A562E" w14:textId="77777777" w:rsidR="00795D49" w:rsidRDefault="00795D49" w:rsidP="00225B85">
      <w:r>
        <w:separator/>
      </w:r>
    </w:p>
  </w:endnote>
  <w:endnote w:type="continuationSeparator" w:id="0">
    <w:p w14:paraId="525C5EE1" w14:textId="77777777" w:rsidR="00795D49" w:rsidRDefault="00795D49" w:rsidP="0022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EC161" w14:textId="77777777" w:rsidR="00795D49" w:rsidRDefault="00795D49" w:rsidP="00225B85">
      <w:r>
        <w:separator/>
      </w:r>
    </w:p>
  </w:footnote>
  <w:footnote w:type="continuationSeparator" w:id="0">
    <w:p w14:paraId="24613C14" w14:textId="77777777" w:rsidR="00795D49" w:rsidRDefault="00795D49" w:rsidP="00225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207570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FF460CE" w14:textId="77777777" w:rsidR="00225B85" w:rsidRDefault="00225B8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EB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D3279A8" w14:textId="77777777" w:rsidR="00225B85" w:rsidRDefault="00225B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534"/>
    <w:rsid w:val="00225B85"/>
    <w:rsid w:val="00300D8F"/>
    <w:rsid w:val="00494EB3"/>
    <w:rsid w:val="00795D49"/>
    <w:rsid w:val="00824EE3"/>
    <w:rsid w:val="00FD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442C"/>
  <w15:chartTrackingRefBased/>
  <w15:docId w15:val="{92A3AE0C-5E4F-4153-AB20-ABD26959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5B85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25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5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5B8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4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2023-01-17T11:41:00Z</cp:lastPrinted>
  <dcterms:created xsi:type="dcterms:W3CDTF">2023-01-18T13:59:00Z</dcterms:created>
  <dcterms:modified xsi:type="dcterms:W3CDTF">2023-01-18T13:59:00Z</dcterms:modified>
</cp:coreProperties>
</file>