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FECE3" w14:textId="6609CDC6" w:rsidR="003F18AD" w:rsidRPr="003D5B5E" w:rsidRDefault="003F18AD" w:rsidP="00A137B0">
      <w:pPr>
        <w:suppressAutoHyphens/>
        <w:autoSpaceDN w:val="0"/>
        <w:textAlignment w:val="baseline"/>
        <w:rPr>
          <w:rFonts w:eastAsia="Calibri"/>
          <w:color w:val="000000" w:themeColor="text1"/>
          <w:kern w:val="3"/>
          <w:lang w:val="sr-Cyrl-CS"/>
        </w:rPr>
      </w:pPr>
    </w:p>
    <w:p w14:paraId="2128250F" w14:textId="3F99A7D0" w:rsidR="005A0C3C" w:rsidRPr="003D5B5E" w:rsidRDefault="005A0C3C" w:rsidP="00A137B0">
      <w:pPr>
        <w:suppressAutoHyphens/>
        <w:autoSpaceDN w:val="0"/>
        <w:textAlignment w:val="baseline"/>
        <w:rPr>
          <w:rFonts w:eastAsia="Calibri"/>
          <w:color w:val="000000" w:themeColor="text1"/>
          <w:kern w:val="3"/>
          <w:lang w:val="sr-Cyrl-CS"/>
        </w:rPr>
      </w:pPr>
    </w:p>
    <w:p w14:paraId="04C7A35E" w14:textId="74AE19C7" w:rsidR="005A0C3C" w:rsidRPr="003D5B5E" w:rsidRDefault="005A0C3C" w:rsidP="00A137B0">
      <w:pPr>
        <w:suppressAutoHyphens/>
        <w:autoSpaceDN w:val="0"/>
        <w:textAlignment w:val="baseline"/>
        <w:rPr>
          <w:rFonts w:eastAsia="Calibri"/>
          <w:color w:val="000000" w:themeColor="text1"/>
          <w:kern w:val="3"/>
          <w:lang w:val="sr-Cyrl-CS"/>
        </w:rPr>
      </w:pPr>
    </w:p>
    <w:p w14:paraId="561FE94B" w14:textId="77777777" w:rsidR="005A0C3C" w:rsidRPr="003D5B5E" w:rsidRDefault="005A0C3C" w:rsidP="00E77E01">
      <w:pPr>
        <w:tabs>
          <w:tab w:val="left" w:pos="567"/>
        </w:tabs>
        <w:suppressAutoHyphens/>
        <w:autoSpaceDN w:val="0"/>
        <w:textAlignment w:val="baseline"/>
        <w:rPr>
          <w:rFonts w:eastAsia="Calibri"/>
          <w:color w:val="000000" w:themeColor="text1"/>
          <w:kern w:val="3"/>
          <w:lang w:val="sr-Cyrl-CS"/>
        </w:rPr>
      </w:pPr>
    </w:p>
    <w:p w14:paraId="54C36357" w14:textId="415CC89F" w:rsidR="003F18AD" w:rsidRPr="003D5B5E" w:rsidRDefault="003F18AD" w:rsidP="00A137B0">
      <w:pPr>
        <w:ind w:firstLine="567"/>
        <w:jc w:val="both"/>
        <w:rPr>
          <w:rFonts w:eastAsiaTheme="minorHAnsi"/>
          <w:color w:val="000000" w:themeColor="text1"/>
          <w:lang w:val="sr-Cyrl-CS"/>
        </w:rPr>
      </w:pPr>
      <w:r w:rsidRPr="003D5B5E">
        <w:rPr>
          <w:rFonts w:eastAsiaTheme="minorHAnsi"/>
          <w:color w:val="000000" w:themeColor="text1"/>
          <w:lang w:val="sr-Cyrl-CS"/>
        </w:rPr>
        <w:t>На основу члана 6. став 1, члана 18. ст. 4. и 6. тач. 1)</w:t>
      </w:r>
      <w:r w:rsidR="000565D8" w:rsidRPr="003D5B5E">
        <w:rPr>
          <w:rFonts w:eastAsiaTheme="minorHAnsi"/>
          <w:color w:val="000000" w:themeColor="text1"/>
          <w:lang w:val="sr-Cyrl-CS"/>
        </w:rPr>
        <w:t xml:space="preserve"> </w:t>
      </w:r>
      <w:r w:rsidRPr="003D5B5E">
        <w:rPr>
          <w:rFonts w:eastAsiaTheme="minorHAnsi"/>
          <w:color w:val="000000" w:themeColor="text1"/>
          <w:lang w:val="sr-Cyrl-CS"/>
        </w:rPr>
        <w:t>–</w:t>
      </w:r>
      <w:r w:rsidR="000565D8" w:rsidRPr="003D5B5E">
        <w:rPr>
          <w:rFonts w:eastAsiaTheme="minorHAnsi"/>
          <w:color w:val="000000" w:themeColor="text1"/>
          <w:lang w:val="sr-Cyrl-CS"/>
        </w:rPr>
        <w:t xml:space="preserve"> </w:t>
      </w:r>
      <w:r w:rsidRPr="003D5B5E">
        <w:rPr>
          <w:rFonts w:eastAsiaTheme="minorHAnsi"/>
          <w:color w:val="000000" w:themeColor="text1"/>
          <w:lang w:val="sr-Cyrl-CS"/>
        </w:rPr>
        <w:t>4) и тач. 6)</w:t>
      </w:r>
      <w:r w:rsidR="000565D8" w:rsidRPr="003D5B5E">
        <w:rPr>
          <w:rFonts w:eastAsiaTheme="minorHAnsi"/>
          <w:color w:val="000000" w:themeColor="text1"/>
          <w:lang w:val="sr-Cyrl-CS"/>
        </w:rPr>
        <w:t xml:space="preserve"> </w:t>
      </w:r>
      <w:r w:rsidRPr="003D5B5E">
        <w:rPr>
          <w:rFonts w:eastAsiaTheme="minorHAnsi"/>
          <w:color w:val="000000" w:themeColor="text1"/>
          <w:lang w:val="sr-Cyrl-CS"/>
        </w:rPr>
        <w:t>–</w:t>
      </w:r>
      <w:r w:rsidR="008B18F1" w:rsidRPr="003D5B5E">
        <w:rPr>
          <w:rFonts w:eastAsiaTheme="minorHAnsi"/>
          <w:color w:val="000000" w:themeColor="text1"/>
          <w:lang w:val="sr-Cyrl-CS"/>
        </w:rPr>
        <w:t xml:space="preserve"> </w:t>
      </w:r>
      <w:r w:rsidRPr="003D5B5E">
        <w:rPr>
          <w:rFonts w:eastAsiaTheme="minorHAnsi"/>
          <w:color w:val="000000" w:themeColor="text1"/>
          <w:lang w:val="sr-Cyrl-CS"/>
        </w:rPr>
        <w:t>11), члана 25. став 1, члана 26. став 1. тачка 2), члана 29, члана 36, члана 39. став 3, члана 43. став 1. тачка 3), члана 47, члана 48. став 3, чл. 49, 50, 64, члана 74. став 5, члана 76, члана 87. ст. 1. и 2. тач. 1) и 2), члана 91. став 4, чл. 93, 101, члана 106. став 2, члана 108, члана 111, члана 112. ста</w:t>
      </w:r>
      <w:r w:rsidR="00300DCF" w:rsidRPr="003D5B5E">
        <w:rPr>
          <w:rFonts w:eastAsiaTheme="minorHAnsi"/>
          <w:color w:val="000000" w:themeColor="text1"/>
          <w:lang w:val="sr-Cyrl-CS"/>
        </w:rPr>
        <w:t>в 7, члана 116. тач. 2</w:t>
      </w:r>
      <w:r w:rsidR="00C307C2" w:rsidRPr="003D5B5E">
        <w:rPr>
          <w:rFonts w:eastAsiaTheme="minorHAnsi"/>
          <w:color w:val="000000" w:themeColor="text1"/>
          <w:lang w:val="sr-Cyrl-CS"/>
        </w:rPr>
        <w:t xml:space="preserve"> </w:t>
      </w:r>
      <w:r w:rsidR="00300DCF" w:rsidRPr="003D5B5E">
        <w:rPr>
          <w:rFonts w:eastAsiaTheme="minorHAnsi"/>
          <w:color w:val="000000" w:themeColor="text1"/>
          <w:lang w:val="sr-Cyrl-CS"/>
        </w:rPr>
        <w:t>–</w:t>
      </w:r>
      <w:r w:rsidR="00C307C2" w:rsidRPr="003D5B5E">
        <w:rPr>
          <w:rFonts w:eastAsiaTheme="minorHAnsi"/>
          <w:color w:val="000000" w:themeColor="text1"/>
          <w:lang w:val="sr-Cyrl-CS"/>
        </w:rPr>
        <w:t xml:space="preserve"> </w:t>
      </w:r>
      <w:r w:rsidR="00300DCF" w:rsidRPr="003D5B5E">
        <w:rPr>
          <w:rFonts w:eastAsiaTheme="minorHAnsi"/>
          <w:color w:val="000000" w:themeColor="text1"/>
          <w:lang w:val="sr-Cyrl-CS"/>
        </w:rPr>
        <w:t xml:space="preserve">7), чл. 122 и </w:t>
      </w:r>
      <w:r w:rsidRPr="003D5B5E">
        <w:rPr>
          <w:rFonts w:eastAsiaTheme="minorHAnsi"/>
          <w:color w:val="000000" w:themeColor="text1"/>
          <w:lang w:val="sr-Cyrl-CS"/>
        </w:rPr>
        <w:t>126, члана 134. тач. 1) и 2) и тач. 4</w:t>
      </w:r>
      <w:r w:rsidR="00C307C2" w:rsidRPr="003D5B5E">
        <w:rPr>
          <w:rFonts w:eastAsiaTheme="minorHAnsi"/>
          <w:color w:val="000000" w:themeColor="text1"/>
          <w:lang w:val="sr-Cyrl-CS"/>
        </w:rPr>
        <w:t xml:space="preserve"> </w:t>
      </w:r>
      <w:r w:rsidRPr="003D5B5E">
        <w:rPr>
          <w:rFonts w:eastAsiaTheme="minorHAnsi"/>
          <w:color w:val="000000" w:themeColor="text1"/>
          <w:lang w:val="sr-Cyrl-CS"/>
        </w:rPr>
        <w:t>–</w:t>
      </w:r>
      <w:r w:rsidR="00185794" w:rsidRPr="003D5B5E">
        <w:rPr>
          <w:rFonts w:eastAsiaTheme="minorHAnsi"/>
          <w:color w:val="000000" w:themeColor="text1"/>
          <w:lang w:val="sr-Cyrl-CS"/>
        </w:rPr>
        <w:t xml:space="preserve"> </w:t>
      </w:r>
      <w:r w:rsidRPr="003D5B5E">
        <w:rPr>
          <w:rFonts w:eastAsiaTheme="minorHAnsi"/>
          <w:color w:val="000000" w:themeColor="text1"/>
          <w:lang w:val="sr-Cyrl-CS"/>
        </w:rPr>
        <w:t>7), члана 135. ст. 2. и 3, члана 137. став 2, члана 138. тач. 3) и 4), члана 139. став 2, члана 141. став 1, члана 147, члана 152. став 3, чл. 153, 155, 157, 159, 161, 170, 174, 178, 180, 185, 188, 190, 192, 194, члана 198. тач. 2) и 3), члана 201. тач. 1</w:t>
      </w:r>
      <w:r w:rsidR="00300DCF" w:rsidRPr="003D5B5E">
        <w:rPr>
          <w:rFonts w:eastAsiaTheme="minorHAnsi"/>
          <w:color w:val="000000" w:themeColor="text1"/>
          <w:lang w:val="sr-Cyrl-CS"/>
        </w:rPr>
        <w:t>) и 2), члана 215. став 3, чл.</w:t>
      </w:r>
      <w:r w:rsidRPr="003D5B5E">
        <w:rPr>
          <w:rFonts w:eastAsiaTheme="minorHAnsi"/>
          <w:color w:val="000000" w:themeColor="text1"/>
          <w:lang w:val="sr-Cyrl-CS"/>
        </w:rPr>
        <w:t xml:space="preserve"> 22</w:t>
      </w:r>
      <w:r w:rsidR="00300DCF" w:rsidRPr="003D5B5E">
        <w:rPr>
          <w:rFonts w:eastAsiaTheme="minorHAnsi"/>
          <w:color w:val="000000" w:themeColor="text1"/>
          <w:lang w:val="sr-Cyrl-CS"/>
        </w:rPr>
        <w:t xml:space="preserve">9 и </w:t>
      </w:r>
      <w:r w:rsidRPr="003D5B5E">
        <w:rPr>
          <w:rFonts w:eastAsiaTheme="minorHAnsi"/>
          <w:color w:val="000000" w:themeColor="text1"/>
          <w:lang w:val="sr-Cyrl-CS"/>
        </w:rPr>
        <w:t xml:space="preserve">231, члана 236. тачка 1), члана 239. тачка 1), члана 242, члана 243. став 1, члана 260. став 4, члана 262. став 4. и члана 264. став 3. Царинског закона („Службени гласник РС”, број 95/18, 91/19- др. </w:t>
      </w:r>
      <w:r w:rsidR="00B54898" w:rsidRPr="003D5B5E">
        <w:rPr>
          <w:rFonts w:eastAsiaTheme="minorHAnsi"/>
          <w:color w:val="000000" w:themeColor="text1"/>
          <w:lang w:val="sr-Cyrl-CS"/>
        </w:rPr>
        <w:t>з</w:t>
      </w:r>
      <w:r w:rsidR="00C30A61" w:rsidRPr="003D5B5E">
        <w:rPr>
          <w:rFonts w:eastAsiaTheme="minorHAnsi"/>
          <w:color w:val="000000" w:themeColor="text1"/>
          <w:lang w:val="sr-Cyrl-CS"/>
        </w:rPr>
        <w:t xml:space="preserve">акон, </w:t>
      </w:r>
      <w:r w:rsidRPr="003D5B5E">
        <w:rPr>
          <w:rFonts w:eastAsiaTheme="minorHAnsi"/>
          <w:color w:val="000000" w:themeColor="text1"/>
          <w:lang w:val="sr-Cyrl-CS"/>
        </w:rPr>
        <w:t>144/20</w:t>
      </w:r>
      <w:r w:rsidR="00983EB8" w:rsidRPr="003D5B5E">
        <w:rPr>
          <w:rFonts w:eastAsiaTheme="minorHAnsi"/>
          <w:color w:val="000000" w:themeColor="text1"/>
          <w:lang w:val="sr-Cyrl-CS"/>
        </w:rPr>
        <w:t xml:space="preserve">, </w:t>
      </w:r>
      <w:r w:rsidR="00C30A61" w:rsidRPr="003D5B5E">
        <w:rPr>
          <w:rFonts w:eastAsiaTheme="minorHAnsi"/>
          <w:color w:val="000000" w:themeColor="text1"/>
          <w:lang w:val="sr-Cyrl-CS"/>
        </w:rPr>
        <w:t>118/21</w:t>
      </w:r>
      <w:r w:rsidR="00983EB8" w:rsidRPr="003D5B5E">
        <w:rPr>
          <w:rFonts w:eastAsiaTheme="minorHAnsi"/>
          <w:color w:val="000000" w:themeColor="text1"/>
          <w:lang w:val="sr-Cyrl-CS"/>
        </w:rPr>
        <w:t xml:space="preserve"> и 138/22</w:t>
      </w:r>
      <w:r w:rsidRPr="003D5B5E">
        <w:rPr>
          <w:rFonts w:eastAsiaTheme="minorHAnsi"/>
          <w:color w:val="000000" w:themeColor="text1"/>
          <w:lang w:val="sr-Cyrl-CS"/>
        </w:rPr>
        <w:t>) и члана 42. став 1. Закона о Влади („Службени гласник РС”, бр. 55/05, 71/05 – исправка, 101/07, 65/08, 16/11, 68/12 – УС, 72/12, 7/14 – УС, 44/14 и 30/18 – др. закон),</w:t>
      </w:r>
    </w:p>
    <w:p w14:paraId="191ADD6F" w14:textId="310B7EC9" w:rsidR="00A137B0" w:rsidRPr="003D5B5E" w:rsidRDefault="00A137B0" w:rsidP="00A137B0">
      <w:pPr>
        <w:ind w:firstLine="567"/>
        <w:jc w:val="both"/>
        <w:rPr>
          <w:rFonts w:eastAsiaTheme="minorHAnsi"/>
          <w:color w:val="000000" w:themeColor="text1"/>
          <w:lang w:val="sr-Cyrl-CS"/>
        </w:rPr>
      </w:pPr>
    </w:p>
    <w:p w14:paraId="210BB1E6" w14:textId="77777777" w:rsidR="00E77E01" w:rsidRPr="003D5B5E" w:rsidRDefault="00E77E01" w:rsidP="00A137B0">
      <w:pPr>
        <w:ind w:firstLine="567"/>
        <w:jc w:val="both"/>
        <w:rPr>
          <w:rFonts w:eastAsiaTheme="minorHAnsi"/>
          <w:color w:val="000000" w:themeColor="text1"/>
          <w:lang w:val="sr-Cyrl-CS"/>
        </w:rPr>
      </w:pPr>
    </w:p>
    <w:p w14:paraId="66C6E622" w14:textId="77777777" w:rsidR="003F18AD" w:rsidRPr="003D5B5E" w:rsidRDefault="003F18AD" w:rsidP="00A137B0">
      <w:pPr>
        <w:ind w:firstLine="567"/>
        <w:rPr>
          <w:rFonts w:eastAsiaTheme="minorHAnsi"/>
          <w:color w:val="000000" w:themeColor="text1"/>
          <w:lang w:val="sr-Cyrl-CS"/>
        </w:rPr>
      </w:pPr>
      <w:r w:rsidRPr="003D5B5E">
        <w:rPr>
          <w:rFonts w:eastAsiaTheme="minorHAnsi"/>
          <w:color w:val="000000" w:themeColor="text1"/>
          <w:lang w:val="sr-Cyrl-CS"/>
        </w:rPr>
        <w:t>Влада доноси</w:t>
      </w:r>
    </w:p>
    <w:p w14:paraId="777784E8" w14:textId="77777777" w:rsidR="003F18AD" w:rsidRPr="003D5B5E" w:rsidRDefault="003F18AD" w:rsidP="00A137B0">
      <w:pPr>
        <w:suppressAutoHyphens/>
        <w:autoSpaceDN w:val="0"/>
        <w:jc w:val="center"/>
        <w:textAlignment w:val="baseline"/>
        <w:rPr>
          <w:rFonts w:eastAsia="Calibri"/>
          <w:color w:val="000000" w:themeColor="text1"/>
          <w:kern w:val="3"/>
          <w:lang w:val="sr-Cyrl-CS"/>
        </w:rPr>
      </w:pPr>
    </w:p>
    <w:p w14:paraId="3F32C153" w14:textId="77777777" w:rsidR="003F18AD" w:rsidRPr="003D5B5E" w:rsidRDefault="003F18AD" w:rsidP="00A137B0">
      <w:pPr>
        <w:suppressAutoHyphens/>
        <w:autoSpaceDN w:val="0"/>
        <w:jc w:val="center"/>
        <w:textAlignment w:val="baseline"/>
        <w:rPr>
          <w:rFonts w:eastAsia="Calibri"/>
          <w:color w:val="000000" w:themeColor="text1"/>
          <w:kern w:val="3"/>
          <w:lang w:val="sr-Cyrl-CS"/>
        </w:rPr>
      </w:pPr>
      <w:r w:rsidRPr="003D5B5E">
        <w:rPr>
          <w:rFonts w:eastAsia="Calibri"/>
          <w:color w:val="000000" w:themeColor="text1"/>
          <w:kern w:val="3"/>
          <w:lang w:val="sr-Cyrl-CS"/>
        </w:rPr>
        <w:t xml:space="preserve">УРЕДБУ </w:t>
      </w:r>
    </w:p>
    <w:p w14:paraId="192F6F89" w14:textId="77777777" w:rsidR="003F18AD" w:rsidRPr="003D5B5E" w:rsidRDefault="003F18AD" w:rsidP="00A137B0">
      <w:pPr>
        <w:suppressAutoHyphens/>
        <w:autoSpaceDN w:val="0"/>
        <w:jc w:val="center"/>
        <w:textAlignment w:val="baseline"/>
        <w:rPr>
          <w:rFonts w:eastAsia="Calibri"/>
          <w:color w:val="000000" w:themeColor="text1"/>
          <w:kern w:val="3"/>
          <w:lang w:val="sr-Cyrl-CS"/>
        </w:rPr>
      </w:pPr>
      <w:r w:rsidRPr="003D5B5E">
        <w:rPr>
          <w:rFonts w:eastAsia="Calibri"/>
          <w:color w:val="000000" w:themeColor="text1"/>
          <w:kern w:val="3"/>
          <w:lang w:val="sr-Cyrl-CS"/>
        </w:rPr>
        <w:t xml:space="preserve">О ИЗМЕНАМА И ДОПУНАМА УРЕДБЕ О ЦАРИНСКИМ ПОСТУПЦИМА И ЦАРИНСКИМ ФОРМАЛНОСТИМА </w:t>
      </w:r>
    </w:p>
    <w:p w14:paraId="4BD6A134" w14:textId="77777777" w:rsidR="003F18AD" w:rsidRPr="003D5B5E" w:rsidRDefault="003F18AD" w:rsidP="00A137B0">
      <w:pPr>
        <w:suppressAutoHyphens/>
        <w:autoSpaceDN w:val="0"/>
        <w:jc w:val="center"/>
        <w:textAlignment w:val="baseline"/>
        <w:rPr>
          <w:rFonts w:eastAsia="Calibri"/>
          <w:color w:val="000000" w:themeColor="text1"/>
          <w:kern w:val="3"/>
          <w:lang w:val="sr-Cyrl-CS"/>
        </w:rPr>
      </w:pPr>
    </w:p>
    <w:p w14:paraId="03F317D8" w14:textId="77777777" w:rsidR="003F18AD" w:rsidRPr="003D5B5E" w:rsidRDefault="003F18AD" w:rsidP="00A137B0">
      <w:pPr>
        <w:tabs>
          <w:tab w:val="left" w:pos="720"/>
          <w:tab w:val="left" w:pos="3960"/>
          <w:tab w:val="left" w:pos="4140"/>
        </w:tabs>
        <w:suppressAutoHyphens/>
        <w:autoSpaceDN w:val="0"/>
        <w:jc w:val="right"/>
        <w:textAlignment w:val="baseline"/>
        <w:rPr>
          <w:rFonts w:eastAsia="Calibri"/>
          <w:iCs/>
          <w:color w:val="000000" w:themeColor="text1"/>
          <w:kern w:val="3"/>
          <w:lang w:val="sr-Cyrl-CS"/>
        </w:rPr>
      </w:pPr>
    </w:p>
    <w:p w14:paraId="64D77E21" w14:textId="55FA89D6" w:rsidR="003F18AD" w:rsidRPr="003D5B5E" w:rsidRDefault="003F18AD" w:rsidP="00A137B0">
      <w:pPr>
        <w:tabs>
          <w:tab w:val="left" w:pos="3402"/>
          <w:tab w:val="left" w:pos="3544"/>
          <w:tab w:val="left" w:pos="3686"/>
        </w:tabs>
        <w:autoSpaceDE w:val="0"/>
        <w:autoSpaceDN w:val="0"/>
        <w:adjustRightInd w:val="0"/>
        <w:jc w:val="center"/>
        <w:rPr>
          <w:rFonts w:eastAsiaTheme="minorHAnsi"/>
          <w:bCs/>
          <w:color w:val="000000" w:themeColor="text1"/>
          <w:lang w:val="sr-Cyrl-CS"/>
        </w:rPr>
      </w:pPr>
      <w:r w:rsidRPr="003D5B5E">
        <w:rPr>
          <w:rFonts w:eastAsiaTheme="minorHAnsi"/>
          <w:color w:val="000000" w:themeColor="text1"/>
          <w:lang w:val="sr-Cyrl-CS"/>
        </w:rPr>
        <w:t xml:space="preserve">Члан 1. </w:t>
      </w:r>
    </w:p>
    <w:p w14:paraId="3A0EA17D" w14:textId="20A26D48" w:rsidR="003F18AD" w:rsidRPr="003D5B5E" w:rsidRDefault="003F18AD" w:rsidP="00A137B0">
      <w:pPr>
        <w:ind w:firstLine="567"/>
        <w:jc w:val="both"/>
        <w:rPr>
          <w:rFonts w:eastAsiaTheme="minorHAnsi"/>
          <w:color w:val="000000" w:themeColor="text1"/>
          <w:lang w:val="sr-Cyrl-CS"/>
        </w:rPr>
      </w:pPr>
      <w:r w:rsidRPr="003D5B5E">
        <w:rPr>
          <w:rFonts w:eastAsiaTheme="minorHAnsi"/>
          <w:iCs/>
          <w:color w:val="000000" w:themeColor="text1"/>
          <w:lang w:val="sr-Cyrl-CS"/>
        </w:rPr>
        <w:tab/>
        <w:t>У Уредби о царинским поступцима и царинским формалностима („Службени гласник РС”, бр. 39/19, 8/20 и 132/21),</w:t>
      </w:r>
      <w:r w:rsidRPr="003D5B5E">
        <w:rPr>
          <w:rFonts w:eastAsiaTheme="minorHAnsi"/>
          <w:color w:val="000000" w:themeColor="text1"/>
          <w:lang w:val="sr-Cyrl-CS"/>
        </w:rPr>
        <w:t xml:space="preserve"> у члану 135. став 3. брише се.</w:t>
      </w:r>
    </w:p>
    <w:p w14:paraId="5E5608A8" w14:textId="77777777" w:rsidR="003F18AD" w:rsidRPr="003D5B5E" w:rsidRDefault="003F18AD" w:rsidP="00A137B0">
      <w:pPr>
        <w:ind w:firstLine="567"/>
        <w:jc w:val="both"/>
        <w:rPr>
          <w:rFonts w:eastAsiaTheme="minorHAnsi"/>
          <w:color w:val="000000" w:themeColor="text1"/>
          <w:lang w:val="sr-Cyrl-CS"/>
        </w:rPr>
      </w:pPr>
    </w:p>
    <w:p w14:paraId="2D6D2F1F" w14:textId="3ED17535" w:rsidR="003F18AD" w:rsidRPr="003D5B5E" w:rsidRDefault="003F18AD" w:rsidP="00A137B0">
      <w:pPr>
        <w:tabs>
          <w:tab w:val="left" w:pos="720"/>
          <w:tab w:val="left" w:pos="3381"/>
          <w:tab w:val="left" w:pos="3600"/>
          <w:tab w:val="left" w:pos="3960"/>
          <w:tab w:val="left" w:pos="4140"/>
          <w:tab w:val="left" w:pos="4320"/>
          <w:tab w:val="left" w:pos="8499"/>
        </w:tabs>
        <w:suppressAutoHyphens/>
        <w:autoSpaceDN w:val="0"/>
        <w:jc w:val="center"/>
        <w:textAlignment w:val="baseline"/>
        <w:rPr>
          <w:rFonts w:eastAsia="Calibri"/>
          <w:color w:val="000000" w:themeColor="text1"/>
          <w:kern w:val="3"/>
          <w:lang w:val="sr-Cyrl-CS"/>
        </w:rPr>
      </w:pPr>
      <w:r w:rsidRPr="003D5B5E">
        <w:rPr>
          <w:rFonts w:eastAsia="Calibri"/>
          <w:color w:val="000000" w:themeColor="text1"/>
          <w:kern w:val="3"/>
          <w:lang w:val="sr-Cyrl-CS"/>
        </w:rPr>
        <w:t>Члан 2.</w:t>
      </w:r>
      <w:r w:rsidRPr="003D5B5E">
        <w:rPr>
          <w:rFonts w:eastAsia="Calibri"/>
          <w:i/>
          <w:iCs/>
          <w:color w:val="000000" w:themeColor="text1"/>
          <w:kern w:val="3"/>
          <w:lang w:val="sr-Cyrl-CS"/>
        </w:rPr>
        <w:t xml:space="preserve"> </w:t>
      </w:r>
    </w:p>
    <w:p w14:paraId="50B57CE5" w14:textId="4DF9C9D5" w:rsidR="003F18AD" w:rsidRPr="003D5B5E" w:rsidRDefault="003F18AD" w:rsidP="00A137B0">
      <w:pPr>
        <w:jc w:val="both"/>
        <w:rPr>
          <w:lang w:val="sr-Cyrl-CS"/>
        </w:rPr>
      </w:pPr>
      <w:r w:rsidRPr="003D5B5E">
        <w:rPr>
          <w:lang w:val="sr-Cyrl-CS"/>
        </w:rPr>
        <w:t xml:space="preserve">        </w:t>
      </w:r>
      <w:r w:rsidR="00EB5A66" w:rsidRPr="003D5B5E">
        <w:rPr>
          <w:lang w:val="sr-Cyrl-CS"/>
        </w:rPr>
        <w:t xml:space="preserve">   </w:t>
      </w:r>
      <w:r w:rsidRPr="003D5B5E">
        <w:rPr>
          <w:lang w:val="sr-Cyrl-CS"/>
        </w:rPr>
        <w:t xml:space="preserve">После члана 136. </w:t>
      </w:r>
      <w:r w:rsidR="00DC5CAF" w:rsidRPr="003D5B5E">
        <w:rPr>
          <w:lang w:val="sr-Cyrl-CS"/>
        </w:rPr>
        <w:t>наслов</w:t>
      </w:r>
      <w:r w:rsidRPr="003D5B5E">
        <w:rPr>
          <w:lang w:val="sr-Cyrl-CS"/>
        </w:rPr>
        <w:t xml:space="preserve">: „Пододељак 1. Обезбеђење за привремени смештај, поступак стављања робе у слободан промет и посебне поступке, осим </w:t>
      </w:r>
      <w:r w:rsidR="002F2271" w:rsidRPr="003D5B5E">
        <w:rPr>
          <w:lang w:val="sr-Cyrl-CS"/>
        </w:rPr>
        <w:t xml:space="preserve">поступка </w:t>
      </w:r>
      <w:r w:rsidR="00EB5A66" w:rsidRPr="003D5B5E">
        <w:rPr>
          <w:lang w:val="sr-Cyrl-CS"/>
        </w:rPr>
        <w:t>транзита” брише</w:t>
      </w:r>
      <w:r w:rsidRPr="003D5B5E">
        <w:rPr>
          <w:lang w:val="sr-Cyrl-CS"/>
        </w:rPr>
        <w:t xml:space="preserve"> се. </w:t>
      </w:r>
    </w:p>
    <w:p w14:paraId="5CD0663B" w14:textId="01B9D534" w:rsidR="003F18AD" w:rsidRPr="003D5B5E" w:rsidRDefault="003F18AD" w:rsidP="00A137B0">
      <w:pPr>
        <w:pStyle w:val="wyq120---podnaslov-clana"/>
        <w:tabs>
          <w:tab w:val="left" w:pos="720"/>
          <w:tab w:val="left" w:pos="3544"/>
          <w:tab w:val="left" w:pos="3694"/>
          <w:tab w:val="left" w:pos="3960"/>
          <w:tab w:val="left" w:pos="4140"/>
          <w:tab w:val="left" w:pos="4320"/>
          <w:tab w:val="left" w:pos="8499"/>
        </w:tabs>
        <w:spacing w:before="0" w:after="0"/>
        <w:jc w:val="left"/>
        <w:rPr>
          <w:rFonts w:ascii="Times New Roman" w:hAnsi="Times New Roman" w:cs="Times New Roman"/>
          <w:i w:val="0"/>
          <w:iCs w:val="0"/>
          <w:color w:val="000000" w:themeColor="text1"/>
          <w:lang w:val="sr-Cyrl-CS"/>
        </w:rPr>
      </w:pPr>
    </w:p>
    <w:p w14:paraId="7ECAF67F" w14:textId="0BCBA0C4" w:rsidR="003F18AD" w:rsidRPr="003D5B5E" w:rsidRDefault="003F18AD" w:rsidP="00A137B0">
      <w:pPr>
        <w:pStyle w:val="wyq120---podnaslov-clana"/>
        <w:tabs>
          <w:tab w:val="left" w:pos="720"/>
          <w:tab w:val="left" w:pos="3544"/>
          <w:tab w:val="left" w:pos="3694"/>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Члан 3.</w:t>
      </w:r>
    </w:p>
    <w:p w14:paraId="69756108" w14:textId="4514849B" w:rsidR="003F18AD" w:rsidRPr="003D5B5E" w:rsidRDefault="009D10C2" w:rsidP="00A137B0">
      <w:pPr>
        <w:jc w:val="both"/>
        <w:rPr>
          <w:lang w:val="sr-Cyrl-CS"/>
        </w:rPr>
      </w:pPr>
      <w:r w:rsidRPr="003D5B5E">
        <w:rPr>
          <w:lang w:val="sr-Cyrl-CS"/>
        </w:rPr>
        <w:t xml:space="preserve">       </w:t>
      </w:r>
      <w:r w:rsidR="0089326C" w:rsidRPr="003D5B5E">
        <w:rPr>
          <w:lang w:val="sr-Cyrl-CS"/>
        </w:rPr>
        <w:t xml:space="preserve">     </w:t>
      </w:r>
      <w:r w:rsidR="003F18AD" w:rsidRPr="003D5B5E">
        <w:rPr>
          <w:lang w:val="sr-Cyrl-CS"/>
        </w:rPr>
        <w:t>Наслов</w:t>
      </w:r>
      <w:r w:rsidRPr="003D5B5E">
        <w:rPr>
          <w:lang w:val="sr-Cyrl-CS"/>
        </w:rPr>
        <w:t xml:space="preserve"> изнад чл</w:t>
      </w:r>
      <w:r w:rsidR="00CB1E6F" w:rsidRPr="003D5B5E">
        <w:rPr>
          <w:lang w:val="sr-Cyrl-CS"/>
        </w:rPr>
        <w:t>ана</w:t>
      </w:r>
      <w:r w:rsidR="003F18AD" w:rsidRPr="003D5B5E">
        <w:rPr>
          <w:lang w:val="sr-Cyrl-CS"/>
        </w:rPr>
        <w:t xml:space="preserve"> 13</w:t>
      </w:r>
      <w:r w:rsidR="00CB1E6F" w:rsidRPr="003D5B5E">
        <w:rPr>
          <w:lang w:val="sr-Cyrl-CS"/>
        </w:rPr>
        <w:t>9.</w:t>
      </w:r>
      <w:r w:rsidRPr="003D5B5E">
        <w:rPr>
          <w:lang w:val="sr-Cyrl-CS"/>
        </w:rPr>
        <w:t xml:space="preserve"> и чл</w:t>
      </w:r>
      <w:r w:rsidR="00CB1E6F" w:rsidRPr="003D5B5E">
        <w:rPr>
          <w:lang w:val="sr-Cyrl-CS"/>
        </w:rPr>
        <w:t>ан</w:t>
      </w:r>
      <w:r w:rsidR="003F18AD" w:rsidRPr="003D5B5E">
        <w:rPr>
          <w:lang w:val="sr-Cyrl-CS"/>
        </w:rPr>
        <w:t xml:space="preserve"> 139</w:t>
      </w:r>
      <w:r w:rsidR="00CB1E6F" w:rsidRPr="003D5B5E">
        <w:rPr>
          <w:lang w:val="sr-Cyrl-CS"/>
        </w:rPr>
        <w:t>.</w:t>
      </w:r>
      <w:r w:rsidR="003F18AD" w:rsidRPr="003D5B5E">
        <w:rPr>
          <w:lang w:val="sr-Cyrl-CS"/>
        </w:rPr>
        <w:t xml:space="preserve"> бришу се. </w:t>
      </w:r>
    </w:p>
    <w:p w14:paraId="572EE684" w14:textId="1246AF96" w:rsidR="00CB1E6F" w:rsidRPr="003D5B5E" w:rsidRDefault="00CB1E6F" w:rsidP="00A137B0">
      <w:pPr>
        <w:jc w:val="both"/>
        <w:rPr>
          <w:lang w:val="sr-Cyrl-CS"/>
        </w:rPr>
      </w:pPr>
    </w:p>
    <w:p w14:paraId="7FFBBD55" w14:textId="0E480146" w:rsidR="00CB1E6F" w:rsidRPr="003D5B5E" w:rsidRDefault="00CB1E6F" w:rsidP="00A137B0">
      <w:pPr>
        <w:pStyle w:val="wyq120---podnaslov-clana"/>
        <w:tabs>
          <w:tab w:val="left" w:pos="720"/>
          <w:tab w:val="left" w:pos="3544"/>
          <w:tab w:val="left" w:pos="3694"/>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Члан 4.</w:t>
      </w:r>
    </w:p>
    <w:p w14:paraId="3CE889B4" w14:textId="7C6D7D21" w:rsidR="003F18AD" w:rsidRPr="003D5B5E" w:rsidRDefault="00CB1E6F" w:rsidP="00A137B0">
      <w:pPr>
        <w:jc w:val="both"/>
        <w:rPr>
          <w:lang w:val="sr-Cyrl-CS"/>
        </w:rPr>
      </w:pPr>
      <w:r w:rsidRPr="003D5B5E">
        <w:rPr>
          <w:lang w:val="sr-Cyrl-CS"/>
        </w:rPr>
        <w:t xml:space="preserve">            Наслов изнад члана 140. и члан 140. бришу се. </w:t>
      </w:r>
    </w:p>
    <w:p w14:paraId="7CD6BE88" w14:textId="77777777" w:rsidR="00CB1E6F" w:rsidRPr="003D5B5E" w:rsidRDefault="00CB1E6F" w:rsidP="00A137B0">
      <w:pPr>
        <w:pStyle w:val="wyq120---podnaslov-clana"/>
        <w:tabs>
          <w:tab w:val="left" w:pos="720"/>
          <w:tab w:val="left" w:pos="3544"/>
          <w:tab w:val="left" w:pos="3694"/>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w:t>
      </w:r>
    </w:p>
    <w:p w14:paraId="03ADE4A5" w14:textId="3E387316" w:rsidR="00CB1E6F" w:rsidRPr="003D5B5E" w:rsidRDefault="00CB1E6F" w:rsidP="00A137B0">
      <w:pPr>
        <w:pStyle w:val="wyq120---podnaslov-clana"/>
        <w:tabs>
          <w:tab w:val="left" w:pos="720"/>
          <w:tab w:val="left" w:pos="3544"/>
          <w:tab w:val="left" w:pos="3694"/>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Члан 5.</w:t>
      </w:r>
    </w:p>
    <w:p w14:paraId="4DCA78C6" w14:textId="54EDEC55" w:rsidR="00CB1E6F" w:rsidRPr="003D5B5E" w:rsidRDefault="00CB1E6F" w:rsidP="00A137B0">
      <w:pPr>
        <w:jc w:val="both"/>
        <w:rPr>
          <w:lang w:val="sr-Cyrl-CS"/>
        </w:rPr>
      </w:pPr>
      <w:r w:rsidRPr="003D5B5E">
        <w:rPr>
          <w:lang w:val="sr-Cyrl-CS"/>
        </w:rPr>
        <w:t xml:space="preserve">            Наслов изнад члана 141. и члан 141. бришу се. </w:t>
      </w:r>
    </w:p>
    <w:p w14:paraId="3FF79C0D" w14:textId="3A313A74" w:rsidR="003F18AD" w:rsidRPr="003D5B5E" w:rsidRDefault="003F18AD" w:rsidP="00A137B0">
      <w:pPr>
        <w:jc w:val="both"/>
        <w:rPr>
          <w:lang w:val="sr-Cyrl-CS"/>
        </w:rPr>
      </w:pPr>
    </w:p>
    <w:p w14:paraId="0DAABAA0" w14:textId="3B3394C9" w:rsidR="003F18AD" w:rsidRPr="003D5B5E" w:rsidRDefault="003F18AD" w:rsidP="00A137B0">
      <w:pPr>
        <w:pStyle w:val="wyq120---podnaslov-clana"/>
        <w:tabs>
          <w:tab w:val="left" w:pos="720"/>
          <w:tab w:val="left" w:pos="3544"/>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Члан </w:t>
      </w:r>
      <w:r w:rsidR="00532054" w:rsidRPr="003D5B5E">
        <w:rPr>
          <w:rFonts w:ascii="Times New Roman" w:hAnsi="Times New Roman" w:cs="Times New Roman"/>
          <w:i w:val="0"/>
          <w:iCs w:val="0"/>
          <w:color w:val="000000" w:themeColor="text1"/>
          <w:lang w:val="sr-Cyrl-CS"/>
        </w:rPr>
        <w:t>6</w:t>
      </w:r>
      <w:r w:rsidRPr="003D5B5E">
        <w:rPr>
          <w:rFonts w:ascii="Times New Roman" w:hAnsi="Times New Roman" w:cs="Times New Roman"/>
          <w:i w:val="0"/>
          <w:iCs w:val="0"/>
          <w:color w:val="000000" w:themeColor="text1"/>
          <w:lang w:val="sr-Cyrl-CS"/>
        </w:rPr>
        <w:t>.</w:t>
      </w:r>
      <w:r w:rsidRPr="003D5B5E">
        <w:rPr>
          <w:rFonts w:ascii="Times New Roman" w:hAnsi="Times New Roman" w:cs="Times New Roman"/>
          <w:color w:val="000000" w:themeColor="text1"/>
          <w:lang w:val="sr-Cyrl-CS"/>
        </w:rPr>
        <w:t xml:space="preserve"> </w:t>
      </w:r>
    </w:p>
    <w:p w14:paraId="69C64717" w14:textId="49729A95" w:rsidR="003F18AD" w:rsidRPr="003D5B5E" w:rsidRDefault="0025163D" w:rsidP="00A137B0">
      <w:pPr>
        <w:jc w:val="both"/>
        <w:rPr>
          <w:lang w:val="sr-Cyrl-CS"/>
        </w:rPr>
      </w:pPr>
      <w:r w:rsidRPr="003D5B5E">
        <w:rPr>
          <w:lang w:val="sr-Cyrl-CS"/>
        </w:rPr>
        <w:t xml:space="preserve">      </w:t>
      </w:r>
      <w:r w:rsidR="008D45DE" w:rsidRPr="003D5B5E">
        <w:rPr>
          <w:lang w:val="sr-Cyrl-CS"/>
        </w:rPr>
        <w:t xml:space="preserve"> </w:t>
      </w:r>
      <w:r w:rsidR="0089326C" w:rsidRPr="003D5B5E">
        <w:rPr>
          <w:lang w:val="sr-Cyrl-CS"/>
        </w:rPr>
        <w:t xml:space="preserve">     </w:t>
      </w:r>
      <w:r w:rsidR="003F18AD" w:rsidRPr="003D5B5E">
        <w:rPr>
          <w:lang w:val="sr-Cyrl-CS"/>
        </w:rPr>
        <w:t xml:space="preserve">Наслов изнад члана 144. и члан 144. бришу се. </w:t>
      </w:r>
    </w:p>
    <w:p w14:paraId="76A23BAE" w14:textId="77777777" w:rsidR="003F18AD" w:rsidRPr="003D5B5E" w:rsidRDefault="003F18AD" w:rsidP="00A137B0">
      <w:pPr>
        <w:pStyle w:val="wyq120---podnaslov-clana"/>
        <w:tabs>
          <w:tab w:val="left" w:pos="720"/>
          <w:tab w:val="left" w:pos="3600"/>
          <w:tab w:val="left" w:pos="3960"/>
          <w:tab w:val="left" w:pos="4140"/>
          <w:tab w:val="left" w:pos="4320"/>
          <w:tab w:val="left" w:pos="4809"/>
          <w:tab w:val="left" w:pos="8499"/>
        </w:tabs>
        <w:spacing w:before="0" w:after="0"/>
        <w:rPr>
          <w:rFonts w:ascii="Times New Roman" w:hAnsi="Times New Roman" w:cs="Times New Roman"/>
          <w:i w:val="0"/>
          <w:iCs w:val="0"/>
          <w:color w:val="000000" w:themeColor="text1"/>
          <w:lang w:val="sr-Cyrl-CS"/>
        </w:rPr>
      </w:pPr>
    </w:p>
    <w:p w14:paraId="367A1DF6" w14:textId="5EE5068B" w:rsidR="00147957" w:rsidRPr="003D5B5E" w:rsidRDefault="00147957" w:rsidP="00A137B0">
      <w:pPr>
        <w:pStyle w:val="wyq120---podnaslov-clana"/>
        <w:tabs>
          <w:tab w:val="left" w:pos="720"/>
          <w:tab w:val="left" w:pos="3600"/>
          <w:tab w:val="left" w:pos="3960"/>
          <w:tab w:val="left" w:pos="4140"/>
          <w:tab w:val="left" w:pos="4320"/>
          <w:tab w:val="left" w:pos="4809"/>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w:t>
      </w:r>
      <w:r w:rsidR="003F18AD" w:rsidRPr="003D5B5E">
        <w:rPr>
          <w:rFonts w:ascii="Times New Roman" w:hAnsi="Times New Roman" w:cs="Times New Roman"/>
          <w:i w:val="0"/>
          <w:iCs w:val="0"/>
          <w:color w:val="000000" w:themeColor="text1"/>
          <w:lang w:val="sr-Cyrl-CS"/>
        </w:rPr>
        <w:t xml:space="preserve">Члан </w:t>
      </w:r>
      <w:r w:rsidR="00532054" w:rsidRPr="003D5B5E">
        <w:rPr>
          <w:rFonts w:ascii="Times New Roman" w:hAnsi="Times New Roman" w:cs="Times New Roman"/>
          <w:i w:val="0"/>
          <w:iCs w:val="0"/>
          <w:color w:val="000000" w:themeColor="text1"/>
          <w:lang w:val="sr-Cyrl-CS"/>
        </w:rPr>
        <w:t>7</w:t>
      </w:r>
      <w:r w:rsidR="003F18AD" w:rsidRPr="003D5B5E">
        <w:rPr>
          <w:rFonts w:ascii="Times New Roman" w:hAnsi="Times New Roman" w:cs="Times New Roman"/>
          <w:i w:val="0"/>
          <w:iCs w:val="0"/>
          <w:color w:val="000000" w:themeColor="text1"/>
          <w:lang w:val="sr-Cyrl-CS"/>
        </w:rPr>
        <w:t>.</w:t>
      </w:r>
    </w:p>
    <w:p w14:paraId="05DC3233" w14:textId="7C04CF59" w:rsidR="00147957" w:rsidRPr="003D5B5E" w:rsidRDefault="0025163D" w:rsidP="00A137B0">
      <w:pPr>
        <w:jc w:val="both"/>
        <w:rPr>
          <w:lang w:val="sr-Cyrl-CS"/>
        </w:rPr>
      </w:pPr>
      <w:r w:rsidRPr="003D5B5E">
        <w:rPr>
          <w:lang w:val="sr-Cyrl-CS"/>
        </w:rPr>
        <w:t xml:space="preserve">        </w:t>
      </w:r>
      <w:r w:rsidR="0089326C" w:rsidRPr="003D5B5E">
        <w:rPr>
          <w:lang w:val="sr-Cyrl-CS"/>
        </w:rPr>
        <w:t xml:space="preserve">    </w:t>
      </w:r>
      <w:r w:rsidR="00147957" w:rsidRPr="003D5B5E">
        <w:rPr>
          <w:lang w:val="sr-Cyrl-CS"/>
        </w:rPr>
        <w:t>Наслов изнад члана 145. и члан 145. мењају се и гласе:</w:t>
      </w:r>
    </w:p>
    <w:p w14:paraId="3AD395B9" w14:textId="565FE19A" w:rsidR="0089326C" w:rsidRPr="003D5B5E" w:rsidRDefault="0089326C" w:rsidP="00A137B0">
      <w:pPr>
        <w:jc w:val="both"/>
        <w:rPr>
          <w:bCs/>
          <w:lang w:val="sr-Cyrl-CS"/>
        </w:rPr>
      </w:pPr>
    </w:p>
    <w:p w14:paraId="6E45BDEE" w14:textId="2DDC3C2A" w:rsidR="00147957" w:rsidRPr="003D5B5E" w:rsidRDefault="0089326C" w:rsidP="00A137B0">
      <w:pPr>
        <w:jc w:val="both"/>
        <w:rPr>
          <w:bCs/>
          <w:lang w:val="sr-Cyrl-CS"/>
        </w:rPr>
      </w:pPr>
      <w:r w:rsidRPr="003D5B5E">
        <w:rPr>
          <w:bCs/>
          <w:lang w:val="sr-Cyrl-CS"/>
        </w:rPr>
        <w:t xml:space="preserve">                              </w:t>
      </w:r>
      <w:r w:rsidR="00147957" w:rsidRPr="003D5B5E">
        <w:rPr>
          <w:bCs/>
          <w:lang w:val="sr-Cyrl-CS"/>
        </w:rPr>
        <w:t xml:space="preserve">„Раздуживање гаранције, осим код поступка транзита </w:t>
      </w:r>
    </w:p>
    <w:p w14:paraId="04944EDF" w14:textId="5B0A458E" w:rsidR="00147957" w:rsidRPr="003D5B5E" w:rsidRDefault="00147957" w:rsidP="009E40CE">
      <w:pPr>
        <w:jc w:val="center"/>
        <w:rPr>
          <w:bCs/>
          <w:lang w:val="sr-Cyrl-CS"/>
        </w:rPr>
      </w:pPr>
    </w:p>
    <w:p w14:paraId="341B4F33" w14:textId="77777777" w:rsidR="00EB5A66" w:rsidRPr="003D5B5E" w:rsidRDefault="00EB5A66" w:rsidP="00A137B0">
      <w:pPr>
        <w:jc w:val="both"/>
        <w:rPr>
          <w:bCs/>
          <w:lang w:val="sr-Cyrl-CS"/>
        </w:rPr>
      </w:pPr>
    </w:p>
    <w:p w14:paraId="089506D8" w14:textId="77777777" w:rsidR="00A137B0" w:rsidRPr="003D5B5E" w:rsidRDefault="00A137B0" w:rsidP="00A137B0">
      <w:pPr>
        <w:jc w:val="both"/>
        <w:rPr>
          <w:bCs/>
          <w:lang w:val="sr-Cyrl-CS"/>
        </w:rPr>
      </w:pPr>
    </w:p>
    <w:p w14:paraId="1C4D2639" w14:textId="7A38E46B" w:rsidR="00147957" w:rsidRPr="003D5B5E" w:rsidRDefault="00147957" w:rsidP="00A137B0">
      <w:pPr>
        <w:jc w:val="both"/>
        <w:rPr>
          <w:lang w:val="sr-Cyrl-CS"/>
        </w:rPr>
      </w:pPr>
      <w:r w:rsidRPr="003D5B5E">
        <w:rPr>
          <w:bCs/>
          <w:lang w:val="sr-Cyrl-CS"/>
        </w:rPr>
        <w:t xml:space="preserve">                                                                         </w:t>
      </w:r>
      <w:r w:rsidRPr="003D5B5E">
        <w:rPr>
          <w:lang w:val="sr-Cyrl-CS"/>
        </w:rPr>
        <w:t>Члан 145.</w:t>
      </w:r>
    </w:p>
    <w:p w14:paraId="206C7B14" w14:textId="663DC2E1" w:rsidR="00147957" w:rsidRPr="003D5B5E" w:rsidRDefault="0025163D" w:rsidP="00A137B0">
      <w:pPr>
        <w:jc w:val="both"/>
        <w:rPr>
          <w:lang w:val="sr-Cyrl-CS"/>
        </w:rPr>
      </w:pPr>
      <w:r w:rsidRPr="003D5B5E">
        <w:rPr>
          <w:lang w:val="sr-Cyrl-CS"/>
        </w:rPr>
        <w:t xml:space="preserve">        </w:t>
      </w:r>
      <w:r w:rsidRPr="003D5B5E">
        <w:rPr>
          <w:lang w:val="sr-Cyrl-CS"/>
        </w:rPr>
        <w:tab/>
      </w:r>
      <w:r w:rsidR="00147957" w:rsidRPr="003D5B5E">
        <w:rPr>
          <w:lang w:val="sr-Cyrl-CS"/>
        </w:rPr>
        <w:t>Ако се полаже нова гаранција као облик заједничког обезбеђења, она мора да садржи клаузулу да се том гаранцијом преузимају све</w:t>
      </w:r>
      <w:r w:rsidR="00027DD0" w:rsidRPr="003D5B5E">
        <w:rPr>
          <w:lang w:val="sr-Cyrl-CS"/>
        </w:rPr>
        <w:t xml:space="preserve"> обавезе из претходно положене </w:t>
      </w:r>
      <w:r w:rsidR="00147957" w:rsidRPr="003D5B5E">
        <w:rPr>
          <w:lang w:val="sr-Cyrl-CS"/>
        </w:rPr>
        <w:t>гаранције.</w:t>
      </w:r>
    </w:p>
    <w:p w14:paraId="14D18CDF" w14:textId="2B67C449" w:rsidR="00147957" w:rsidRPr="003D5B5E" w:rsidRDefault="00037F98" w:rsidP="00A137B0">
      <w:pPr>
        <w:ind w:firstLine="720"/>
        <w:jc w:val="both"/>
        <w:rPr>
          <w:lang w:val="sr-Cyrl-CS"/>
        </w:rPr>
      </w:pPr>
      <w:r w:rsidRPr="003D5B5E">
        <w:rPr>
          <w:lang w:val="sr-Cyrl-CS"/>
        </w:rPr>
        <w:t xml:space="preserve">Ако </w:t>
      </w:r>
      <w:r w:rsidR="00147957" w:rsidRPr="003D5B5E">
        <w:rPr>
          <w:lang w:val="sr-Cyrl-CS"/>
        </w:rPr>
        <w:t>се гаранција опозове без полагања нове гаранције за будући период, опозвана  гаранција  се раздужује након што царински орган провером утврди да су сви настали</w:t>
      </w:r>
      <w:r w:rsidR="00EB5A66" w:rsidRPr="003D5B5E">
        <w:rPr>
          <w:lang w:val="sr-Cyrl-CS"/>
        </w:rPr>
        <w:t xml:space="preserve">  царински дугови угашени </w:t>
      </w:r>
      <w:r w:rsidR="00147957" w:rsidRPr="003D5B5E">
        <w:rPr>
          <w:lang w:val="sr-Cyrl-CS"/>
        </w:rPr>
        <w:t>у складу са царинским прописима или да су наступиле околности због којих царински дуг више не може настати, а најкасније у року од девет месеци од дана ступања опозива на снагу.</w:t>
      </w:r>
    </w:p>
    <w:p w14:paraId="46160594" w14:textId="586F37AD" w:rsidR="00147957" w:rsidRPr="003D5B5E" w:rsidRDefault="00147957" w:rsidP="00A137B0">
      <w:pPr>
        <w:jc w:val="both"/>
        <w:rPr>
          <w:lang w:val="sr-Cyrl-CS"/>
        </w:rPr>
      </w:pPr>
      <w:r w:rsidRPr="003D5B5E">
        <w:rPr>
          <w:lang w:val="sr-Cyrl-CS"/>
        </w:rPr>
        <w:t xml:space="preserve">            Гарант се може позвати да испуни своју обавезу плаћања св</w:t>
      </w:r>
      <w:r w:rsidR="00EB5A66" w:rsidRPr="003D5B5E">
        <w:rPr>
          <w:lang w:val="sr-Cyrl-CS"/>
        </w:rPr>
        <w:t>е док се гаранција не раздужи.”.</w:t>
      </w:r>
    </w:p>
    <w:p w14:paraId="55E0CBF1" w14:textId="77777777" w:rsidR="00DD7C08" w:rsidRPr="003D5B5E" w:rsidRDefault="00DD7C08" w:rsidP="00A137B0">
      <w:pPr>
        <w:tabs>
          <w:tab w:val="left" w:pos="851"/>
          <w:tab w:val="left" w:pos="8499"/>
        </w:tabs>
        <w:ind w:firstLine="567"/>
        <w:contextualSpacing/>
        <w:jc w:val="both"/>
        <w:rPr>
          <w:strike/>
          <w:lang w:val="sr-Cyrl-CS"/>
        </w:rPr>
      </w:pPr>
    </w:p>
    <w:p w14:paraId="1972260E" w14:textId="027B868A" w:rsidR="00147957" w:rsidRPr="003D5B5E" w:rsidRDefault="00147957" w:rsidP="00A137B0">
      <w:pPr>
        <w:tabs>
          <w:tab w:val="left" w:pos="426"/>
          <w:tab w:val="left" w:pos="3544"/>
          <w:tab w:val="left" w:pos="4918"/>
          <w:tab w:val="left" w:pos="4962"/>
          <w:tab w:val="left" w:pos="8499"/>
        </w:tabs>
        <w:contextualSpacing/>
        <w:jc w:val="center"/>
        <w:rPr>
          <w:rFonts w:eastAsiaTheme="minorHAnsi"/>
          <w:color w:val="000000" w:themeColor="text1"/>
          <w:lang w:val="sr-Cyrl-CS"/>
        </w:rPr>
      </w:pPr>
      <w:r w:rsidRPr="003D5B5E">
        <w:rPr>
          <w:rFonts w:eastAsiaTheme="minorHAnsi"/>
          <w:color w:val="000000" w:themeColor="text1"/>
          <w:lang w:val="sr-Cyrl-CS"/>
        </w:rPr>
        <w:t xml:space="preserve">  </w:t>
      </w:r>
      <w:r w:rsidR="00532054" w:rsidRPr="003D5B5E">
        <w:rPr>
          <w:rFonts w:eastAsiaTheme="minorHAnsi"/>
          <w:color w:val="000000" w:themeColor="text1"/>
          <w:lang w:val="sr-Cyrl-CS"/>
        </w:rPr>
        <w:t>Члан 8</w:t>
      </w:r>
      <w:r w:rsidRPr="003D5B5E">
        <w:rPr>
          <w:rFonts w:eastAsiaTheme="minorHAnsi"/>
          <w:color w:val="000000" w:themeColor="text1"/>
          <w:lang w:val="sr-Cyrl-CS"/>
        </w:rPr>
        <w:t>.</w:t>
      </w:r>
    </w:p>
    <w:p w14:paraId="4B2A9C5C" w14:textId="6E76F356" w:rsidR="00147957" w:rsidRPr="003D5B5E" w:rsidRDefault="0025163D" w:rsidP="00A137B0">
      <w:pPr>
        <w:ind w:firstLine="720"/>
        <w:rPr>
          <w:lang w:val="sr-Cyrl-CS"/>
        </w:rPr>
      </w:pPr>
      <w:r w:rsidRPr="003D5B5E">
        <w:rPr>
          <w:lang w:val="sr-Cyrl-CS"/>
        </w:rPr>
        <w:t xml:space="preserve">У члану 146. </w:t>
      </w:r>
      <w:r w:rsidR="00037F98" w:rsidRPr="003D5B5E">
        <w:rPr>
          <w:lang w:val="sr-Cyrl-CS"/>
        </w:rPr>
        <w:t>речи: „</w:t>
      </w:r>
      <w:r w:rsidRPr="003D5B5E">
        <w:rPr>
          <w:lang w:val="sr-Cyrl-CS"/>
        </w:rPr>
        <w:t>чл</w:t>
      </w:r>
      <w:r w:rsidR="00037F98" w:rsidRPr="003D5B5E">
        <w:rPr>
          <w:lang w:val="sr-Cyrl-CS"/>
        </w:rPr>
        <w:t>.</w:t>
      </w:r>
      <w:r w:rsidR="00147957" w:rsidRPr="003D5B5E">
        <w:rPr>
          <w:lang w:val="sr-Cyrl-CS"/>
        </w:rPr>
        <w:t xml:space="preserve"> 137-145.</w:t>
      </w:r>
      <w:r w:rsidR="00037F98" w:rsidRPr="003D5B5E">
        <w:rPr>
          <w:lang w:val="sr-Cyrl-CS"/>
        </w:rPr>
        <w:t>ˮ</w:t>
      </w:r>
      <w:r w:rsidRPr="003D5B5E">
        <w:rPr>
          <w:lang w:val="sr-Cyrl-CS"/>
        </w:rPr>
        <w:t xml:space="preserve"> замењују се </w:t>
      </w:r>
      <w:r w:rsidR="00037F98" w:rsidRPr="003D5B5E">
        <w:rPr>
          <w:lang w:val="sr-Cyrl-CS"/>
        </w:rPr>
        <w:t>речима: „</w:t>
      </w:r>
      <w:r w:rsidRPr="003D5B5E">
        <w:rPr>
          <w:lang w:val="sr-Cyrl-CS"/>
        </w:rPr>
        <w:t>чл</w:t>
      </w:r>
      <w:r w:rsidR="00037F98" w:rsidRPr="003D5B5E">
        <w:rPr>
          <w:lang w:val="sr-Cyrl-CS"/>
        </w:rPr>
        <w:t>.</w:t>
      </w:r>
      <w:r w:rsidR="00147957" w:rsidRPr="003D5B5E">
        <w:rPr>
          <w:lang w:val="sr-Cyrl-CS"/>
        </w:rPr>
        <w:t xml:space="preserve"> 1</w:t>
      </w:r>
      <w:r w:rsidR="00037F98" w:rsidRPr="003D5B5E">
        <w:rPr>
          <w:lang w:val="sr-Cyrl-CS"/>
        </w:rPr>
        <w:t>38</w:t>
      </w:r>
      <w:r w:rsidR="00147957" w:rsidRPr="003D5B5E">
        <w:rPr>
          <w:lang w:val="sr-Cyrl-CS"/>
        </w:rPr>
        <w:t>-1</w:t>
      </w:r>
      <w:r w:rsidR="00037F98" w:rsidRPr="003D5B5E">
        <w:rPr>
          <w:lang w:val="sr-Cyrl-CS"/>
        </w:rPr>
        <w:t>61</w:t>
      </w:r>
      <w:r w:rsidR="00147957" w:rsidRPr="003D5B5E">
        <w:rPr>
          <w:lang w:val="sr-Cyrl-CS"/>
        </w:rPr>
        <w:t>.</w:t>
      </w:r>
      <w:r w:rsidR="00037F98" w:rsidRPr="003D5B5E">
        <w:rPr>
          <w:lang w:val="sr-Cyrl-CS"/>
        </w:rPr>
        <w:t>ˮ</w:t>
      </w:r>
    </w:p>
    <w:p w14:paraId="466E2550" w14:textId="02572C09" w:rsidR="0025163D" w:rsidRPr="003D5B5E" w:rsidRDefault="0025163D" w:rsidP="00A137B0">
      <w:pPr>
        <w:tabs>
          <w:tab w:val="left" w:pos="3682"/>
          <w:tab w:val="left" w:pos="3749"/>
          <w:tab w:val="left" w:pos="4795"/>
        </w:tabs>
        <w:contextualSpacing/>
        <w:rPr>
          <w:rFonts w:eastAsiaTheme="minorHAnsi"/>
          <w:color w:val="000000" w:themeColor="text1"/>
          <w:lang w:val="sr-Cyrl-CS"/>
        </w:rPr>
      </w:pPr>
    </w:p>
    <w:p w14:paraId="5B609F1D" w14:textId="360B6B03" w:rsidR="0025163D" w:rsidRPr="003D5B5E" w:rsidRDefault="00532054" w:rsidP="00A137B0">
      <w:pPr>
        <w:tabs>
          <w:tab w:val="left" w:pos="3682"/>
          <w:tab w:val="left" w:pos="3749"/>
          <w:tab w:val="left" w:pos="4795"/>
        </w:tabs>
        <w:contextualSpacing/>
        <w:jc w:val="center"/>
        <w:rPr>
          <w:rFonts w:eastAsiaTheme="minorHAnsi"/>
          <w:color w:val="000000" w:themeColor="text1"/>
          <w:lang w:val="sr-Cyrl-CS"/>
        </w:rPr>
      </w:pPr>
      <w:r w:rsidRPr="003D5B5E">
        <w:rPr>
          <w:rFonts w:eastAsiaTheme="minorHAnsi"/>
          <w:color w:val="000000" w:themeColor="text1"/>
          <w:lang w:val="sr-Cyrl-CS"/>
        </w:rPr>
        <w:t xml:space="preserve">   Члан 9</w:t>
      </w:r>
      <w:r w:rsidR="0025163D" w:rsidRPr="003D5B5E">
        <w:rPr>
          <w:rFonts w:eastAsiaTheme="minorHAnsi"/>
          <w:color w:val="000000" w:themeColor="text1"/>
          <w:lang w:val="sr-Cyrl-CS"/>
        </w:rPr>
        <w:t>.</w:t>
      </w:r>
    </w:p>
    <w:p w14:paraId="24C51213" w14:textId="3510B4A1" w:rsidR="0025163D" w:rsidRPr="003D5B5E" w:rsidRDefault="00B81FF2" w:rsidP="00A137B0">
      <w:pPr>
        <w:ind w:firstLine="720"/>
        <w:jc w:val="both"/>
        <w:rPr>
          <w:lang w:val="sr-Cyrl-CS"/>
        </w:rPr>
      </w:pPr>
      <w:r w:rsidRPr="003D5B5E">
        <w:rPr>
          <w:lang w:val="sr-Cyrl-CS"/>
        </w:rPr>
        <w:t>После члана 146. наслов</w:t>
      </w:r>
      <w:r w:rsidR="0025163D" w:rsidRPr="003D5B5E">
        <w:rPr>
          <w:lang w:val="sr-Cyrl-CS"/>
        </w:rPr>
        <w:t>: „Пододељак 2. Обезбеђење за нац</w:t>
      </w:r>
      <w:r w:rsidRPr="003D5B5E">
        <w:rPr>
          <w:lang w:val="sr-Cyrl-CS"/>
        </w:rPr>
        <w:t>ионални поступак транзита” брише</w:t>
      </w:r>
      <w:r w:rsidR="0025163D" w:rsidRPr="003D5B5E">
        <w:rPr>
          <w:lang w:val="sr-Cyrl-CS"/>
        </w:rPr>
        <w:t xml:space="preserve"> се.</w:t>
      </w:r>
    </w:p>
    <w:p w14:paraId="0B998160" w14:textId="00DA9C41" w:rsidR="0025163D" w:rsidRPr="003D5B5E" w:rsidRDefault="0025163D" w:rsidP="00A137B0">
      <w:pPr>
        <w:tabs>
          <w:tab w:val="left" w:pos="426"/>
          <w:tab w:val="left" w:pos="993"/>
          <w:tab w:val="left" w:pos="3522"/>
          <w:tab w:val="left" w:pos="8499"/>
        </w:tabs>
        <w:rPr>
          <w:rFonts w:eastAsiaTheme="minorHAnsi"/>
          <w:color w:val="000000" w:themeColor="text1"/>
          <w:lang w:val="sr-Cyrl-CS"/>
        </w:rPr>
      </w:pPr>
    </w:p>
    <w:p w14:paraId="1B050423" w14:textId="5C6582C1" w:rsidR="0025163D" w:rsidRPr="003D5B5E" w:rsidRDefault="0025163D" w:rsidP="00A137B0">
      <w:pPr>
        <w:tabs>
          <w:tab w:val="left" w:pos="426"/>
          <w:tab w:val="left" w:pos="993"/>
          <w:tab w:val="left" w:pos="3522"/>
          <w:tab w:val="left" w:pos="4809"/>
          <w:tab w:val="left" w:pos="8499"/>
        </w:tabs>
        <w:jc w:val="center"/>
        <w:rPr>
          <w:rFonts w:eastAsiaTheme="minorHAnsi"/>
          <w:color w:val="000000" w:themeColor="text1"/>
          <w:lang w:val="sr-Cyrl-CS"/>
        </w:rPr>
      </w:pPr>
      <w:r w:rsidRPr="003D5B5E">
        <w:rPr>
          <w:rFonts w:eastAsiaTheme="minorHAnsi"/>
          <w:color w:val="000000" w:themeColor="text1"/>
          <w:lang w:val="sr-Cyrl-CS"/>
        </w:rPr>
        <w:t xml:space="preserve">  </w:t>
      </w:r>
      <w:r w:rsidR="00532054" w:rsidRPr="003D5B5E">
        <w:rPr>
          <w:rFonts w:eastAsiaTheme="minorHAnsi"/>
          <w:color w:val="000000" w:themeColor="text1"/>
          <w:lang w:val="sr-Cyrl-CS"/>
        </w:rPr>
        <w:t xml:space="preserve">    Члан 10</w:t>
      </w:r>
      <w:r w:rsidRPr="003D5B5E">
        <w:rPr>
          <w:rFonts w:eastAsiaTheme="minorHAnsi"/>
          <w:color w:val="000000" w:themeColor="text1"/>
          <w:lang w:val="sr-Cyrl-CS"/>
        </w:rPr>
        <w:t>.</w:t>
      </w:r>
    </w:p>
    <w:p w14:paraId="2A7C7866" w14:textId="77777777" w:rsidR="0025163D" w:rsidRPr="003D5B5E" w:rsidRDefault="0025163D" w:rsidP="00A137B0">
      <w:pPr>
        <w:ind w:firstLine="720"/>
        <w:rPr>
          <w:lang w:val="sr-Cyrl-CS"/>
        </w:rPr>
      </w:pPr>
      <w:r w:rsidRPr="003D5B5E">
        <w:rPr>
          <w:lang w:val="sr-Cyrl-CS"/>
        </w:rPr>
        <w:t xml:space="preserve">У члану 147. став 10. брише се. </w:t>
      </w:r>
    </w:p>
    <w:p w14:paraId="0423B80D" w14:textId="77777777" w:rsidR="00147957" w:rsidRPr="003D5B5E" w:rsidRDefault="00147957" w:rsidP="00A137B0">
      <w:pPr>
        <w:tabs>
          <w:tab w:val="left" w:pos="851"/>
          <w:tab w:val="left" w:pos="8499"/>
        </w:tabs>
        <w:ind w:firstLine="567"/>
        <w:contextualSpacing/>
        <w:jc w:val="both"/>
        <w:rPr>
          <w:strike/>
          <w:lang w:val="sr-Cyrl-CS"/>
        </w:rPr>
      </w:pPr>
    </w:p>
    <w:p w14:paraId="0244A3D5" w14:textId="457B1C0E" w:rsidR="00493582" w:rsidRPr="003D5B5E" w:rsidRDefault="009D10C2"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w:t>
      </w:r>
      <w:r w:rsidR="00493582" w:rsidRPr="003D5B5E">
        <w:rPr>
          <w:rFonts w:ascii="Times New Roman" w:hAnsi="Times New Roman" w:cs="Times New Roman"/>
          <w:i w:val="0"/>
          <w:iCs w:val="0"/>
          <w:color w:val="000000" w:themeColor="text1"/>
          <w:lang w:val="sr-Cyrl-CS"/>
        </w:rPr>
        <w:t xml:space="preserve">Члан </w:t>
      </w:r>
      <w:r w:rsidR="00532054" w:rsidRPr="003D5B5E">
        <w:rPr>
          <w:rFonts w:ascii="Times New Roman" w:hAnsi="Times New Roman" w:cs="Times New Roman"/>
          <w:i w:val="0"/>
          <w:iCs w:val="0"/>
          <w:color w:val="000000" w:themeColor="text1"/>
          <w:lang w:val="sr-Cyrl-CS"/>
        </w:rPr>
        <w:t>11</w:t>
      </w:r>
      <w:r w:rsidR="00493582" w:rsidRPr="003D5B5E">
        <w:rPr>
          <w:rFonts w:ascii="Times New Roman" w:hAnsi="Times New Roman" w:cs="Times New Roman"/>
          <w:i w:val="0"/>
          <w:iCs w:val="0"/>
          <w:color w:val="000000" w:themeColor="text1"/>
          <w:lang w:val="sr-Cyrl-CS"/>
        </w:rPr>
        <w:t>.</w:t>
      </w:r>
    </w:p>
    <w:p w14:paraId="1E4DE25F" w14:textId="77777777" w:rsidR="00493582" w:rsidRPr="003D5B5E" w:rsidRDefault="00493582" w:rsidP="00A137B0">
      <w:pPr>
        <w:rPr>
          <w:lang w:val="sr-Cyrl-CS"/>
        </w:rPr>
      </w:pPr>
    </w:p>
    <w:p w14:paraId="1D85ECEB" w14:textId="372BCB1C" w:rsidR="00532054" w:rsidRPr="003D5B5E" w:rsidRDefault="008B54A2" w:rsidP="00A137B0">
      <w:pPr>
        <w:ind w:firstLine="720"/>
        <w:jc w:val="both"/>
        <w:rPr>
          <w:lang w:val="sr-Cyrl-CS"/>
        </w:rPr>
      </w:pPr>
      <w:r w:rsidRPr="003D5B5E">
        <w:rPr>
          <w:lang w:val="sr-Cyrl-CS"/>
        </w:rPr>
        <w:t xml:space="preserve">У наслову изнад члана 148. </w:t>
      </w:r>
      <w:r w:rsidR="00493582" w:rsidRPr="003D5B5E">
        <w:rPr>
          <w:lang w:val="sr-Cyrl-CS"/>
        </w:rPr>
        <w:t xml:space="preserve">после речи: „гаранције” додају се речи: „у националном поступку транзита”.   </w:t>
      </w:r>
    </w:p>
    <w:p w14:paraId="3B882F6D" w14:textId="77777777" w:rsidR="00532054" w:rsidRPr="003D5B5E" w:rsidRDefault="00532054" w:rsidP="00A137B0">
      <w:pPr>
        <w:ind w:firstLine="720"/>
        <w:rPr>
          <w:lang w:val="sr-Cyrl-CS"/>
        </w:rPr>
      </w:pPr>
    </w:p>
    <w:p w14:paraId="398B9874" w14:textId="79FD1DB7" w:rsidR="00493582" w:rsidRPr="003D5B5E" w:rsidRDefault="00493582"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Члан 1</w:t>
      </w:r>
      <w:r w:rsidR="00532054" w:rsidRPr="003D5B5E">
        <w:rPr>
          <w:rFonts w:ascii="Times New Roman" w:hAnsi="Times New Roman" w:cs="Times New Roman"/>
          <w:i w:val="0"/>
          <w:iCs w:val="0"/>
          <w:color w:val="000000" w:themeColor="text1"/>
          <w:lang w:val="sr-Cyrl-CS"/>
        </w:rPr>
        <w:t>2</w:t>
      </w:r>
      <w:r w:rsidRPr="003D5B5E">
        <w:rPr>
          <w:rFonts w:ascii="Times New Roman" w:hAnsi="Times New Roman" w:cs="Times New Roman"/>
          <w:i w:val="0"/>
          <w:iCs w:val="0"/>
          <w:color w:val="000000" w:themeColor="text1"/>
          <w:lang w:val="sr-Cyrl-CS"/>
        </w:rPr>
        <w:t>.</w:t>
      </w:r>
    </w:p>
    <w:p w14:paraId="3B645AA8" w14:textId="40CD6256" w:rsidR="00493582" w:rsidRPr="003D5B5E" w:rsidRDefault="00281E4C" w:rsidP="00A137B0">
      <w:pPr>
        <w:ind w:firstLine="720"/>
        <w:jc w:val="both"/>
        <w:rPr>
          <w:lang w:val="sr-Cyrl-CS"/>
        </w:rPr>
      </w:pPr>
      <w:r w:rsidRPr="003D5B5E">
        <w:rPr>
          <w:lang w:val="sr-Cyrl-CS"/>
        </w:rPr>
        <w:t>У наслову изнад члана 149.</w:t>
      </w:r>
      <w:r w:rsidR="00493582" w:rsidRPr="003D5B5E">
        <w:rPr>
          <w:lang w:val="sr-Cyrl-CS"/>
        </w:rPr>
        <w:t xml:space="preserve"> после речи: „шифра” додају се речи: „у националном поступку транзита”.  </w:t>
      </w:r>
    </w:p>
    <w:p w14:paraId="77A11CE7" w14:textId="1A9C32D1" w:rsidR="00493582" w:rsidRPr="003D5B5E" w:rsidRDefault="00493582" w:rsidP="00A137B0">
      <w:pPr>
        <w:tabs>
          <w:tab w:val="left" w:pos="851"/>
          <w:tab w:val="left" w:pos="8499"/>
        </w:tabs>
        <w:contextualSpacing/>
        <w:jc w:val="both"/>
        <w:rPr>
          <w:strike/>
          <w:lang w:val="sr-Cyrl-CS"/>
        </w:rPr>
      </w:pPr>
    </w:p>
    <w:p w14:paraId="43A4E048" w14:textId="2662288F" w:rsidR="00493582" w:rsidRPr="003D5B5E" w:rsidRDefault="009D10C2" w:rsidP="00A137B0">
      <w:pPr>
        <w:pStyle w:val="wyq120---podnaslov-clana"/>
        <w:tabs>
          <w:tab w:val="left" w:pos="720"/>
          <w:tab w:val="left" w:pos="3600"/>
          <w:tab w:val="left" w:pos="3960"/>
          <w:tab w:val="left" w:pos="4140"/>
          <w:tab w:val="left" w:pos="4320"/>
          <w:tab w:val="left" w:pos="8499"/>
        </w:tabs>
        <w:spacing w:before="0" w:after="0"/>
        <w:jc w:val="left"/>
        <w:rPr>
          <w:rFonts w:ascii="Times New Roman" w:hAnsi="Times New Roman" w:cs="Times New Roman"/>
          <w:i w:val="0"/>
          <w:iCs w:val="0"/>
          <w:color w:val="000000" w:themeColor="text1"/>
          <w:lang w:val="sr-Cyrl-CS"/>
        </w:rPr>
      </w:pPr>
      <w:r w:rsidRPr="003D5B5E">
        <w:rPr>
          <w:rFonts w:ascii="Times New Roman" w:eastAsia="Times New Roman" w:hAnsi="Times New Roman" w:cs="Times New Roman"/>
          <w:i w:val="0"/>
          <w:iCs w:val="0"/>
          <w:kern w:val="0"/>
          <w:lang w:val="sr-Cyrl-CS"/>
        </w:rPr>
        <w:t xml:space="preserve">                                            </w:t>
      </w:r>
      <w:r w:rsidR="00B37803" w:rsidRPr="003D5B5E">
        <w:rPr>
          <w:rFonts w:ascii="Times New Roman" w:eastAsia="Times New Roman" w:hAnsi="Times New Roman" w:cs="Times New Roman"/>
          <w:i w:val="0"/>
          <w:iCs w:val="0"/>
          <w:kern w:val="0"/>
          <w:lang w:val="sr-Cyrl-CS"/>
        </w:rPr>
        <w:t xml:space="preserve">                            </w:t>
      </w:r>
      <w:r w:rsidR="00493582" w:rsidRPr="003D5B5E">
        <w:rPr>
          <w:rFonts w:ascii="Times New Roman" w:hAnsi="Times New Roman" w:cs="Times New Roman"/>
          <w:i w:val="0"/>
          <w:iCs w:val="0"/>
          <w:color w:val="000000" w:themeColor="text1"/>
          <w:lang w:val="sr-Cyrl-CS"/>
        </w:rPr>
        <w:t>Члан 1</w:t>
      </w:r>
      <w:r w:rsidR="00532054" w:rsidRPr="003D5B5E">
        <w:rPr>
          <w:rFonts w:ascii="Times New Roman" w:hAnsi="Times New Roman" w:cs="Times New Roman"/>
          <w:i w:val="0"/>
          <w:iCs w:val="0"/>
          <w:color w:val="000000" w:themeColor="text1"/>
          <w:lang w:val="sr-Cyrl-CS"/>
        </w:rPr>
        <w:t>3</w:t>
      </w:r>
      <w:r w:rsidR="00493582" w:rsidRPr="003D5B5E">
        <w:rPr>
          <w:rFonts w:ascii="Times New Roman" w:hAnsi="Times New Roman" w:cs="Times New Roman"/>
          <w:i w:val="0"/>
          <w:iCs w:val="0"/>
          <w:color w:val="000000" w:themeColor="text1"/>
          <w:lang w:val="sr-Cyrl-CS"/>
        </w:rPr>
        <w:t>.</w:t>
      </w:r>
      <w:r w:rsidR="00493582" w:rsidRPr="003D5B5E">
        <w:rPr>
          <w:rFonts w:ascii="Times New Roman" w:hAnsi="Times New Roman" w:cs="Times New Roman"/>
          <w:color w:val="000000" w:themeColor="text1"/>
          <w:lang w:val="sr-Cyrl-CS"/>
        </w:rPr>
        <w:t xml:space="preserve"> </w:t>
      </w:r>
    </w:p>
    <w:p w14:paraId="106BC1D0" w14:textId="3C3D24F2" w:rsidR="00037F98" w:rsidRPr="003D5B5E" w:rsidRDefault="009F6F2E" w:rsidP="00A137B0">
      <w:pPr>
        <w:ind w:firstLine="720"/>
        <w:jc w:val="both"/>
        <w:rPr>
          <w:lang w:val="sr-Cyrl-CS"/>
        </w:rPr>
      </w:pPr>
      <w:r w:rsidRPr="003D5B5E">
        <w:rPr>
          <w:lang w:val="sr-Cyrl-CS"/>
        </w:rPr>
        <w:t>После</w:t>
      </w:r>
      <w:r w:rsidR="00E60839" w:rsidRPr="003D5B5E">
        <w:rPr>
          <w:lang w:val="sr-Cyrl-CS"/>
        </w:rPr>
        <w:t xml:space="preserve"> члана 149. наслов</w:t>
      </w:r>
      <w:r w:rsidRPr="003D5B5E">
        <w:rPr>
          <w:lang w:val="sr-Cyrl-CS"/>
        </w:rPr>
        <w:t xml:space="preserve">: „Заједничко обезбеђење и ослобођење од полагања обезбеђења” </w:t>
      </w:r>
      <w:r w:rsidR="00E60839" w:rsidRPr="003D5B5E">
        <w:rPr>
          <w:lang w:val="sr-Cyrl-CS"/>
        </w:rPr>
        <w:t>мења се и гласи</w:t>
      </w:r>
      <w:r w:rsidRPr="003D5B5E">
        <w:rPr>
          <w:lang w:val="sr-Cyrl-CS"/>
        </w:rPr>
        <w:t xml:space="preserve">: </w:t>
      </w:r>
    </w:p>
    <w:p w14:paraId="5350601D" w14:textId="77777777" w:rsidR="00037F98" w:rsidRPr="003D5B5E" w:rsidRDefault="00037F98" w:rsidP="00A137B0">
      <w:pPr>
        <w:ind w:firstLine="720"/>
        <w:jc w:val="both"/>
        <w:rPr>
          <w:lang w:val="sr-Cyrl-CS"/>
        </w:rPr>
      </w:pPr>
    </w:p>
    <w:p w14:paraId="2C43D47D" w14:textId="1A62C280" w:rsidR="00037F98" w:rsidRPr="003D5B5E" w:rsidRDefault="009F6F2E" w:rsidP="00A137B0">
      <w:pPr>
        <w:ind w:firstLine="720"/>
        <w:jc w:val="center"/>
        <w:rPr>
          <w:lang w:val="sr-Cyrl-CS"/>
        </w:rPr>
      </w:pPr>
      <w:r w:rsidRPr="003D5B5E">
        <w:rPr>
          <w:lang w:val="sr-Cyrl-CS"/>
        </w:rPr>
        <w:t>„ОДЕЉАК 2</w:t>
      </w:r>
    </w:p>
    <w:p w14:paraId="21ECC932" w14:textId="77777777" w:rsidR="00037F98" w:rsidRPr="003D5B5E" w:rsidRDefault="00037F98" w:rsidP="00A137B0">
      <w:pPr>
        <w:ind w:firstLine="720"/>
        <w:jc w:val="center"/>
        <w:rPr>
          <w:lang w:val="sr-Cyrl-CS"/>
        </w:rPr>
      </w:pPr>
    </w:p>
    <w:p w14:paraId="273D148E" w14:textId="3D570435" w:rsidR="009F6F2E" w:rsidRPr="003D5B5E" w:rsidRDefault="009F6F2E" w:rsidP="00A137B0">
      <w:pPr>
        <w:ind w:firstLine="720"/>
        <w:jc w:val="center"/>
        <w:rPr>
          <w:lang w:val="sr-Cyrl-CS"/>
        </w:rPr>
      </w:pPr>
      <w:r w:rsidRPr="003D5B5E">
        <w:rPr>
          <w:lang w:val="sr-Cyrl-CS"/>
        </w:rPr>
        <w:t>ЗАЈЕДНИЧКО ОБЕЗБЕЂЕЊЕ И ОСЛОБОЂЕЊЕ ОД ПОЛАГАЊА ОБЕЗБЕЂЕЊА</w:t>
      </w:r>
      <w:r w:rsidR="00037F98" w:rsidRPr="003D5B5E">
        <w:rPr>
          <w:lang w:val="sr-Cyrl-CS"/>
        </w:rPr>
        <w:t>”</w:t>
      </w:r>
      <w:r w:rsidR="00CD3298" w:rsidRPr="003D5B5E">
        <w:rPr>
          <w:lang w:val="sr-Cyrl-CS"/>
        </w:rPr>
        <w:t>.</w:t>
      </w:r>
    </w:p>
    <w:p w14:paraId="59BA5CED" w14:textId="00BAAC4C" w:rsidR="00493582" w:rsidRPr="003D5B5E" w:rsidRDefault="00493582" w:rsidP="00A137B0">
      <w:pPr>
        <w:tabs>
          <w:tab w:val="left" w:pos="851"/>
          <w:tab w:val="left" w:pos="8499"/>
        </w:tabs>
        <w:contextualSpacing/>
        <w:jc w:val="both"/>
        <w:rPr>
          <w:strike/>
          <w:lang w:val="sr-Cyrl-CS"/>
        </w:rPr>
      </w:pPr>
    </w:p>
    <w:p w14:paraId="7F5805A0" w14:textId="76783EDF" w:rsidR="009D10C2" w:rsidRPr="003D5B5E" w:rsidRDefault="009D10C2"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Члан 1</w:t>
      </w:r>
      <w:r w:rsidR="00532054" w:rsidRPr="003D5B5E">
        <w:rPr>
          <w:rFonts w:ascii="Times New Roman" w:hAnsi="Times New Roman" w:cs="Times New Roman"/>
          <w:i w:val="0"/>
          <w:iCs w:val="0"/>
          <w:color w:val="000000" w:themeColor="text1"/>
          <w:lang w:val="sr-Cyrl-CS"/>
        </w:rPr>
        <w:t>4</w:t>
      </w:r>
      <w:r w:rsidRPr="003D5B5E">
        <w:rPr>
          <w:rFonts w:ascii="Times New Roman" w:hAnsi="Times New Roman" w:cs="Times New Roman"/>
          <w:i w:val="0"/>
          <w:iCs w:val="0"/>
          <w:color w:val="000000" w:themeColor="text1"/>
          <w:lang w:val="sr-Cyrl-CS"/>
        </w:rPr>
        <w:t>.</w:t>
      </w:r>
    </w:p>
    <w:p w14:paraId="0B928755" w14:textId="133366A6" w:rsidR="009D10C2" w:rsidRPr="003D5B5E" w:rsidRDefault="009D10C2" w:rsidP="00A137B0">
      <w:pPr>
        <w:tabs>
          <w:tab w:val="left" w:pos="851"/>
          <w:tab w:val="left" w:pos="8499"/>
        </w:tabs>
        <w:contextualSpacing/>
        <w:jc w:val="both"/>
        <w:rPr>
          <w:strike/>
          <w:lang w:val="sr-Cyrl-CS"/>
        </w:rPr>
      </w:pPr>
    </w:p>
    <w:p w14:paraId="5D8BC48A" w14:textId="77777777" w:rsidR="009F6F2E" w:rsidRPr="003D5B5E" w:rsidRDefault="009F6F2E" w:rsidP="00A137B0">
      <w:pPr>
        <w:ind w:firstLine="720"/>
        <w:rPr>
          <w:lang w:val="sr-Cyrl-CS"/>
        </w:rPr>
      </w:pPr>
      <w:r w:rsidRPr="003D5B5E">
        <w:rPr>
          <w:lang w:val="sr-Cyrl-CS"/>
        </w:rPr>
        <w:t>Члан 150. мења се и гласи:</w:t>
      </w:r>
    </w:p>
    <w:p w14:paraId="55FFD72B" w14:textId="77777777" w:rsidR="009F6F2E" w:rsidRPr="003D5B5E" w:rsidRDefault="009F6F2E" w:rsidP="00A137B0">
      <w:pPr>
        <w:rPr>
          <w:lang w:val="sr-Cyrl-CS"/>
        </w:rPr>
      </w:pPr>
    </w:p>
    <w:p w14:paraId="23051EB1" w14:textId="077D03B6" w:rsidR="009F6F2E" w:rsidRPr="003D5B5E" w:rsidRDefault="009F6F2E" w:rsidP="00A137B0">
      <w:pPr>
        <w:rPr>
          <w:lang w:val="sr-Cyrl-CS"/>
        </w:rPr>
      </w:pPr>
      <w:r w:rsidRPr="003D5B5E">
        <w:rPr>
          <w:lang w:val="sr-Cyrl-CS"/>
        </w:rPr>
        <w:t xml:space="preserve">                                                               „Члан 150.</w:t>
      </w:r>
    </w:p>
    <w:p w14:paraId="6E66B58F" w14:textId="77777777" w:rsidR="009F6F2E" w:rsidRPr="003D5B5E" w:rsidRDefault="009F6F2E" w:rsidP="00A137B0">
      <w:pPr>
        <w:ind w:left="13" w:right="535" w:firstLine="695"/>
        <w:jc w:val="both"/>
        <w:rPr>
          <w:lang w:val="sr-Cyrl-CS" w:eastAsia="sr-Cyrl-RS"/>
        </w:rPr>
      </w:pPr>
      <w:r w:rsidRPr="003D5B5E">
        <w:rPr>
          <w:lang w:val="sr-Cyrl-CS" w:eastAsia="sr-Cyrl-RS"/>
        </w:rPr>
        <w:t>Осим ако није другачије прописано чланом 153. ове уредбе, износ заједничког обезбеђења једнак је  референтном износу који утврди царински орган обезбеђења у складу са чланом 78. Царинског закона.</w:t>
      </w:r>
    </w:p>
    <w:p w14:paraId="4795EAFC" w14:textId="77777777" w:rsidR="00270914" w:rsidRPr="003D5B5E" w:rsidRDefault="009F6F2E" w:rsidP="00A137B0">
      <w:pPr>
        <w:ind w:left="13" w:right="535" w:firstLine="695"/>
        <w:jc w:val="both"/>
        <w:rPr>
          <w:lang w:val="sr-Cyrl-CS" w:eastAsia="sr-Cyrl-RS"/>
        </w:rPr>
      </w:pPr>
      <w:r w:rsidRPr="003D5B5E">
        <w:rPr>
          <w:lang w:val="sr-Cyrl-CS" w:eastAsia="sr-Cyrl-RS"/>
        </w:rPr>
        <w:t xml:space="preserve">Ако се заједничко обезбеђење мора положити за увозне или извозне дажбине и друге дажбине чији се износ може са сигурношћу утврдити у тренутку када се захтева </w:t>
      </w:r>
    </w:p>
    <w:p w14:paraId="79ECAD44" w14:textId="77777777" w:rsidR="00270914" w:rsidRPr="003D5B5E" w:rsidRDefault="00270914" w:rsidP="00A137B0">
      <w:pPr>
        <w:ind w:left="13" w:right="535" w:firstLine="695"/>
        <w:jc w:val="both"/>
        <w:rPr>
          <w:lang w:val="sr-Cyrl-CS" w:eastAsia="sr-Cyrl-RS"/>
        </w:rPr>
      </w:pPr>
    </w:p>
    <w:p w14:paraId="6CFC3B36" w14:textId="77777777" w:rsidR="00270914" w:rsidRPr="003D5B5E" w:rsidRDefault="00270914" w:rsidP="00A137B0">
      <w:pPr>
        <w:ind w:left="13" w:right="535" w:firstLine="695"/>
        <w:jc w:val="both"/>
        <w:rPr>
          <w:lang w:val="sr-Cyrl-CS" w:eastAsia="sr-Cyrl-RS"/>
        </w:rPr>
      </w:pPr>
    </w:p>
    <w:p w14:paraId="75502BB4" w14:textId="6178A91A" w:rsidR="009F6F2E" w:rsidRPr="003D5B5E" w:rsidRDefault="009F6F2E" w:rsidP="00270914">
      <w:pPr>
        <w:ind w:left="13" w:right="535" w:hanging="13"/>
        <w:jc w:val="both"/>
        <w:rPr>
          <w:lang w:val="sr-Cyrl-CS" w:eastAsia="sr-Cyrl-RS"/>
        </w:rPr>
      </w:pPr>
      <w:r w:rsidRPr="003D5B5E">
        <w:rPr>
          <w:lang w:val="sr-Cyrl-CS" w:eastAsia="sr-Cyrl-RS"/>
        </w:rPr>
        <w:t xml:space="preserve">полагање обезбеђења, део референтног износа који покрива те дажбине </w:t>
      </w:r>
      <w:r w:rsidR="009E1054" w:rsidRPr="003D5B5E">
        <w:rPr>
          <w:lang w:val="sr-Cyrl-CS" w:eastAsia="sr-Cyrl-RS"/>
        </w:rPr>
        <w:t xml:space="preserve">мора да </w:t>
      </w:r>
      <w:r w:rsidRPr="003D5B5E">
        <w:rPr>
          <w:lang w:val="sr-Cyrl-CS" w:eastAsia="sr-Cyrl-RS"/>
        </w:rPr>
        <w:t>одговара износу увозних или извозних дажбина и других плативих дажбина.</w:t>
      </w:r>
    </w:p>
    <w:p w14:paraId="1FA982DE" w14:textId="28CB6C31" w:rsidR="009F6F2E" w:rsidRPr="003D5B5E" w:rsidRDefault="009F6F2E" w:rsidP="00A137B0">
      <w:pPr>
        <w:ind w:left="13" w:right="535" w:firstLine="695"/>
        <w:jc w:val="both"/>
        <w:rPr>
          <w:lang w:val="sr-Cyrl-CS" w:eastAsia="sr-Cyrl-RS"/>
        </w:rPr>
      </w:pPr>
      <w:r w:rsidRPr="003D5B5E">
        <w:rPr>
          <w:lang w:val="sr-Cyrl-CS" w:eastAsia="sr-Cyrl-RS"/>
        </w:rPr>
        <w:t>Ако се заједничко обезбеђење мора положити за увозне или извозне дажбине и друге дажбине чији се износ не може са сигурношћу утврдити у тренутку када се захтева полагање обезбеђења или чији се износ мења током времена, део референтног износа који покрива те дажби</w:t>
      </w:r>
      <w:r w:rsidR="009E1054" w:rsidRPr="003D5B5E">
        <w:rPr>
          <w:lang w:val="sr-Cyrl-CS" w:eastAsia="sr-Cyrl-RS"/>
        </w:rPr>
        <w:t>не утврђује се на следећи начин</w:t>
      </w:r>
      <w:r w:rsidRPr="003D5B5E">
        <w:rPr>
          <w:lang w:val="sr-Cyrl-CS" w:eastAsia="sr-Cyrl-RS"/>
        </w:rPr>
        <w:t xml:space="preserve">: </w:t>
      </w:r>
    </w:p>
    <w:p w14:paraId="450E3678" w14:textId="0CE027FA" w:rsidR="009F6F2E" w:rsidRPr="003D5B5E" w:rsidRDefault="00355B3E" w:rsidP="00CD3298">
      <w:pPr>
        <w:ind w:right="535" w:firstLine="708"/>
        <w:jc w:val="both"/>
        <w:rPr>
          <w:lang w:val="sr-Cyrl-CS" w:eastAsia="sr-Cyrl-RS"/>
        </w:rPr>
      </w:pPr>
      <w:r w:rsidRPr="003D5B5E">
        <w:rPr>
          <w:lang w:val="sr-Cyrl-CS" w:eastAsia="sr-Cyrl-RS"/>
        </w:rPr>
        <w:t xml:space="preserve">1) </w:t>
      </w:r>
      <w:r w:rsidR="009F6F2E" w:rsidRPr="003D5B5E">
        <w:rPr>
          <w:lang w:val="sr-Cyrl-CS" w:eastAsia="sr-Cyrl-RS"/>
        </w:rPr>
        <w:t xml:space="preserve">за део који би требало да покрије увозне или извозне дажбине и друге дажбине које су настале, референтни износ </w:t>
      </w:r>
      <w:r w:rsidR="009E1054" w:rsidRPr="003D5B5E">
        <w:rPr>
          <w:lang w:val="sr-Cyrl-CS" w:eastAsia="sr-Cyrl-RS"/>
        </w:rPr>
        <w:t xml:space="preserve">мора да </w:t>
      </w:r>
      <w:r w:rsidR="009F6F2E" w:rsidRPr="003D5B5E">
        <w:rPr>
          <w:lang w:val="sr-Cyrl-CS" w:eastAsia="sr-Cyrl-RS"/>
        </w:rPr>
        <w:t xml:space="preserve">одговара износу увозних или извозних дажбина и других плативих дажбина; </w:t>
      </w:r>
    </w:p>
    <w:p w14:paraId="4D4C7FCC" w14:textId="73FBA225" w:rsidR="009F6F2E" w:rsidRPr="003D5B5E" w:rsidRDefault="009F6F2E" w:rsidP="00CD3298">
      <w:pPr>
        <w:ind w:right="535" w:firstLine="708"/>
        <w:jc w:val="both"/>
        <w:rPr>
          <w:lang w:val="sr-Cyrl-CS" w:eastAsia="sr-Cyrl-RS"/>
        </w:rPr>
      </w:pPr>
      <w:r w:rsidRPr="003D5B5E">
        <w:rPr>
          <w:lang w:val="sr-Cyrl-CS" w:eastAsia="sr-Cyrl-RS"/>
        </w:rPr>
        <w:t xml:space="preserve">2) за део који би требало да покрије увозне или извозне дажбине и друге дажбине које би могле настати, референтни износ </w:t>
      </w:r>
      <w:r w:rsidR="009E1054" w:rsidRPr="003D5B5E">
        <w:rPr>
          <w:lang w:val="sr-Cyrl-CS" w:eastAsia="sr-Cyrl-RS"/>
        </w:rPr>
        <w:t xml:space="preserve">мора да </w:t>
      </w:r>
      <w:r w:rsidRPr="003D5B5E">
        <w:rPr>
          <w:lang w:val="sr-Cyrl-CS" w:eastAsia="sr-Cyrl-RS"/>
        </w:rPr>
        <w:t xml:space="preserve">одговара износу увозних или извозних дажбина и других дажбина које могу доспети у вези са сваком декларацијом или декларацијом за привремени смештај за које се полаже обезбеђење, у периоду од стављања робе у одговарајући царински поступак или привремени смештај до тренутка окончања поступка или окончања надзора употребе робе у посебне сврхе или привременог смештаја. </w:t>
      </w:r>
    </w:p>
    <w:p w14:paraId="0ACF85A9" w14:textId="22159605" w:rsidR="009F6F2E" w:rsidRPr="003D5B5E" w:rsidRDefault="009F6F2E" w:rsidP="00A137B0">
      <w:pPr>
        <w:ind w:left="13" w:right="535" w:hanging="8"/>
        <w:jc w:val="both"/>
        <w:rPr>
          <w:lang w:val="sr-Cyrl-CS" w:eastAsia="sr-Cyrl-RS"/>
        </w:rPr>
      </w:pPr>
      <w:r w:rsidRPr="003D5B5E">
        <w:rPr>
          <w:lang w:val="sr-Cyrl-CS" w:eastAsia="sr-Cyrl-RS"/>
        </w:rPr>
        <w:t xml:space="preserve">           За </w:t>
      </w:r>
      <w:r w:rsidR="009E1054" w:rsidRPr="003D5B5E">
        <w:rPr>
          <w:lang w:val="sr-Cyrl-CS" w:eastAsia="sr-Cyrl-RS"/>
        </w:rPr>
        <w:t xml:space="preserve">примену </w:t>
      </w:r>
      <w:r w:rsidRPr="003D5B5E">
        <w:rPr>
          <w:lang w:val="sr-Cyrl-CS" w:eastAsia="sr-Cyrl-RS"/>
        </w:rPr>
        <w:t xml:space="preserve">става 3. тачке 2) овог члана узимају се у обзир највише стопе увозних или извозних дажбина које се примењују на робу исте врсте и највише стопе других дажбина које се плаћају у вези са увозом или извозом робе исте врсте. </w:t>
      </w:r>
    </w:p>
    <w:p w14:paraId="564761FC" w14:textId="3A4F7435" w:rsidR="009F6F2E" w:rsidRPr="003D5B5E" w:rsidRDefault="009F6F2E" w:rsidP="00A137B0">
      <w:pPr>
        <w:ind w:left="13" w:right="535" w:hanging="8"/>
        <w:jc w:val="both"/>
        <w:rPr>
          <w:lang w:val="sr-Cyrl-CS" w:eastAsia="sr-Cyrl-RS"/>
        </w:rPr>
      </w:pPr>
      <w:r w:rsidRPr="003D5B5E">
        <w:rPr>
          <w:lang w:val="sr-Cyrl-CS" w:eastAsia="sr-Cyrl-RS"/>
        </w:rPr>
        <w:t xml:space="preserve">           Ако информације неопходне за утврђивање дела референтног износа у складу са ставом 3. овог члана нису доступне царинском органу обезбеђења, тај износ се утврђује на 10.000 </w:t>
      </w:r>
      <w:r w:rsidR="009E1054" w:rsidRPr="003D5B5E">
        <w:rPr>
          <w:lang w:val="sr-Cyrl-CS" w:eastAsia="sr-Cyrl-RS"/>
        </w:rPr>
        <w:t xml:space="preserve">евра </w:t>
      </w:r>
      <w:r w:rsidRPr="003D5B5E">
        <w:rPr>
          <w:lang w:val="sr-Cyrl-CS" w:eastAsia="sr-Cyrl-RS"/>
        </w:rPr>
        <w:t xml:space="preserve">у динарској противвредности за сваку декларацију. </w:t>
      </w:r>
    </w:p>
    <w:p w14:paraId="0B86E63A" w14:textId="56051AFD" w:rsidR="009F6F2E" w:rsidRPr="003D5B5E" w:rsidRDefault="009F6F2E" w:rsidP="00A137B0">
      <w:pPr>
        <w:ind w:left="13" w:right="535"/>
        <w:jc w:val="both"/>
        <w:rPr>
          <w:lang w:val="sr-Cyrl-CS" w:eastAsia="sr-Cyrl-RS"/>
        </w:rPr>
      </w:pPr>
      <w:r w:rsidRPr="003D5B5E">
        <w:rPr>
          <w:lang w:val="sr-Cyrl-CS" w:eastAsia="sr-Cyrl-RS"/>
        </w:rPr>
        <w:t xml:space="preserve">           Царински орган обезбеђења утврђује референтни износ у сарадњи са лицем од ког се захтева да положи обезбеђење. При одређивању дела референт</w:t>
      </w:r>
      <w:r w:rsidR="00625EA9" w:rsidRPr="003D5B5E">
        <w:rPr>
          <w:lang w:val="sr-Cyrl-CS" w:eastAsia="sr-Cyrl-RS"/>
        </w:rPr>
        <w:t>ног износа у складу са ст</w:t>
      </w:r>
      <w:r w:rsidR="009E1054" w:rsidRPr="003D5B5E">
        <w:rPr>
          <w:lang w:val="sr-Cyrl-CS" w:eastAsia="sr-Cyrl-RS"/>
        </w:rPr>
        <w:t xml:space="preserve">. </w:t>
      </w:r>
      <w:r w:rsidR="00625EA9" w:rsidRPr="003D5B5E">
        <w:rPr>
          <w:lang w:val="sr-Cyrl-CS" w:eastAsia="sr-Cyrl-RS"/>
        </w:rPr>
        <w:t>3 – 5</w:t>
      </w:r>
      <w:r w:rsidRPr="003D5B5E">
        <w:rPr>
          <w:lang w:val="sr-Cyrl-CS" w:eastAsia="sr-Cyrl-RS"/>
        </w:rPr>
        <w:t xml:space="preserve"> овог члана, царински орган обезбеђења утврђује тај износ на основу информација о роби која је стављена у одговарајуће царинске поступке или привремени смештај током претходних 12 месеци као и на основу процене обима намераваних поступака </w:t>
      </w:r>
      <w:r w:rsidR="009E1054" w:rsidRPr="003D5B5E">
        <w:rPr>
          <w:lang w:val="sr-Cyrl-CS" w:eastAsia="sr-Cyrl-RS"/>
        </w:rPr>
        <w:t>који је видљив</w:t>
      </w:r>
      <w:r w:rsidRPr="003D5B5E">
        <w:rPr>
          <w:lang w:val="sr-Cyrl-CS" w:eastAsia="sr-Cyrl-RS"/>
        </w:rPr>
        <w:t xml:space="preserve">, између осталог, из комерцијалних исправа и рачуноводствених евиденција лица од ког се захтева да положи обезбеђење. </w:t>
      </w:r>
    </w:p>
    <w:p w14:paraId="513B0534" w14:textId="5D8AEFE6" w:rsidR="009F6F2E" w:rsidRPr="003D5B5E" w:rsidRDefault="009F6F2E" w:rsidP="00A137B0">
      <w:pPr>
        <w:ind w:left="13" w:right="535"/>
        <w:jc w:val="both"/>
        <w:rPr>
          <w:lang w:val="sr-Cyrl-CS" w:eastAsia="sr-Cyrl-RS"/>
        </w:rPr>
      </w:pPr>
      <w:r w:rsidRPr="003D5B5E">
        <w:rPr>
          <w:lang w:val="sr-Cyrl-CS" w:eastAsia="sr-Cyrl-RS"/>
        </w:rPr>
        <w:t xml:space="preserve">           Царински орган обезбеђења преиспитује референтни износ по службеној дужности или на захтев лица од ког се захтева да положи обезбеђење и прилагођава референтн</w:t>
      </w:r>
      <w:r w:rsidR="009E1054" w:rsidRPr="003D5B5E">
        <w:rPr>
          <w:lang w:val="sr-Cyrl-CS" w:eastAsia="sr-Cyrl-RS"/>
        </w:rPr>
        <w:t>и</w:t>
      </w:r>
      <w:r w:rsidRPr="003D5B5E">
        <w:rPr>
          <w:lang w:val="sr-Cyrl-CS" w:eastAsia="sr-Cyrl-RS"/>
        </w:rPr>
        <w:t xml:space="preserve"> износ, у складу са одредбама овог члана и члана 78. Царинског закона.”</w:t>
      </w:r>
    </w:p>
    <w:p w14:paraId="36222D50" w14:textId="77777777" w:rsidR="00220890" w:rsidRPr="003D5B5E" w:rsidRDefault="00220890" w:rsidP="00A137B0">
      <w:pPr>
        <w:ind w:left="13" w:right="535"/>
        <w:jc w:val="both"/>
        <w:rPr>
          <w:lang w:val="sr-Cyrl-CS" w:eastAsia="sr-Cyrl-RS"/>
        </w:rPr>
      </w:pPr>
    </w:p>
    <w:p w14:paraId="60437654" w14:textId="6DF700F0" w:rsidR="009F6F2E" w:rsidRPr="003D5B5E" w:rsidRDefault="009F6F2E"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lang w:val="sr-Cyrl-CS"/>
        </w:rPr>
      </w:pPr>
      <w:r w:rsidRPr="003D5B5E">
        <w:rPr>
          <w:rFonts w:ascii="Times New Roman" w:hAnsi="Times New Roman" w:cs="Times New Roman"/>
          <w:i w:val="0"/>
          <w:iCs w:val="0"/>
          <w:lang w:val="sr-Cyrl-CS"/>
        </w:rPr>
        <w:t>Члан 1</w:t>
      </w:r>
      <w:r w:rsidR="00532054" w:rsidRPr="003D5B5E">
        <w:rPr>
          <w:rFonts w:ascii="Times New Roman" w:hAnsi="Times New Roman" w:cs="Times New Roman"/>
          <w:i w:val="0"/>
          <w:iCs w:val="0"/>
          <w:lang w:val="sr-Cyrl-CS"/>
        </w:rPr>
        <w:t>5</w:t>
      </w:r>
      <w:r w:rsidRPr="003D5B5E">
        <w:rPr>
          <w:rFonts w:ascii="Times New Roman" w:hAnsi="Times New Roman" w:cs="Times New Roman"/>
          <w:i w:val="0"/>
          <w:iCs w:val="0"/>
          <w:lang w:val="sr-Cyrl-CS"/>
        </w:rPr>
        <w:t>.</w:t>
      </w:r>
      <w:r w:rsidRPr="003D5B5E">
        <w:rPr>
          <w:rFonts w:ascii="Times New Roman" w:hAnsi="Times New Roman" w:cs="Times New Roman"/>
          <w:lang w:val="sr-Cyrl-CS"/>
        </w:rPr>
        <w:t xml:space="preserve"> </w:t>
      </w:r>
    </w:p>
    <w:p w14:paraId="171F5793" w14:textId="63633F1E" w:rsidR="009F6F2E" w:rsidRPr="003D5B5E" w:rsidRDefault="009F6F2E" w:rsidP="00A137B0">
      <w:pPr>
        <w:ind w:left="13" w:right="535" w:firstLine="707"/>
        <w:jc w:val="both"/>
        <w:rPr>
          <w:lang w:val="sr-Cyrl-CS" w:eastAsia="sr-Cyrl-RS"/>
        </w:rPr>
      </w:pPr>
      <w:r w:rsidRPr="003D5B5E">
        <w:rPr>
          <w:lang w:val="sr-Cyrl-CS" w:eastAsia="sr-Cyrl-RS"/>
        </w:rPr>
        <w:t>Члан 152. мења се и гласи:</w:t>
      </w:r>
    </w:p>
    <w:p w14:paraId="717944A7" w14:textId="77777777" w:rsidR="00220890" w:rsidRPr="003D5B5E" w:rsidRDefault="00220890" w:rsidP="00A137B0">
      <w:pPr>
        <w:ind w:left="13" w:right="535" w:firstLine="707"/>
        <w:jc w:val="both"/>
        <w:rPr>
          <w:lang w:val="sr-Cyrl-CS" w:eastAsia="sr-Cyrl-RS"/>
        </w:rPr>
      </w:pPr>
    </w:p>
    <w:p w14:paraId="286F5AD3" w14:textId="77777777" w:rsidR="009F6F2E" w:rsidRPr="003D5B5E" w:rsidRDefault="009F6F2E" w:rsidP="00A137B0">
      <w:pPr>
        <w:ind w:left="13" w:right="535"/>
        <w:jc w:val="center"/>
        <w:rPr>
          <w:lang w:val="sr-Cyrl-CS" w:eastAsia="sr-Cyrl-RS"/>
        </w:rPr>
      </w:pPr>
      <w:r w:rsidRPr="003D5B5E">
        <w:rPr>
          <w:lang w:val="sr-Cyrl-CS" w:eastAsia="sr-Cyrl-RS"/>
        </w:rPr>
        <w:t>„Члан 152.</w:t>
      </w:r>
    </w:p>
    <w:p w14:paraId="63A42E35" w14:textId="42C57447" w:rsidR="001E1FE8" w:rsidRPr="003D5B5E" w:rsidRDefault="009F6F2E" w:rsidP="003E1555">
      <w:pPr>
        <w:ind w:left="13" w:right="535" w:firstLine="707"/>
        <w:jc w:val="both"/>
        <w:rPr>
          <w:lang w:val="sr-Cyrl-CS" w:eastAsia="sr-Cyrl-RS"/>
        </w:rPr>
      </w:pPr>
      <w:r w:rsidRPr="003D5B5E">
        <w:rPr>
          <w:lang w:val="sr-Cyrl-CS" w:eastAsia="sr-Cyrl-RS"/>
        </w:rPr>
        <w:t xml:space="preserve">Надзор над делом референтног износа који покрива износ увозних или извозних дажбина и других дажбина које се плаћају у вези са увозом или извозом робе, које ће настати у поступку стављања у слободан промет, осигурава се </w:t>
      </w:r>
      <w:r w:rsidR="00BD245D" w:rsidRPr="003D5B5E">
        <w:rPr>
          <w:lang w:val="sr-Cyrl-CS" w:eastAsia="sr-Cyrl-RS"/>
        </w:rPr>
        <w:t>за сваку</w:t>
      </w:r>
      <w:r w:rsidRPr="003D5B5E">
        <w:rPr>
          <w:lang w:val="sr-Cyrl-CS" w:eastAsia="sr-Cyrl-RS"/>
        </w:rPr>
        <w:t xml:space="preserve"> декларацију у тренутку стављања робе у </w:t>
      </w:r>
      <w:r w:rsidR="001E1FE8" w:rsidRPr="003D5B5E">
        <w:rPr>
          <w:lang w:val="sr-Cyrl-CS" w:eastAsia="sr-Cyrl-RS"/>
        </w:rPr>
        <w:t xml:space="preserve">тај </w:t>
      </w:r>
      <w:r w:rsidRPr="003D5B5E">
        <w:rPr>
          <w:lang w:val="sr-Cyrl-CS" w:eastAsia="sr-Cyrl-RS"/>
        </w:rPr>
        <w:t xml:space="preserve">поступак. Ако се декларације за стављање у слободан промет подносе у складу са одобрењем из члана 145. став 2. или члана 158. Царинског закона, надзор над одговарајућим делом референтног износа осигурава се на основу допунских декларација или, ако је примењиво, на основу података евидентираних у </w:t>
      </w:r>
      <w:r w:rsidR="001E1FE8" w:rsidRPr="003D5B5E">
        <w:rPr>
          <w:lang w:val="sr-Cyrl-CS" w:eastAsia="sr-Cyrl-RS"/>
        </w:rPr>
        <w:t>пословним књигама декларанта.</w:t>
      </w:r>
    </w:p>
    <w:p w14:paraId="1AF22F6D" w14:textId="77777777" w:rsidR="00D02138" w:rsidRPr="003D5B5E" w:rsidRDefault="009F6F2E" w:rsidP="00A137B0">
      <w:pPr>
        <w:ind w:left="13" w:right="535" w:firstLine="707"/>
        <w:jc w:val="both"/>
        <w:rPr>
          <w:lang w:val="sr-Cyrl-CS" w:eastAsia="sr-Cyrl-RS"/>
        </w:rPr>
      </w:pPr>
      <w:r w:rsidRPr="003D5B5E">
        <w:rPr>
          <w:lang w:val="sr-Cyrl-CS" w:eastAsia="sr-Cyrl-RS"/>
        </w:rPr>
        <w:t>Надзор над делом референтног износа који покрива износ увозних или извозних дажбина и других дажбина које се плаћају у вези са увозом или извозом робе, које могу настати у вези са робом стављеном у национални поступак транзита, осигурава се употребом електронског система из члана 302. став 1. ове уредбе, за сваку декларацију</w:t>
      </w:r>
    </w:p>
    <w:p w14:paraId="0875F439" w14:textId="77777777" w:rsidR="00D02138" w:rsidRPr="003D5B5E" w:rsidRDefault="00D02138" w:rsidP="00A137B0">
      <w:pPr>
        <w:ind w:left="13" w:right="535" w:firstLine="707"/>
        <w:jc w:val="both"/>
        <w:rPr>
          <w:lang w:val="sr-Cyrl-CS" w:eastAsia="sr-Cyrl-RS"/>
        </w:rPr>
      </w:pPr>
    </w:p>
    <w:p w14:paraId="09D2BF7D" w14:textId="77777777" w:rsidR="00D02138" w:rsidRPr="003D5B5E" w:rsidRDefault="00D02138" w:rsidP="00A137B0">
      <w:pPr>
        <w:ind w:left="13" w:right="535" w:firstLine="707"/>
        <w:jc w:val="both"/>
        <w:rPr>
          <w:lang w:val="sr-Cyrl-CS" w:eastAsia="sr-Cyrl-RS"/>
        </w:rPr>
      </w:pPr>
    </w:p>
    <w:p w14:paraId="2DAC6452" w14:textId="4090B093" w:rsidR="009F6F2E" w:rsidRPr="003D5B5E" w:rsidRDefault="009F6F2E" w:rsidP="00D02138">
      <w:pPr>
        <w:ind w:left="13" w:right="535" w:hanging="13"/>
        <w:jc w:val="both"/>
        <w:rPr>
          <w:lang w:val="sr-Cyrl-CS" w:eastAsia="sr-Cyrl-RS"/>
        </w:rPr>
      </w:pPr>
      <w:r w:rsidRPr="003D5B5E">
        <w:rPr>
          <w:lang w:val="sr-Cyrl-CS" w:eastAsia="sr-Cyrl-RS"/>
        </w:rPr>
        <w:t xml:space="preserve"> у тренутку стављања робе у поступак. </w:t>
      </w:r>
      <w:r w:rsidR="001E1FE8" w:rsidRPr="003D5B5E">
        <w:rPr>
          <w:lang w:val="sr-Cyrl-CS" w:eastAsia="sr-Cyrl-RS"/>
        </w:rPr>
        <w:t>Н</w:t>
      </w:r>
      <w:r w:rsidRPr="003D5B5E">
        <w:rPr>
          <w:lang w:val="sr-Cyrl-CS" w:eastAsia="sr-Cyrl-RS"/>
        </w:rPr>
        <w:t xml:space="preserve">адзор се не примењује за робу стављену у национални поступак транзита </w:t>
      </w:r>
      <w:r w:rsidR="001E1FE8" w:rsidRPr="003D5B5E">
        <w:rPr>
          <w:lang w:val="sr-Cyrl-CS" w:eastAsia="sr-Cyrl-RS"/>
        </w:rPr>
        <w:t xml:space="preserve">применом </w:t>
      </w:r>
      <w:r w:rsidRPr="003D5B5E">
        <w:rPr>
          <w:lang w:val="sr-Cyrl-CS" w:eastAsia="sr-Cyrl-RS"/>
        </w:rPr>
        <w:t xml:space="preserve">поједностављења из члана 199. став 4. тачка 5) Царинског закона ако се декларација не обрађује у електронском систему из члана 302. став 1. ове уредбе. </w:t>
      </w:r>
    </w:p>
    <w:p w14:paraId="39CAF222" w14:textId="1AB6CDE6" w:rsidR="009F6F2E" w:rsidRPr="003D5B5E" w:rsidRDefault="00821E3E" w:rsidP="00A137B0">
      <w:pPr>
        <w:ind w:right="535"/>
        <w:jc w:val="both"/>
        <w:rPr>
          <w:lang w:val="sr-Cyrl-CS" w:eastAsia="sr-Cyrl-RS"/>
        </w:rPr>
      </w:pPr>
      <w:r w:rsidRPr="003D5B5E">
        <w:rPr>
          <w:lang w:val="sr-Cyrl-CS" w:eastAsia="sr-Cyrl-RS"/>
        </w:rPr>
        <w:t xml:space="preserve">         </w:t>
      </w:r>
      <w:r w:rsidR="009F6F2E" w:rsidRPr="003D5B5E">
        <w:rPr>
          <w:lang w:val="sr-Cyrl-CS" w:eastAsia="sr-Cyrl-RS"/>
        </w:rPr>
        <w:t xml:space="preserve">Надзор над делом референтног износа који покрива износ увозних или извозних дажбина и других дажбина које се плаћају у вези са увозом или извозом робе, </w:t>
      </w:r>
      <w:r w:rsidR="001E1FE8" w:rsidRPr="003D5B5E">
        <w:rPr>
          <w:lang w:val="sr-Cyrl-CS" w:eastAsia="sr-Cyrl-RS"/>
        </w:rPr>
        <w:t xml:space="preserve">за </w:t>
      </w:r>
      <w:r w:rsidR="009F6F2E" w:rsidRPr="003D5B5E">
        <w:rPr>
          <w:lang w:val="sr-Cyrl-CS" w:eastAsia="sr-Cyrl-RS"/>
        </w:rPr>
        <w:t>које се мора</w:t>
      </w:r>
      <w:r w:rsidR="00B70FB6" w:rsidRPr="003D5B5E">
        <w:rPr>
          <w:lang w:val="sr-Cyrl-CS" w:eastAsia="sr-Cyrl-RS"/>
        </w:rPr>
        <w:t xml:space="preserve"> </w:t>
      </w:r>
      <w:r w:rsidR="001E1FE8" w:rsidRPr="003D5B5E">
        <w:rPr>
          <w:lang w:val="sr-Cyrl-CS" w:eastAsia="sr-Cyrl-RS"/>
        </w:rPr>
        <w:t xml:space="preserve">положити </w:t>
      </w:r>
      <w:r w:rsidR="009F6F2E" w:rsidRPr="003D5B5E">
        <w:rPr>
          <w:lang w:val="sr-Cyrl-CS" w:eastAsia="sr-Cyrl-RS"/>
        </w:rPr>
        <w:t>обезбеђење и које ће настати или могу наст</w:t>
      </w:r>
      <w:r w:rsidR="00B30784" w:rsidRPr="003D5B5E">
        <w:rPr>
          <w:lang w:val="sr-Cyrl-CS" w:eastAsia="sr-Cyrl-RS"/>
        </w:rPr>
        <w:t>ати у случајевима различитим од случајева</w:t>
      </w:r>
      <w:r w:rsidR="001E1FE8" w:rsidRPr="003D5B5E">
        <w:rPr>
          <w:lang w:val="sr-Cyrl-CS" w:eastAsia="sr-Cyrl-RS"/>
        </w:rPr>
        <w:t xml:space="preserve"> из</w:t>
      </w:r>
      <w:r w:rsidR="009F6F2E" w:rsidRPr="003D5B5E">
        <w:rPr>
          <w:lang w:val="sr-Cyrl-CS" w:eastAsia="sr-Cyrl-RS"/>
        </w:rPr>
        <w:t xml:space="preserve"> ст. 1. и 2. овог члана, осигурава се редовном и примереном контролом.”</w:t>
      </w:r>
      <w:r w:rsidR="00B1025B" w:rsidRPr="003D5B5E">
        <w:rPr>
          <w:lang w:val="sr-Cyrl-CS" w:eastAsia="sr-Cyrl-RS"/>
        </w:rPr>
        <w:t>.</w:t>
      </w:r>
    </w:p>
    <w:p w14:paraId="42FCFE22" w14:textId="77777777" w:rsidR="00B840AA" w:rsidRPr="003D5B5E" w:rsidRDefault="00B840AA" w:rsidP="00A137B0">
      <w:pPr>
        <w:ind w:right="535"/>
        <w:jc w:val="both"/>
        <w:rPr>
          <w:lang w:val="sr-Cyrl-CS" w:eastAsia="sr-Cyrl-RS"/>
        </w:rPr>
      </w:pPr>
    </w:p>
    <w:p w14:paraId="39B7C56A" w14:textId="51F76BA3" w:rsidR="009F6F2E" w:rsidRPr="003D5B5E" w:rsidRDefault="009F6F2E"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Члан 1</w:t>
      </w:r>
      <w:r w:rsidR="00532054" w:rsidRPr="003D5B5E">
        <w:rPr>
          <w:rFonts w:ascii="Times New Roman" w:hAnsi="Times New Roman" w:cs="Times New Roman"/>
          <w:i w:val="0"/>
          <w:iCs w:val="0"/>
          <w:color w:val="000000" w:themeColor="text1"/>
          <w:lang w:val="sr-Cyrl-CS"/>
        </w:rPr>
        <w:t>6</w:t>
      </w:r>
      <w:r w:rsidRPr="003D5B5E">
        <w:rPr>
          <w:rFonts w:ascii="Times New Roman" w:hAnsi="Times New Roman" w:cs="Times New Roman"/>
          <w:i w:val="0"/>
          <w:iCs w:val="0"/>
          <w:color w:val="000000" w:themeColor="text1"/>
          <w:lang w:val="sr-Cyrl-CS"/>
        </w:rPr>
        <w:t>.</w:t>
      </w:r>
      <w:r w:rsidRPr="003D5B5E">
        <w:rPr>
          <w:rFonts w:ascii="Times New Roman" w:hAnsi="Times New Roman" w:cs="Times New Roman"/>
          <w:color w:val="000000" w:themeColor="text1"/>
          <w:lang w:val="sr-Cyrl-CS"/>
        </w:rPr>
        <w:t xml:space="preserve"> </w:t>
      </w:r>
    </w:p>
    <w:p w14:paraId="5A1D3CC9" w14:textId="77777777" w:rsidR="009F6F2E" w:rsidRPr="003D5B5E" w:rsidRDefault="009F6F2E" w:rsidP="00A137B0">
      <w:pPr>
        <w:tabs>
          <w:tab w:val="left" w:pos="851"/>
          <w:tab w:val="left" w:pos="8499"/>
        </w:tabs>
        <w:contextualSpacing/>
        <w:jc w:val="both"/>
        <w:rPr>
          <w:strike/>
          <w:lang w:val="sr-Cyrl-CS"/>
        </w:rPr>
      </w:pPr>
    </w:p>
    <w:p w14:paraId="2EB1DD96" w14:textId="295DA139" w:rsidR="009F6F2E" w:rsidRPr="003D5B5E" w:rsidRDefault="009F6F2E" w:rsidP="00A137B0">
      <w:pPr>
        <w:ind w:right="535" w:firstLine="720"/>
        <w:jc w:val="both"/>
        <w:rPr>
          <w:color w:val="1A171B"/>
          <w:lang w:val="sr-Cyrl-CS" w:eastAsia="sr-Cyrl-RS"/>
        </w:rPr>
      </w:pPr>
      <w:r w:rsidRPr="003D5B5E">
        <w:rPr>
          <w:color w:val="1A171B"/>
          <w:lang w:val="sr-Cyrl-CS" w:eastAsia="sr-Cyrl-RS"/>
        </w:rPr>
        <w:t>Члан 153. мења се и гласи:</w:t>
      </w:r>
    </w:p>
    <w:p w14:paraId="07FECA52" w14:textId="77777777" w:rsidR="00B840AA" w:rsidRPr="003D5B5E" w:rsidRDefault="00B840AA" w:rsidP="00A137B0">
      <w:pPr>
        <w:ind w:right="535" w:firstLine="720"/>
        <w:jc w:val="both"/>
        <w:rPr>
          <w:color w:val="1A171B"/>
          <w:lang w:val="sr-Cyrl-CS" w:eastAsia="sr-Cyrl-RS"/>
        </w:rPr>
      </w:pPr>
    </w:p>
    <w:p w14:paraId="788E92EA" w14:textId="77777777" w:rsidR="009F6F2E" w:rsidRPr="003D5B5E" w:rsidRDefault="00821E3E" w:rsidP="00A137B0">
      <w:pPr>
        <w:ind w:right="535"/>
        <w:jc w:val="center"/>
        <w:rPr>
          <w:bCs/>
          <w:lang w:val="sr-Cyrl-CS"/>
        </w:rPr>
      </w:pPr>
      <w:bookmarkStart w:id="0" w:name="clan_153"/>
      <w:bookmarkEnd w:id="0"/>
      <w:r w:rsidRPr="003D5B5E">
        <w:rPr>
          <w:bCs/>
          <w:lang w:val="sr-Cyrl-CS"/>
        </w:rPr>
        <w:t xml:space="preserve">       </w:t>
      </w:r>
      <w:r w:rsidR="009F6F2E" w:rsidRPr="003D5B5E">
        <w:rPr>
          <w:bCs/>
          <w:lang w:val="sr-Cyrl-CS"/>
        </w:rPr>
        <w:t>„Члан 153.</w:t>
      </w:r>
    </w:p>
    <w:p w14:paraId="10A70988" w14:textId="15D77759" w:rsidR="009F6F2E" w:rsidRPr="003D5B5E" w:rsidRDefault="00821E3E" w:rsidP="00B1025B">
      <w:pPr>
        <w:ind w:firstLine="720"/>
        <w:jc w:val="both"/>
        <w:rPr>
          <w:lang w:val="sr-Cyrl-CS"/>
        </w:rPr>
      </w:pPr>
      <w:r w:rsidRPr="003D5B5E">
        <w:rPr>
          <w:lang w:val="sr-Cyrl-CS"/>
        </w:rPr>
        <w:t xml:space="preserve"> </w:t>
      </w:r>
      <w:r w:rsidR="009F6F2E" w:rsidRPr="003D5B5E">
        <w:rPr>
          <w:lang w:val="sr-Cyrl-CS"/>
        </w:rPr>
        <w:t xml:space="preserve">Ради примене члана 83. став 2. Царинског закона, износ заједничког обезбеђења смањује се на: </w:t>
      </w:r>
    </w:p>
    <w:p w14:paraId="732556E2" w14:textId="316FF980" w:rsidR="009F6F2E" w:rsidRPr="003D5B5E" w:rsidRDefault="00AC7DA1" w:rsidP="00B1025B">
      <w:pPr>
        <w:ind w:firstLine="720"/>
        <w:jc w:val="both"/>
        <w:rPr>
          <w:lang w:val="sr-Cyrl-CS"/>
        </w:rPr>
      </w:pPr>
      <w:r w:rsidRPr="003D5B5E">
        <w:rPr>
          <w:lang w:val="sr-Cyrl-CS"/>
        </w:rPr>
        <w:t xml:space="preserve">1) 50% дела </w:t>
      </w:r>
      <w:r w:rsidR="009F6F2E" w:rsidRPr="003D5B5E">
        <w:rPr>
          <w:lang w:val="sr-Cyrl-CS"/>
        </w:rPr>
        <w:t xml:space="preserve">референтног износа утврђеног у складу са чланом 150. ст. 3 - 5. ове уредбе ако су испуњени услови из члана 154. став 1. ове уредбе; </w:t>
      </w:r>
    </w:p>
    <w:p w14:paraId="7A8309F1" w14:textId="77777777" w:rsidR="009F6F2E" w:rsidRPr="003D5B5E" w:rsidRDefault="009F6F2E" w:rsidP="009431FD">
      <w:pPr>
        <w:ind w:firstLine="720"/>
        <w:jc w:val="both"/>
        <w:rPr>
          <w:lang w:val="sr-Cyrl-CS"/>
        </w:rPr>
      </w:pPr>
      <w:r w:rsidRPr="003D5B5E">
        <w:rPr>
          <w:lang w:val="sr-Cyrl-CS"/>
        </w:rPr>
        <w:t xml:space="preserve">2) 30% дела референтног износа утврђеног у складу са чланом 150. ст. 3 - 5 ове уредбе ако су испуњени услови члана 154. став 2. ове уредбе; </w:t>
      </w:r>
    </w:p>
    <w:p w14:paraId="10216DD9" w14:textId="77777777" w:rsidR="009F6F2E" w:rsidRPr="003D5B5E" w:rsidRDefault="009F6F2E" w:rsidP="009431FD">
      <w:pPr>
        <w:ind w:firstLine="720"/>
        <w:jc w:val="both"/>
        <w:rPr>
          <w:lang w:val="sr-Cyrl-CS"/>
        </w:rPr>
      </w:pPr>
      <w:r w:rsidRPr="003D5B5E">
        <w:rPr>
          <w:lang w:val="sr-Cyrl-CS"/>
        </w:rPr>
        <w:t>3) 0% дела референтног износа утврђеног у складу са чланом 150. ст. 3 - 5. ове уредбе ако су испуњени услови члана 154. став 3. ове уредбе.</w:t>
      </w:r>
    </w:p>
    <w:p w14:paraId="6D7FC4B8" w14:textId="535841F3" w:rsidR="009F6F2E" w:rsidRPr="003D5B5E" w:rsidRDefault="00821E3E" w:rsidP="00A137B0">
      <w:pPr>
        <w:jc w:val="both"/>
        <w:rPr>
          <w:lang w:val="sr-Cyrl-CS"/>
        </w:rPr>
      </w:pPr>
      <w:r w:rsidRPr="003D5B5E">
        <w:rPr>
          <w:lang w:val="sr-Cyrl-CS"/>
        </w:rPr>
        <w:t xml:space="preserve">    </w:t>
      </w:r>
      <w:r w:rsidR="009431FD" w:rsidRPr="003D5B5E">
        <w:rPr>
          <w:lang w:val="sr-Cyrl-CS"/>
        </w:rPr>
        <w:tab/>
      </w:r>
      <w:r w:rsidRPr="003D5B5E">
        <w:rPr>
          <w:lang w:val="sr-Cyrl-CS"/>
        </w:rPr>
        <w:t xml:space="preserve"> </w:t>
      </w:r>
      <w:r w:rsidR="009F6F2E" w:rsidRPr="003D5B5E">
        <w:rPr>
          <w:lang w:val="sr-Cyrl-CS"/>
        </w:rPr>
        <w:t xml:space="preserve">За </w:t>
      </w:r>
      <w:r w:rsidR="001E1FE8" w:rsidRPr="003D5B5E">
        <w:rPr>
          <w:lang w:val="sr-Cyrl-CS"/>
        </w:rPr>
        <w:t xml:space="preserve">примену </w:t>
      </w:r>
      <w:r w:rsidR="009F6F2E" w:rsidRPr="003D5B5E">
        <w:rPr>
          <w:lang w:val="sr-Cyrl-CS"/>
        </w:rPr>
        <w:t xml:space="preserve">члана 83. став 3. Царинског закона, износ заједничког обезбеђења смањује се на 30% дела референтног износа утврђеног у складу са чланом 150. став 2. </w:t>
      </w:r>
      <w:r w:rsidR="00996FA2" w:rsidRPr="003D5B5E">
        <w:rPr>
          <w:lang w:val="sr-Cyrl-CS"/>
        </w:rPr>
        <w:t>и</w:t>
      </w:r>
      <w:r w:rsidR="009F6F2E" w:rsidRPr="003D5B5E">
        <w:rPr>
          <w:lang w:val="sr-Cyrl-CS"/>
        </w:rPr>
        <w:t xml:space="preserve"> став 3. тачка 1) ове уредбе. </w:t>
      </w:r>
    </w:p>
    <w:p w14:paraId="46AC6F50" w14:textId="77777777" w:rsidR="00B840AA" w:rsidRPr="003D5B5E" w:rsidRDefault="00B840AA" w:rsidP="00A137B0">
      <w:pPr>
        <w:jc w:val="both"/>
        <w:rPr>
          <w:lang w:val="sr-Cyrl-CS"/>
        </w:rPr>
      </w:pPr>
    </w:p>
    <w:p w14:paraId="59AAAB19" w14:textId="4408950A"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color w:val="000000" w:themeColor="text1"/>
          <w:lang w:val="sr-Cyrl-CS"/>
        </w:rPr>
      </w:pPr>
      <w:r w:rsidRPr="003D5B5E">
        <w:rPr>
          <w:rFonts w:ascii="Times New Roman" w:hAnsi="Times New Roman" w:cs="Times New Roman"/>
          <w:i w:val="0"/>
          <w:iCs w:val="0"/>
          <w:color w:val="000000" w:themeColor="text1"/>
          <w:lang w:val="sr-Cyrl-CS"/>
        </w:rPr>
        <w:t xml:space="preserve"> Члан 1</w:t>
      </w:r>
      <w:r w:rsidR="00532054" w:rsidRPr="003D5B5E">
        <w:rPr>
          <w:rFonts w:ascii="Times New Roman" w:hAnsi="Times New Roman" w:cs="Times New Roman"/>
          <w:i w:val="0"/>
          <w:iCs w:val="0"/>
          <w:color w:val="000000" w:themeColor="text1"/>
          <w:lang w:val="sr-Cyrl-CS"/>
        </w:rPr>
        <w:t>7</w:t>
      </w:r>
      <w:r w:rsidRPr="003D5B5E">
        <w:rPr>
          <w:rFonts w:ascii="Times New Roman" w:hAnsi="Times New Roman" w:cs="Times New Roman"/>
          <w:i w:val="0"/>
          <w:iCs w:val="0"/>
          <w:color w:val="000000" w:themeColor="text1"/>
          <w:lang w:val="sr-Cyrl-CS"/>
        </w:rPr>
        <w:t>.</w:t>
      </w:r>
      <w:r w:rsidRPr="003D5B5E">
        <w:rPr>
          <w:rFonts w:ascii="Times New Roman" w:hAnsi="Times New Roman" w:cs="Times New Roman"/>
          <w:color w:val="000000" w:themeColor="text1"/>
          <w:lang w:val="sr-Cyrl-CS"/>
        </w:rPr>
        <w:t xml:space="preserve"> </w:t>
      </w:r>
    </w:p>
    <w:p w14:paraId="3A9F1306" w14:textId="195E3658" w:rsidR="00AC7DA1" w:rsidRPr="003D5B5E" w:rsidRDefault="00821E3E" w:rsidP="00263947">
      <w:pPr>
        <w:tabs>
          <w:tab w:val="left" w:pos="709"/>
        </w:tabs>
        <w:jc w:val="both"/>
        <w:rPr>
          <w:lang w:val="sr-Cyrl-CS"/>
        </w:rPr>
      </w:pPr>
      <w:r w:rsidRPr="003D5B5E">
        <w:rPr>
          <w:rFonts w:eastAsia="Calibri"/>
          <w:i/>
          <w:iCs/>
          <w:kern w:val="3"/>
          <w:lang w:val="sr-Cyrl-CS"/>
        </w:rPr>
        <w:t xml:space="preserve">       </w:t>
      </w:r>
      <w:r w:rsidR="00AC7DA1" w:rsidRPr="003D5B5E">
        <w:rPr>
          <w:rFonts w:eastAsia="Calibri"/>
          <w:i/>
          <w:iCs/>
          <w:kern w:val="3"/>
          <w:lang w:val="sr-Cyrl-CS"/>
        </w:rPr>
        <w:tab/>
      </w:r>
      <w:r w:rsidRPr="003D5B5E">
        <w:rPr>
          <w:lang w:val="sr-Cyrl-CS"/>
        </w:rPr>
        <w:t xml:space="preserve">У члану 154. став 1. </w:t>
      </w:r>
      <w:r w:rsidR="009A1502" w:rsidRPr="003D5B5E">
        <w:rPr>
          <w:lang w:val="sr-Cyrl-CS"/>
        </w:rPr>
        <w:t xml:space="preserve">у </w:t>
      </w:r>
      <w:r w:rsidR="00AC7DA1" w:rsidRPr="003D5B5E">
        <w:rPr>
          <w:lang w:val="sr-Cyrl-CS"/>
        </w:rPr>
        <w:t>т</w:t>
      </w:r>
      <w:r w:rsidR="009A1502" w:rsidRPr="003D5B5E">
        <w:rPr>
          <w:lang w:val="sr-Cyrl-CS"/>
        </w:rPr>
        <w:t>ачки</w:t>
      </w:r>
      <w:r w:rsidR="00AC7DA1" w:rsidRPr="003D5B5E">
        <w:rPr>
          <w:lang w:val="sr-Cyrl-CS"/>
        </w:rPr>
        <w:t xml:space="preserve"> 5) тачка запета на крају замењује се тачком.</w:t>
      </w:r>
    </w:p>
    <w:p w14:paraId="0A3B2A0B" w14:textId="5953B1AC" w:rsidR="00AC7DA1" w:rsidRPr="003D5B5E" w:rsidRDefault="009A1502" w:rsidP="00AC7DA1">
      <w:pPr>
        <w:ind w:firstLine="720"/>
        <w:jc w:val="both"/>
        <w:rPr>
          <w:lang w:val="sr-Cyrl-CS"/>
        </w:rPr>
      </w:pPr>
      <w:r w:rsidRPr="003D5B5E">
        <w:rPr>
          <w:lang w:val="sr-Cyrl-CS"/>
        </w:rPr>
        <w:t>У ставу 1. т</w:t>
      </w:r>
      <w:r w:rsidR="00AC7DA1" w:rsidRPr="003D5B5E">
        <w:rPr>
          <w:lang w:val="sr-Cyrl-CS"/>
        </w:rPr>
        <w:t>ачка 6) брише се.</w:t>
      </w:r>
    </w:p>
    <w:p w14:paraId="03550CBF" w14:textId="1D61B539" w:rsidR="00E226EF" w:rsidRPr="003D5B5E" w:rsidRDefault="00AC7DA1" w:rsidP="00AC7DA1">
      <w:pPr>
        <w:ind w:firstLine="720"/>
        <w:jc w:val="both"/>
        <w:rPr>
          <w:lang w:val="sr-Cyrl-CS"/>
        </w:rPr>
      </w:pPr>
      <w:r w:rsidRPr="003D5B5E">
        <w:rPr>
          <w:lang w:val="sr-Cyrl-CS"/>
        </w:rPr>
        <w:t xml:space="preserve">У ставу </w:t>
      </w:r>
      <w:r w:rsidR="00821E3E" w:rsidRPr="003D5B5E">
        <w:rPr>
          <w:lang w:val="sr-Cyrl-CS"/>
        </w:rPr>
        <w:t>2.</w:t>
      </w:r>
      <w:r w:rsidR="009A1502" w:rsidRPr="003D5B5E">
        <w:rPr>
          <w:lang w:val="sr-Cyrl-CS"/>
        </w:rPr>
        <w:t xml:space="preserve"> у тачки</w:t>
      </w:r>
      <w:r w:rsidR="00821E3E" w:rsidRPr="003D5B5E">
        <w:rPr>
          <w:lang w:val="sr-Cyrl-CS"/>
        </w:rPr>
        <w:t xml:space="preserve"> </w:t>
      </w:r>
      <w:r w:rsidR="00E226EF" w:rsidRPr="003D5B5E">
        <w:rPr>
          <w:lang w:val="sr-Cyrl-CS"/>
        </w:rPr>
        <w:t>6) тачка запета на крају замењује се тачком.</w:t>
      </w:r>
    </w:p>
    <w:p w14:paraId="7754042C" w14:textId="57061CF7" w:rsidR="00E226EF" w:rsidRPr="003D5B5E" w:rsidRDefault="00E226EF" w:rsidP="00AC7DA1">
      <w:pPr>
        <w:ind w:firstLine="720"/>
        <w:jc w:val="both"/>
        <w:rPr>
          <w:lang w:val="sr-Cyrl-CS"/>
        </w:rPr>
      </w:pPr>
      <w:r w:rsidRPr="003D5B5E">
        <w:rPr>
          <w:lang w:val="sr-Cyrl-CS"/>
        </w:rPr>
        <w:t xml:space="preserve">Тачка </w:t>
      </w:r>
      <w:r w:rsidR="00821E3E" w:rsidRPr="003D5B5E">
        <w:rPr>
          <w:lang w:val="sr-Cyrl-CS"/>
        </w:rPr>
        <w:t xml:space="preserve">7) </w:t>
      </w:r>
      <w:r w:rsidRPr="003D5B5E">
        <w:rPr>
          <w:lang w:val="sr-Cyrl-CS"/>
        </w:rPr>
        <w:t>брише се.</w:t>
      </w:r>
    </w:p>
    <w:p w14:paraId="79143F5C" w14:textId="11A9EE59" w:rsidR="00E226EF" w:rsidRPr="003D5B5E" w:rsidRDefault="00E226EF" w:rsidP="00AC7DA1">
      <w:pPr>
        <w:ind w:firstLine="720"/>
        <w:jc w:val="both"/>
        <w:rPr>
          <w:lang w:val="sr-Cyrl-CS"/>
        </w:rPr>
      </w:pPr>
      <w:r w:rsidRPr="003D5B5E">
        <w:rPr>
          <w:lang w:val="sr-Cyrl-CS"/>
        </w:rPr>
        <w:t xml:space="preserve">У ставу 3) </w:t>
      </w:r>
      <w:r w:rsidR="009A1502" w:rsidRPr="003D5B5E">
        <w:rPr>
          <w:lang w:val="sr-Cyrl-CS"/>
        </w:rPr>
        <w:t>у тачки</w:t>
      </w:r>
      <w:r w:rsidRPr="003D5B5E">
        <w:rPr>
          <w:lang w:val="sr-Cyrl-CS"/>
        </w:rPr>
        <w:t xml:space="preserve"> 11) тачка запета на крају замењује се тачком.</w:t>
      </w:r>
    </w:p>
    <w:p w14:paraId="0372B96C" w14:textId="091BDA0B" w:rsidR="00821E3E" w:rsidRPr="003D5B5E" w:rsidRDefault="00E226EF" w:rsidP="00AC7DA1">
      <w:pPr>
        <w:ind w:firstLine="720"/>
        <w:jc w:val="both"/>
        <w:rPr>
          <w:lang w:val="sr-Cyrl-CS"/>
        </w:rPr>
      </w:pPr>
      <w:r w:rsidRPr="003D5B5E">
        <w:rPr>
          <w:lang w:val="sr-Cyrl-CS"/>
        </w:rPr>
        <w:t>Тачка 12) брише</w:t>
      </w:r>
      <w:r w:rsidR="00821E3E" w:rsidRPr="003D5B5E">
        <w:rPr>
          <w:lang w:val="sr-Cyrl-CS"/>
        </w:rPr>
        <w:t xml:space="preserve"> се.</w:t>
      </w:r>
    </w:p>
    <w:p w14:paraId="634027D1" w14:textId="29FBD6D6" w:rsidR="00821E3E" w:rsidRPr="003D5B5E" w:rsidRDefault="00821E3E" w:rsidP="00A137B0">
      <w:pPr>
        <w:jc w:val="both"/>
        <w:rPr>
          <w:lang w:val="sr-Cyrl-CS"/>
        </w:rPr>
      </w:pPr>
      <w:r w:rsidRPr="003D5B5E">
        <w:rPr>
          <w:rFonts w:eastAsia="Calibri"/>
          <w:i/>
          <w:iCs/>
          <w:kern w:val="3"/>
          <w:lang w:val="sr-Cyrl-CS"/>
        </w:rPr>
        <w:t xml:space="preserve">      </w:t>
      </w:r>
      <w:r w:rsidR="00A00006" w:rsidRPr="003D5B5E">
        <w:rPr>
          <w:rFonts w:eastAsia="Calibri"/>
          <w:i/>
          <w:iCs/>
          <w:kern w:val="3"/>
          <w:lang w:val="sr-Cyrl-CS"/>
        </w:rPr>
        <w:tab/>
      </w:r>
      <w:r w:rsidRPr="003D5B5E">
        <w:rPr>
          <w:rFonts w:eastAsia="Calibri"/>
          <w:i/>
          <w:iCs/>
          <w:kern w:val="3"/>
          <w:lang w:val="sr-Cyrl-CS"/>
        </w:rPr>
        <w:t xml:space="preserve"> </w:t>
      </w:r>
      <w:r w:rsidRPr="003D5B5E">
        <w:rPr>
          <w:lang w:val="sr-Cyrl-CS"/>
        </w:rPr>
        <w:t xml:space="preserve">После става 3. </w:t>
      </w:r>
      <w:r w:rsidR="00687E54" w:rsidRPr="003D5B5E">
        <w:rPr>
          <w:lang w:val="sr-Cyrl-CS"/>
        </w:rPr>
        <w:t>д</w:t>
      </w:r>
      <w:r w:rsidRPr="003D5B5E">
        <w:rPr>
          <w:lang w:val="sr-Cyrl-CS"/>
        </w:rPr>
        <w:t>одају</w:t>
      </w:r>
      <w:r w:rsidR="00687E54" w:rsidRPr="003D5B5E">
        <w:rPr>
          <w:lang w:val="sr-Cyrl-CS"/>
        </w:rPr>
        <w:t xml:space="preserve"> </w:t>
      </w:r>
      <w:r w:rsidR="00A00006" w:rsidRPr="003D5B5E">
        <w:rPr>
          <w:lang w:val="sr-Cyrl-CS"/>
        </w:rPr>
        <w:t>се нови ст. 4 - 6,</w:t>
      </w:r>
      <w:r w:rsidRPr="003D5B5E">
        <w:rPr>
          <w:lang w:val="sr-Cyrl-CS"/>
        </w:rPr>
        <w:t xml:space="preserve"> који гласе:</w:t>
      </w:r>
    </w:p>
    <w:p w14:paraId="2F4476FC" w14:textId="43ABD863" w:rsidR="00821E3E" w:rsidRPr="003D5B5E" w:rsidRDefault="00821E3E" w:rsidP="00A137B0">
      <w:pPr>
        <w:jc w:val="both"/>
        <w:rPr>
          <w:lang w:val="sr-Cyrl-CS"/>
        </w:rPr>
      </w:pPr>
      <w:r w:rsidRPr="003D5B5E">
        <w:rPr>
          <w:lang w:val="sr-Cyrl-CS"/>
        </w:rPr>
        <w:t xml:space="preserve">     </w:t>
      </w:r>
      <w:r w:rsidR="00A00006" w:rsidRPr="003D5B5E">
        <w:rPr>
          <w:lang w:val="sr-Cyrl-CS"/>
        </w:rPr>
        <w:tab/>
      </w:r>
      <w:r w:rsidRPr="003D5B5E">
        <w:rPr>
          <w:lang w:val="sr-Cyrl-CS"/>
        </w:rPr>
        <w:t xml:space="preserve"> „При провери да ли подносилац захтева поседује довољну финансијску солвентност ради издавања одобрења за употребу заједничког обезбеђења са смањеним износом или ос</w:t>
      </w:r>
      <w:r w:rsidR="00A00006" w:rsidRPr="003D5B5E">
        <w:rPr>
          <w:lang w:val="sr-Cyrl-CS"/>
        </w:rPr>
        <w:t>лобођења од полагања обезбеђења</w:t>
      </w:r>
      <w:r w:rsidRPr="003D5B5E">
        <w:rPr>
          <w:lang w:val="sr-Cyrl-CS"/>
        </w:rPr>
        <w:t xml:space="preserve"> </w:t>
      </w:r>
      <w:r w:rsidR="001E1FE8" w:rsidRPr="003D5B5E">
        <w:rPr>
          <w:lang w:val="sr-Cyrl-CS"/>
        </w:rPr>
        <w:t xml:space="preserve">из </w:t>
      </w:r>
      <w:r w:rsidRPr="003D5B5E">
        <w:rPr>
          <w:lang w:val="sr-Cyrl-CS"/>
        </w:rPr>
        <w:t>став</w:t>
      </w:r>
      <w:r w:rsidR="001E1FE8" w:rsidRPr="003D5B5E">
        <w:rPr>
          <w:lang w:val="sr-Cyrl-CS"/>
        </w:rPr>
        <w:t>а</w:t>
      </w:r>
      <w:r w:rsidRPr="003D5B5E">
        <w:rPr>
          <w:lang w:val="sr-Cyrl-CS"/>
        </w:rPr>
        <w:t xml:space="preserve"> 1. тачка 5), став</w:t>
      </w:r>
      <w:r w:rsidR="001E1FE8" w:rsidRPr="003D5B5E">
        <w:rPr>
          <w:lang w:val="sr-Cyrl-CS"/>
        </w:rPr>
        <w:t>а</w:t>
      </w:r>
      <w:r w:rsidRPr="003D5B5E">
        <w:rPr>
          <w:lang w:val="sr-Cyrl-CS"/>
        </w:rPr>
        <w:t xml:space="preserve"> 2. тачка 6) и став</w:t>
      </w:r>
      <w:r w:rsidR="001E1FE8" w:rsidRPr="003D5B5E">
        <w:rPr>
          <w:lang w:val="sr-Cyrl-CS"/>
        </w:rPr>
        <w:t>а</w:t>
      </w:r>
      <w:r w:rsidRPr="003D5B5E">
        <w:rPr>
          <w:lang w:val="sr-Cyrl-CS"/>
        </w:rPr>
        <w:t xml:space="preserve"> 3. тачка 11) овог члана, царински орган узима у обзир способност подносиоца захтева да испуни своје обавезе плаћања царинског дуга и осталих дажбина које могу настати, а које нису обухваћене тим обезбеђењем. </w:t>
      </w:r>
    </w:p>
    <w:p w14:paraId="70957743" w14:textId="36F5B7A5" w:rsidR="00821E3E" w:rsidRPr="003D5B5E" w:rsidRDefault="00821E3E" w:rsidP="00A137B0">
      <w:pPr>
        <w:jc w:val="both"/>
        <w:rPr>
          <w:lang w:val="sr-Cyrl-CS"/>
        </w:rPr>
      </w:pPr>
      <w:r w:rsidRPr="003D5B5E">
        <w:rPr>
          <w:lang w:val="sr-Cyrl-CS"/>
        </w:rPr>
        <w:t xml:space="preserve">      </w:t>
      </w:r>
      <w:r w:rsidR="00A00006" w:rsidRPr="003D5B5E">
        <w:rPr>
          <w:lang w:val="sr-Cyrl-CS"/>
        </w:rPr>
        <w:tab/>
      </w:r>
      <w:r w:rsidRPr="003D5B5E">
        <w:rPr>
          <w:lang w:val="sr-Cyrl-CS"/>
        </w:rPr>
        <w:t>Царински орган, ако је то оправдано, може узети у обзир ризик од настанка царинск</w:t>
      </w:r>
      <w:r w:rsidR="001E1FE8" w:rsidRPr="003D5B5E">
        <w:rPr>
          <w:lang w:val="sr-Cyrl-CS"/>
        </w:rPr>
        <w:t>ог</w:t>
      </w:r>
      <w:r w:rsidRPr="003D5B5E">
        <w:rPr>
          <w:lang w:val="sr-Cyrl-CS"/>
        </w:rPr>
        <w:t xml:space="preserve"> дуг</w:t>
      </w:r>
      <w:r w:rsidR="001E1FE8" w:rsidRPr="003D5B5E">
        <w:rPr>
          <w:lang w:val="sr-Cyrl-CS"/>
        </w:rPr>
        <w:t>а</w:t>
      </w:r>
      <w:r w:rsidRPr="003D5B5E">
        <w:rPr>
          <w:lang w:val="sr-Cyrl-CS"/>
        </w:rPr>
        <w:t xml:space="preserve"> и других дажбина из става 4. овог члана, узимајући у обзир врсту и обим пословних активности подносиоца захтева и врсту робе за коју се захтева обезбеђење.</w:t>
      </w:r>
    </w:p>
    <w:p w14:paraId="310D3DC0" w14:textId="123070EF" w:rsidR="00821E3E" w:rsidRPr="003D5B5E" w:rsidRDefault="00821E3E" w:rsidP="00A137B0">
      <w:pPr>
        <w:jc w:val="both"/>
        <w:rPr>
          <w:lang w:val="sr-Cyrl-CS"/>
        </w:rPr>
      </w:pPr>
      <w:r w:rsidRPr="003D5B5E">
        <w:rPr>
          <w:lang w:val="sr-Cyrl-CS"/>
        </w:rPr>
        <w:t xml:space="preserve">     </w:t>
      </w:r>
      <w:r w:rsidR="00A00006" w:rsidRPr="003D5B5E">
        <w:rPr>
          <w:lang w:val="sr-Cyrl-CS"/>
        </w:rPr>
        <w:tab/>
      </w:r>
      <w:r w:rsidRPr="003D5B5E">
        <w:rPr>
          <w:lang w:val="sr-Cyrl-CS"/>
        </w:rPr>
        <w:t xml:space="preserve">Ако је испуњеност услова о довољној финансијској солвентности </w:t>
      </w:r>
      <w:r w:rsidR="00AD061F" w:rsidRPr="003D5B5E">
        <w:rPr>
          <w:lang w:val="sr-Cyrl-CS"/>
        </w:rPr>
        <w:t xml:space="preserve">проверена </w:t>
      </w:r>
      <w:r w:rsidR="00C77361" w:rsidRPr="003D5B5E">
        <w:rPr>
          <w:lang w:val="sr-Cyrl-CS"/>
        </w:rPr>
        <w:t>у складу са чланом 28.</w:t>
      </w:r>
      <w:r w:rsidRPr="003D5B5E">
        <w:rPr>
          <w:lang w:val="sr-Cyrl-CS"/>
        </w:rPr>
        <w:t xml:space="preserve"> тачка 3) Царинског закона, царински орган само проверава да ли финансиј</w:t>
      </w:r>
      <w:r w:rsidR="003D5B5E">
        <w:rPr>
          <w:lang w:val="sr-Cyrl-CS"/>
        </w:rPr>
        <w:t>с</w:t>
      </w:r>
      <w:r w:rsidRPr="003D5B5E">
        <w:rPr>
          <w:lang w:val="sr-Cyrl-CS"/>
        </w:rPr>
        <w:t>ка солвентност подносиоца захтева омогућује издавање одобрења за употребу заједничког обезбеђења са смањеним износом или ослобођење од полагања обезбеђења.”</w:t>
      </w:r>
    </w:p>
    <w:p w14:paraId="6406C4B1" w14:textId="746699B5" w:rsidR="00821E3E" w:rsidRPr="003D5B5E" w:rsidRDefault="00821E3E" w:rsidP="00A137B0">
      <w:pPr>
        <w:jc w:val="both"/>
        <w:rPr>
          <w:lang w:val="sr-Cyrl-CS"/>
        </w:rPr>
      </w:pPr>
      <w:r w:rsidRPr="003D5B5E">
        <w:rPr>
          <w:lang w:val="sr-Cyrl-CS"/>
        </w:rPr>
        <w:t xml:space="preserve">    </w:t>
      </w:r>
      <w:r w:rsidR="00A00006" w:rsidRPr="003D5B5E">
        <w:rPr>
          <w:lang w:val="sr-Cyrl-CS"/>
        </w:rPr>
        <w:tab/>
      </w:r>
      <w:r w:rsidRPr="003D5B5E">
        <w:rPr>
          <w:lang w:val="sr-Cyrl-CS"/>
        </w:rPr>
        <w:t>Д</w:t>
      </w:r>
      <w:r w:rsidR="00A00006" w:rsidRPr="003D5B5E">
        <w:rPr>
          <w:lang w:val="sr-Cyrl-CS"/>
        </w:rPr>
        <w:t>осадашњи став 4, који</w:t>
      </w:r>
      <w:r w:rsidRPr="003D5B5E">
        <w:rPr>
          <w:lang w:val="sr-Cyrl-CS"/>
        </w:rPr>
        <w:t xml:space="preserve"> постаје став 7, мења се и гласи:</w:t>
      </w:r>
    </w:p>
    <w:p w14:paraId="1F239D48" w14:textId="5F0240A0" w:rsidR="00FD1F28" w:rsidRPr="003D5B5E" w:rsidRDefault="00FD1F28" w:rsidP="00A137B0">
      <w:pPr>
        <w:jc w:val="both"/>
        <w:rPr>
          <w:lang w:val="sr-Cyrl-CS"/>
        </w:rPr>
      </w:pPr>
    </w:p>
    <w:p w14:paraId="747616F5" w14:textId="77777777" w:rsidR="00FD1F28" w:rsidRPr="003D5B5E" w:rsidRDefault="00FD1F28" w:rsidP="00A137B0">
      <w:pPr>
        <w:jc w:val="both"/>
        <w:rPr>
          <w:lang w:val="sr-Cyrl-CS"/>
        </w:rPr>
      </w:pPr>
    </w:p>
    <w:p w14:paraId="72B4A140" w14:textId="4CBC3B2D" w:rsidR="00821E3E" w:rsidRPr="003D5B5E" w:rsidRDefault="00821E3E" w:rsidP="00A137B0">
      <w:pPr>
        <w:jc w:val="both"/>
        <w:rPr>
          <w:lang w:val="sr-Cyrl-CS"/>
        </w:rPr>
      </w:pPr>
      <w:r w:rsidRPr="003D5B5E">
        <w:rPr>
          <w:color w:val="FF0000"/>
          <w:lang w:val="sr-Cyrl-CS"/>
        </w:rPr>
        <w:t xml:space="preserve">      </w:t>
      </w:r>
      <w:r w:rsidR="00A00006" w:rsidRPr="003D5B5E">
        <w:rPr>
          <w:color w:val="FF0000"/>
          <w:lang w:val="sr-Cyrl-CS"/>
        </w:rPr>
        <w:tab/>
      </w:r>
      <w:r w:rsidRPr="003D5B5E">
        <w:rPr>
          <w:lang w:val="sr-Cyrl-CS"/>
        </w:rPr>
        <w:t xml:space="preserve">„Ако подносилац захтева постоји мање од три године услови из става 1. тач. 4) и 5), става 2. тач. 5) и 6) и става 3. тач. 10) и 11) овог члана провериће се на основу расположивих евиденција и информација.” </w:t>
      </w:r>
    </w:p>
    <w:p w14:paraId="169B041F" w14:textId="03101E4E"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lang w:val="sr-Cyrl-CS"/>
        </w:rPr>
      </w:pPr>
    </w:p>
    <w:p w14:paraId="53F9D414" w14:textId="5B1AB270"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jc w:val="left"/>
        <w:rPr>
          <w:rFonts w:ascii="Times New Roman" w:hAnsi="Times New Roman" w:cs="Times New Roman"/>
          <w:i w:val="0"/>
          <w:iCs w:val="0"/>
          <w:color w:val="000000" w:themeColor="text1"/>
          <w:lang w:val="sr-Cyrl-CS"/>
        </w:rPr>
      </w:pPr>
      <w:r w:rsidRPr="003D5B5E">
        <w:rPr>
          <w:rFonts w:ascii="Times New Roman" w:hAnsi="Times New Roman" w:cs="Times New Roman"/>
          <w:i w:val="0"/>
          <w:iCs w:val="0"/>
          <w:lang w:val="sr-Cyrl-CS"/>
        </w:rPr>
        <w:t xml:space="preserve">                                                                     </w:t>
      </w:r>
      <w:r w:rsidRPr="003D5B5E">
        <w:rPr>
          <w:rFonts w:ascii="Times New Roman" w:hAnsi="Times New Roman" w:cs="Times New Roman"/>
          <w:i w:val="0"/>
          <w:iCs w:val="0"/>
          <w:color w:val="000000" w:themeColor="text1"/>
          <w:lang w:val="sr-Cyrl-CS"/>
        </w:rPr>
        <w:t>Члан 1</w:t>
      </w:r>
      <w:r w:rsidR="00532054" w:rsidRPr="003D5B5E">
        <w:rPr>
          <w:rFonts w:ascii="Times New Roman" w:hAnsi="Times New Roman" w:cs="Times New Roman"/>
          <w:i w:val="0"/>
          <w:iCs w:val="0"/>
          <w:color w:val="000000" w:themeColor="text1"/>
          <w:lang w:val="sr-Cyrl-CS"/>
        </w:rPr>
        <w:t>8</w:t>
      </w:r>
      <w:r w:rsidRPr="003D5B5E">
        <w:rPr>
          <w:rFonts w:ascii="Times New Roman" w:hAnsi="Times New Roman" w:cs="Times New Roman"/>
          <w:i w:val="0"/>
          <w:iCs w:val="0"/>
          <w:color w:val="000000" w:themeColor="text1"/>
          <w:lang w:val="sr-Cyrl-CS"/>
        </w:rPr>
        <w:t>.</w:t>
      </w:r>
    </w:p>
    <w:p w14:paraId="503F045B" w14:textId="1C23AFB0" w:rsidR="008517AF" w:rsidRPr="003D5B5E" w:rsidRDefault="00821E3E" w:rsidP="00A137B0">
      <w:pPr>
        <w:jc w:val="both"/>
        <w:rPr>
          <w:lang w:val="sr-Cyrl-CS"/>
        </w:rPr>
      </w:pPr>
      <w:r w:rsidRPr="003D5B5E">
        <w:rPr>
          <w:rFonts w:eastAsia="Calibri"/>
          <w:color w:val="000000" w:themeColor="text1"/>
          <w:kern w:val="3"/>
          <w:lang w:val="sr-Cyrl-CS"/>
        </w:rPr>
        <w:t xml:space="preserve">        </w:t>
      </w:r>
      <w:r w:rsidR="009A1502" w:rsidRPr="003D5B5E">
        <w:rPr>
          <w:lang w:val="sr-Cyrl-CS"/>
        </w:rPr>
        <w:t xml:space="preserve">После члана 154. додаје се </w:t>
      </w:r>
      <w:r w:rsidR="00466372" w:rsidRPr="003D5B5E">
        <w:rPr>
          <w:lang w:val="sr-Cyrl-CS"/>
        </w:rPr>
        <w:t>наслов</w:t>
      </w:r>
      <w:r w:rsidR="009A1502" w:rsidRPr="003D5B5E">
        <w:rPr>
          <w:lang w:val="sr-Cyrl-CS"/>
        </w:rPr>
        <w:t xml:space="preserve"> одељка, који гласи</w:t>
      </w:r>
      <w:r w:rsidRPr="003D5B5E">
        <w:rPr>
          <w:lang w:val="sr-Cyrl-CS"/>
        </w:rPr>
        <w:t xml:space="preserve">: </w:t>
      </w:r>
    </w:p>
    <w:p w14:paraId="09C3D7B4" w14:textId="77777777" w:rsidR="00B840AA" w:rsidRPr="003D5B5E" w:rsidRDefault="00B840AA" w:rsidP="00A137B0">
      <w:pPr>
        <w:jc w:val="both"/>
        <w:rPr>
          <w:lang w:val="sr-Cyrl-CS"/>
        </w:rPr>
      </w:pPr>
    </w:p>
    <w:p w14:paraId="0312BAD5" w14:textId="50E4B93E" w:rsidR="008517AF" w:rsidRPr="003D5B5E" w:rsidRDefault="00821E3E" w:rsidP="00A137B0">
      <w:pPr>
        <w:jc w:val="center"/>
        <w:rPr>
          <w:lang w:val="sr-Cyrl-CS"/>
        </w:rPr>
      </w:pPr>
      <w:r w:rsidRPr="003D5B5E">
        <w:rPr>
          <w:lang w:val="sr-Cyrl-CS"/>
        </w:rPr>
        <w:t>„ОДЕЉАК 3</w:t>
      </w:r>
    </w:p>
    <w:p w14:paraId="3249F3A9" w14:textId="77AA25F8" w:rsidR="00821E3E" w:rsidRPr="003D5B5E" w:rsidRDefault="00821E3E" w:rsidP="00A137B0">
      <w:pPr>
        <w:jc w:val="center"/>
        <w:rPr>
          <w:lang w:val="sr-Cyrl-CS"/>
        </w:rPr>
      </w:pPr>
      <w:r w:rsidRPr="003D5B5E">
        <w:rPr>
          <w:lang w:val="sr-Cyrl-CS"/>
        </w:rPr>
        <w:t>ПОСЕБНЕ ОДРЕДБЕ ЗА ОБЕЗБЕЂЕЊЕ КОД</w:t>
      </w:r>
      <w:r w:rsidR="008517AF" w:rsidRPr="003D5B5E">
        <w:rPr>
          <w:lang w:val="sr-Cyrl-CS"/>
        </w:rPr>
        <w:t xml:space="preserve"> НАЦИОНАЛНОГ ПОСТУПКА ТРАНЗИТА”</w:t>
      </w:r>
      <w:r w:rsidR="00CF09BC" w:rsidRPr="003D5B5E">
        <w:rPr>
          <w:lang w:val="sr-Cyrl-CS"/>
        </w:rPr>
        <w:t>.</w:t>
      </w:r>
    </w:p>
    <w:p w14:paraId="5A155F8D" w14:textId="77777777"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color w:val="000000" w:themeColor="text1"/>
          <w:lang w:val="sr-Cyrl-CS"/>
        </w:rPr>
      </w:pPr>
      <w:r w:rsidRPr="003D5B5E">
        <w:rPr>
          <w:rFonts w:ascii="Times New Roman" w:hAnsi="Times New Roman" w:cs="Times New Roman"/>
          <w:color w:val="000000" w:themeColor="text1"/>
          <w:lang w:val="sr-Cyrl-CS"/>
        </w:rPr>
        <w:t xml:space="preserve"> </w:t>
      </w:r>
    </w:p>
    <w:p w14:paraId="00FF972B" w14:textId="135DA88B"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Члан 1</w:t>
      </w:r>
      <w:r w:rsidR="00532054" w:rsidRPr="003D5B5E">
        <w:rPr>
          <w:rFonts w:ascii="Times New Roman" w:hAnsi="Times New Roman" w:cs="Times New Roman"/>
          <w:i w:val="0"/>
          <w:iCs w:val="0"/>
          <w:color w:val="000000" w:themeColor="text1"/>
          <w:lang w:val="sr-Cyrl-CS"/>
        </w:rPr>
        <w:t>9</w:t>
      </w:r>
      <w:r w:rsidRPr="003D5B5E">
        <w:rPr>
          <w:rFonts w:ascii="Times New Roman" w:hAnsi="Times New Roman" w:cs="Times New Roman"/>
          <w:i w:val="0"/>
          <w:iCs w:val="0"/>
          <w:color w:val="000000" w:themeColor="text1"/>
          <w:lang w:val="sr-Cyrl-CS"/>
        </w:rPr>
        <w:t>.</w:t>
      </w:r>
    </w:p>
    <w:p w14:paraId="6856F228" w14:textId="77777777" w:rsidR="00821E3E" w:rsidRPr="003D5B5E" w:rsidRDefault="00821E3E" w:rsidP="00A137B0">
      <w:pPr>
        <w:jc w:val="both"/>
        <w:rPr>
          <w:lang w:val="sr-Cyrl-CS"/>
        </w:rPr>
      </w:pPr>
      <w:r w:rsidRPr="003D5B5E">
        <w:rPr>
          <w:lang w:val="sr-Cyrl-CS"/>
        </w:rPr>
        <w:t xml:space="preserve">       Наслов изнад члана 155. и члан 155. бришу се. </w:t>
      </w:r>
    </w:p>
    <w:p w14:paraId="6A94E8CF" w14:textId="77777777"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jc w:val="left"/>
        <w:rPr>
          <w:rFonts w:ascii="Times New Roman" w:eastAsia="Times New Roman" w:hAnsi="Times New Roman" w:cs="Times New Roman"/>
          <w:i w:val="0"/>
          <w:iCs w:val="0"/>
          <w:kern w:val="0"/>
          <w:lang w:val="sr-Cyrl-CS"/>
        </w:rPr>
      </w:pPr>
      <w:r w:rsidRPr="003D5B5E">
        <w:rPr>
          <w:rFonts w:ascii="Times New Roman" w:eastAsia="Times New Roman" w:hAnsi="Times New Roman" w:cs="Times New Roman"/>
          <w:i w:val="0"/>
          <w:iCs w:val="0"/>
          <w:kern w:val="0"/>
          <w:lang w:val="sr-Cyrl-CS"/>
        </w:rPr>
        <w:t xml:space="preserve"> </w:t>
      </w:r>
    </w:p>
    <w:p w14:paraId="6DB4314D" w14:textId="55EC5050" w:rsidR="00821E3E" w:rsidRPr="003D5B5E" w:rsidRDefault="00821E3E" w:rsidP="00A137B0">
      <w:pPr>
        <w:pStyle w:val="wyq120---podnaslov-clana"/>
        <w:tabs>
          <w:tab w:val="left" w:pos="720"/>
          <w:tab w:val="left" w:pos="3600"/>
          <w:tab w:val="left" w:pos="3960"/>
          <w:tab w:val="left" w:pos="4140"/>
          <w:tab w:val="left" w:pos="4320"/>
          <w:tab w:val="left" w:pos="8499"/>
        </w:tabs>
        <w:spacing w:before="0" w:after="0"/>
        <w:jc w:val="left"/>
        <w:rPr>
          <w:rFonts w:ascii="Times New Roman" w:hAnsi="Times New Roman" w:cs="Times New Roman"/>
          <w:i w:val="0"/>
          <w:iCs w:val="0"/>
          <w:color w:val="000000" w:themeColor="text1"/>
          <w:lang w:val="sr-Cyrl-CS"/>
        </w:rPr>
      </w:pPr>
      <w:r w:rsidRPr="003D5B5E">
        <w:rPr>
          <w:rFonts w:ascii="Times New Roman" w:eastAsia="Times New Roman" w:hAnsi="Times New Roman" w:cs="Times New Roman"/>
          <w:i w:val="0"/>
          <w:iCs w:val="0"/>
          <w:kern w:val="0"/>
          <w:lang w:val="sr-Cyrl-CS"/>
        </w:rPr>
        <w:t xml:space="preserve">                                        </w:t>
      </w:r>
      <w:r w:rsidR="00D513A6" w:rsidRPr="003D5B5E">
        <w:rPr>
          <w:rFonts w:ascii="Times New Roman" w:eastAsia="Times New Roman" w:hAnsi="Times New Roman" w:cs="Times New Roman"/>
          <w:i w:val="0"/>
          <w:iCs w:val="0"/>
          <w:kern w:val="0"/>
          <w:lang w:val="sr-Cyrl-CS"/>
        </w:rPr>
        <w:t xml:space="preserve">                            </w:t>
      </w:r>
      <w:r w:rsidRPr="003D5B5E">
        <w:rPr>
          <w:rFonts w:ascii="Times New Roman" w:hAnsi="Times New Roman" w:cs="Times New Roman"/>
          <w:i w:val="0"/>
          <w:iCs w:val="0"/>
          <w:color w:val="000000" w:themeColor="text1"/>
          <w:lang w:val="sr-Cyrl-CS"/>
        </w:rPr>
        <w:t xml:space="preserve">Члан </w:t>
      </w:r>
      <w:r w:rsidR="00532054" w:rsidRPr="003D5B5E">
        <w:rPr>
          <w:rFonts w:ascii="Times New Roman" w:hAnsi="Times New Roman" w:cs="Times New Roman"/>
          <w:i w:val="0"/>
          <w:iCs w:val="0"/>
          <w:color w:val="000000" w:themeColor="text1"/>
          <w:lang w:val="sr-Cyrl-CS"/>
        </w:rPr>
        <w:t>20</w:t>
      </w:r>
      <w:r w:rsidRPr="003D5B5E">
        <w:rPr>
          <w:rFonts w:ascii="Times New Roman" w:hAnsi="Times New Roman" w:cs="Times New Roman"/>
          <w:i w:val="0"/>
          <w:iCs w:val="0"/>
          <w:color w:val="000000" w:themeColor="text1"/>
          <w:lang w:val="sr-Cyrl-CS"/>
        </w:rPr>
        <w:t>.</w:t>
      </w:r>
    </w:p>
    <w:p w14:paraId="34D44A97" w14:textId="7A96A13F" w:rsidR="009F2850" w:rsidRPr="003D5B5E" w:rsidRDefault="009F2850" w:rsidP="00A137B0">
      <w:pPr>
        <w:jc w:val="both"/>
        <w:rPr>
          <w:lang w:val="sr-Cyrl-CS"/>
        </w:rPr>
      </w:pPr>
      <w:r w:rsidRPr="003D5B5E">
        <w:rPr>
          <w:rFonts w:eastAsia="Calibri"/>
          <w:color w:val="000000" w:themeColor="text1"/>
          <w:kern w:val="3"/>
          <w:lang w:val="sr-Cyrl-CS"/>
        </w:rPr>
        <w:t xml:space="preserve">       </w:t>
      </w:r>
      <w:r w:rsidR="00D3749C" w:rsidRPr="003D5B5E">
        <w:rPr>
          <w:lang w:val="sr-Cyrl-CS"/>
        </w:rPr>
        <w:t>После члана 159</w:t>
      </w:r>
      <w:r w:rsidR="001673FD" w:rsidRPr="003D5B5E">
        <w:rPr>
          <w:lang w:val="sr-Cyrl-CS"/>
        </w:rPr>
        <w:t xml:space="preserve">. </w:t>
      </w:r>
      <w:r w:rsidR="00D3749C" w:rsidRPr="003D5B5E">
        <w:rPr>
          <w:lang w:val="sr-Cyrl-CS"/>
        </w:rPr>
        <w:t xml:space="preserve">наслов Одељка 2 </w:t>
      </w:r>
      <w:r w:rsidR="001673FD" w:rsidRPr="003D5B5E">
        <w:rPr>
          <w:lang w:val="sr-Cyrl-CS"/>
        </w:rPr>
        <w:t>мења се и гласи</w:t>
      </w:r>
      <w:r w:rsidRPr="003D5B5E">
        <w:rPr>
          <w:lang w:val="sr-Cyrl-CS"/>
        </w:rPr>
        <w:t>:„ ОДЕЉАК 4”.</w:t>
      </w:r>
    </w:p>
    <w:p w14:paraId="365915ED" w14:textId="77777777" w:rsidR="00B840AA" w:rsidRPr="003D5B5E" w:rsidRDefault="00B840AA" w:rsidP="00A137B0">
      <w:pPr>
        <w:jc w:val="both"/>
        <w:rPr>
          <w:lang w:val="sr-Cyrl-CS"/>
        </w:rPr>
      </w:pPr>
    </w:p>
    <w:p w14:paraId="4F3E40D2" w14:textId="74BEE128" w:rsidR="009F2850" w:rsidRPr="003D5B5E" w:rsidRDefault="009F2850"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Члан </w:t>
      </w:r>
      <w:r w:rsidR="00532054" w:rsidRPr="003D5B5E">
        <w:rPr>
          <w:rFonts w:ascii="Times New Roman" w:hAnsi="Times New Roman" w:cs="Times New Roman"/>
          <w:i w:val="0"/>
          <w:iCs w:val="0"/>
          <w:color w:val="000000" w:themeColor="text1"/>
          <w:lang w:val="sr-Cyrl-CS"/>
        </w:rPr>
        <w:t>2</w:t>
      </w:r>
      <w:r w:rsidRPr="003D5B5E">
        <w:rPr>
          <w:rFonts w:ascii="Times New Roman" w:hAnsi="Times New Roman" w:cs="Times New Roman"/>
          <w:i w:val="0"/>
          <w:iCs w:val="0"/>
          <w:color w:val="000000" w:themeColor="text1"/>
          <w:lang w:val="sr-Cyrl-CS"/>
        </w:rPr>
        <w:t>1.</w:t>
      </w:r>
    </w:p>
    <w:p w14:paraId="22499A72" w14:textId="404F472D" w:rsidR="009F2850" w:rsidRPr="003D5B5E" w:rsidRDefault="006B3554" w:rsidP="00270914">
      <w:pPr>
        <w:tabs>
          <w:tab w:val="left" w:pos="4253"/>
        </w:tabs>
        <w:jc w:val="both"/>
        <w:rPr>
          <w:lang w:val="sr-Cyrl-CS"/>
        </w:rPr>
      </w:pPr>
      <w:r w:rsidRPr="003D5B5E">
        <w:rPr>
          <w:lang w:val="sr-Cyrl-CS"/>
        </w:rPr>
        <w:t xml:space="preserve">       </w:t>
      </w:r>
      <w:r w:rsidR="009F2850" w:rsidRPr="003D5B5E">
        <w:rPr>
          <w:lang w:val="sr-Cyrl-CS"/>
        </w:rPr>
        <w:t>У члану 160. речи: „1</w:t>
      </w:r>
      <w:r w:rsidR="00DE7BF6" w:rsidRPr="003D5B5E">
        <w:rPr>
          <w:lang w:val="sr-Cyrl-CS"/>
        </w:rPr>
        <w:t>50. став 2.” замењују се речима</w:t>
      </w:r>
      <w:r w:rsidR="00E77E01" w:rsidRPr="003D5B5E">
        <w:rPr>
          <w:lang w:val="sr-Cyrl-CS"/>
        </w:rPr>
        <w:t>:</w:t>
      </w:r>
      <w:r w:rsidR="001673FD" w:rsidRPr="003D5B5E">
        <w:rPr>
          <w:lang w:val="sr-Cyrl-CS"/>
        </w:rPr>
        <w:t>„</w:t>
      </w:r>
      <w:r w:rsidR="009F2850" w:rsidRPr="003D5B5E">
        <w:rPr>
          <w:lang w:val="sr-Cyrl-CS"/>
        </w:rPr>
        <w:t>150. став 3. тачка 2</w:t>
      </w:r>
      <w:r w:rsidR="008517AF" w:rsidRPr="003D5B5E">
        <w:rPr>
          <w:lang w:val="sr-Cyrl-CS"/>
        </w:rPr>
        <w:t>)</w:t>
      </w:r>
      <w:r w:rsidR="009F2850" w:rsidRPr="003D5B5E">
        <w:rPr>
          <w:lang w:val="sr-Cyrl-CS"/>
        </w:rPr>
        <w:t>”</w:t>
      </w:r>
      <w:r w:rsidR="008517AF" w:rsidRPr="003D5B5E">
        <w:rPr>
          <w:lang w:val="sr-Cyrl-CS"/>
        </w:rPr>
        <w:t>.</w:t>
      </w:r>
    </w:p>
    <w:p w14:paraId="268DA623" w14:textId="77777777" w:rsidR="00B840AA" w:rsidRPr="003D5B5E" w:rsidRDefault="00B840AA" w:rsidP="00A137B0">
      <w:pPr>
        <w:jc w:val="both"/>
        <w:rPr>
          <w:lang w:val="sr-Cyrl-CS"/>
        </w:rPr>
      </w:pPr>
    </w:p>
    <w:p w14:paraId="473F5726" w14:textId="76707993" w:rsidR="008517AF" w:rsidRPr="003D5B5E" w:rsidRDefault="008517AF" w:rsidP="00A137B0">
      <w:pPr>
        <w:jc w:val="center"/>
        <w:rPr>
          <w:lang w:val="sr-Cyrl-CS"/>
        </w:rPr>
      </w:pPr>
      <w:r w:rsidRPr="003D5B5E">
        <w:rPr>
          <w:lang w:val="sr-Cyrl-CS"/>
        </w:rPr>
        <w:t>Члан 22.</w:t>
      </w:r>
    </w:p>
    <w:p w14:paraId="4DD680FC" w14:textId="591EABCC" w:rsidR="008517AF" w:rsidRPr="003D5B5E" w:rsidRDefault="008517AF" w:rsidP="00A137B0">
      <w:pPr>
        <w:ind w:firstLine="720"/>
        <w:jc w:val="both"/>
        <w:rPr>
          <w:lang w:val="sr-Cyrl-CS"/>
        </w:rPr>
      </w:pPr>
      <w:r w:rsidRPr="003D5B5E">
        <w:rPr>
          <w:lang w:val="sr-Cyrl-CS"/>
        </w:rPr>
        <w:t>Прилог 18 који је одштампан уз Уредбу</w:t>
      </w:r>
      <w:r w:rsidR="0098517E" w:rsidRPr="003D5B5E">
        <w:rPr>
          <w:rFonts w:eastAsiaTheme="minorHAnsi"/>
          <w:iCs/>
          <w:color w:val="000000" w:themeColor="text1"/>
          <w:lang w:val="sr-Cyrl-CS"/>
        </w:rPr>
        <w:t xml:space="preserve"> о царинским поступцима и царинским формалностима („Службени гласник РС”, бр. 39/19, 8/20 и 132/21)</w:t>
      </w:r>
      <w:r w:rsidRPr="003D5B5E">
        <w:rPr>
          <w:lang w:val="sr-Cyrl-CS"/>
        </w:rPr>
        <w:t xml:space="preserve"> и чини њен саставни део, замењује се Прилогом 18</w:t>
      </w:r>
      <w:r w:rsidR="0098517E" w:rsidRPr="003D5B5E">
        <w:rPr>
          <w:lang w:val="sr-Cyrl-CS"/>
        </w:rPr>
        <w:t>,</w:t>
      </w:r>
      <w:r w:rsidRPr="003D5B5E">
        <w:rPr>
          <w:lang w:val="sr-Cyrl-CS"/>
        </w:rPr>
        <w:t xml:space="preserve"> који је одштампан уз ову уредбу и чини њен саставни део.</w:t>
      </w:r>
    </w:p>
    <w:p w14:paraId="6662C002" w14:textId="174755FA" w:rsidR="008517AF" w:rsidRPr="003D5B5E" w:rsidRDefault="008517AF" w:rsidP="00466156">
      <w:pPr>
        <w:tabs>
          <w:tab w:val="left" w:pos="4253"/>
        </w:tabs>
        <w:ind w:firstLine="720"/>
        <w:jc w:val="both"/>
        <w:rPr>
          <w:lang w:val="sr-Cyrl-CS"/>
        </w:rPr>
      </w:pPr>
      <w:r w:rsidRPr="003D5B5E">
        <w:rPr>
          <w:lang w:val="sr-Cyrl-CS"/>
        </w:rPr>
        <w:t>Прилог 20 који је одштампан уз Уредбу</w:t>
      </w:r>
      <w:r w:rsidR="0098517E" w:rsidRPr="003D5B5E">
        <w:rPr>
          <w:rFonts w:eastAsiaTheme="minorHAnsi"/>
          <w:iCs/>
          <w:color w:val="000000" w:themeColor="text1"/>
          <w:lang w:val="sr-Cyrl-CS"/>
        </w:rPr>
        <w:t xml:space="preserve"> о царинским поступцима и царинским формалностима („Службени гласник РС”, бр. 39/19, 8/20 и 132/21)</w:t>
      </w:r>
      <w:r w:rsidR="0098517E" w:rsidRPr="003D5B5E">
        <w:rPr>
          <w:lang w:val="sr-Cyrl-CS"/>
        </w:rPr>
        <w:t xml:space="preserve"> </w:t>
      </w:r>
      <w:r w:rsidRPr="003D5B5E">
        <w:rPr>
          <w:lang w:val="sr-Cyrl-CS"/>
        </w:rPr>
        <w:t>и чини њен састав</w:t>
      </w:r>
      <w:r w:rsidR="00D05E34" w:rsidRPr="003D5B5E">
        <w:rPr>
          <w:lang w:val="sr-Cyrl-CS"/>
        </w:rPr>
        <w:t>ни део, замењује се Прилогом 20</w:t>
      </w:r>
      <w:r w:rsidR="00587A67" w:rsidRPr="003D5B5E">
        <w:rPr>
          <w:lang w:val="sr-Cyrl-CS"/>
        </w:rPr>
        <w:t>,</w:t>
      </w:r>
      <w:r w:rsidRPr="003D5B5E">
        <w:rPr>
          <w:lang w:val="sr-Cyrl-CS"/>
        </w:rPr>
        <w:t xml:space="preserve"> који је одштампан уз ову уредбу и чини њен саставни део.</w:t>
      </w:r>
    </w:p>
    <w:p w14:paraId="5F514631" w14:textId="77777777" w:rsidR="00B840AA" w:rsidRPr="003D5B5E" w:rsidRDefault="00B840AA" w:rsidP="00A137B0">
      <w:pPr>
        <w:ind w:firstLine="720"/>
        <w:jc w:val="both"/>
        <w:rPr>
          <w:lang w:val="sr-Cyrl-CS"/>
        </w:rPr>
      </w:pPr>
    </w:p>
    <w:p w14:paraId="60EA395D" w14:textId="2C9E3DE6" w:rsidR="006B3554" w:rsidRPr="003D5B5E" w:rsidRDefault="009F2850" w:rsidP="00B840AA">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color w:val="000000" w:themeColor="text1"/>
          <w:lang w:val="sr-Cyrl-CS"/>
        </w:rPr>
      </w:pPr>
      <w:r w:rsidRPr="003D5B5E">
        <w:rPr>
          <w:rFonts w:ascii="Times New Roman" w:hAnsi="Times New Roman" w:cs="Times New Roman"/>
          <w:i w:val="0"/>
          <w:iCs w:val="0"/>
          <w:color w:val="000000" w:themeColor="text1"/>
          <w:lang w:val="sr-Cyrl-CS"/>
        </w:rPr>
        <w:t xml:space="preserve"> Члан </w:t>
      </w:r>
      <w:r w:rsidR="00532054" w:rsidRPr="003D5B5E">
        <w:rPr>
          <w:rFonts w:ascii="Times New Roman" w:hAnsi="Times New Roman" w:cs="Times New Roman"/>
          <w:i w:val="0"/>
          <w:iCs w:val="0"/>
          <w:color w:val="000000" w:themeColor="text1"/>
          <w:lang w:val="sr-Cyrl-CS"/>
        </w:rPr>
        <w:t>2</w:t>
      </w:r>
      <w:r w:rsidR="00D05E34" w:rsidRPr="003D5B5E">
        <w:rPr>
          <w:rFonts w:ascii="Times New Roman" w:hAnsi="Times New Roman" w:cs="Times New Roman"/>
          <w:i w:val="0"/>
          <w:iCs w:val="0"/>
          <w:color w:val="000000" w:themeColor="text1"/>
          <w:lang w:val="sr-Cyrl-CS"/>
        </w:rPr>
        <w:t>3</w:t>
      </w:r>
      <w:r w:rsidRPr="003D5B5E">
        <w:rPr>
          <w:rFonts w:ascii="Times New Roman" w:hAnsi="Times New Roman" w:cs="Times New Roman"/>
          <w:i w:val="0"/>
          <w:iCs w:val="0"/>
          <w:color w:val="000000" w:themeColor="text1"/>
          <w:lang w:val="sr-Cyrl-CS"/>
        </w:rPr>
        <w:t>.</w:t>
      </w:r>
    </w:p>
    <w:p w14:paraId="0B8D0C2C" w14:textId="0EE649EC" w:rsidR="006B3554" w:rsidRPr="003D5B5E" w:rsidRDefault="00397169" w:rsidP="00A137B0">
      <w:pPr>
        <w:jc w:val="both"/>
        <w:rPr>
          <w:lang w:val="sr-Cyrl-CS"/>
        </w:rPr>
      </w:pPr>
      <w:r w:rsidRPr="003D5B5E">
        <w:rPr>
          <w:rFonts w:eastAsia="Calibri"/>
          <w:kern w:val="3"/>
          <w:lang w:val="sr-Cyrl-CS"/>
        </w:rPr>
        <w:t xml:space="preserve">       </w:t>
      </w:r>
      <w:r w:rsidR="006B3554" w:rsidRPr="003D5B5E">
        <w:rPr>
          <w:lang w:val="sr-Cyrl-CS"/>
        </w:rPr>
        <w:t>Одобрења за полагање обезбеђења за плаћање царинског дуга са 50% увећаном висином гарантне свот</w:t>
      </w:r>
      <w:r w:rsidR="00D91DDF" w:rsidRPr="003D5B5E">
        <w:rPr>
          <w:lang w:val="sr-Cyrl-CS"/>
        </w:rPr>
        <w:t xml:space="preserve">е гаранције, </w:t>
      </w:r>
      <w:r w:rsidR="00317C44" w:rsidRPr="003D5B5E">
        <w:rPr>
          <w:lang w:val="sr-Cyrl-CS"/>
        </w:rPr>
        <w:t>која су</w:t>
      </w:r>
      <w:r w:rsidR="00D91DDF" w:rsidRPr="003D5B5E">
        <w:rPr>
          <w:lang w:val="sr-Cyrl-CS"/>
        </w:rPr>
        <w:t xml:space="preserve"> на снази</w:t>
      </w:r>
      <w:r w:rsidR="00BE37AA" w:rsidRPr="003D5B5E">
        <w:rPr>
          <w:lang w:val="sr-Cyrl-CS"/>
        </w:rPr>
        <w:t xml:space="preserve"> на дан почетка примене ове уредбе</w:t>
      </w:r>
      <w:r w:rsidR="006B3554" w:rsidRPr="003D5B5E">
        <w:rPr>
          <w:lang w:val="sr-Cyrl-CS"/>
        </w:rPr>
        <w:t xml:space="preserve">, остају на снази до истека рока важења гаранција на које се односе или до 1. </w:t>
      </w:r>
      <w:r w:rsidR="00D91DDF" w:rsidRPr="003D5B5E">
        <w:rPr>
          <w:lang w:val="sr-Cyrl-CS"/>
        </w:rPr>
        <w:t>јануара</w:t>
      </w:r>
      <w:r w:rsidR="006B3554" w:rsidRPr="003D5B5E">
        <w:rPr>
          <w:lang w:val="sr-Cyrl-CS"/>
        </w:rPr>
        <w:t xml:space="preserve"> 202</w:t>
      </w:r>
      <w:r w:rsidR="00D91DDF" w:rsidRPr="003D5B5E">
        <w:rPr>
          <w:lang w:val="sr-Cyrl-CS"/>
        </w:rPr>
        <w:t>4</w:t>
      </w:r>
      <w:r w:rsidR="006B3554" w:rsidRPr="003D5B5E">
        <w:rPr>
          <w:lang w:val="sr-Cyrl-CS"/>
        </w:rPr>
        <w:t>. године, у зависности од тога шта је раније.</w:t>
      </w:r>
    </w:p>
    <w:p w14:paraId="3D18B58C" w14:textId="151AC31E" w:rsidR="006B3554" w:rsidRPr="003D5B5E" w:rsidRDefault="00397169" w:rsidP="00A137B0">
      <w:pPr>
        <w:jc w:val="both"/>
        <w:rPr>
          <w:lang w:val="sr-Cyrl-CS"/>
        </w:rPr>
      </w:pPr>
      <w:r w:rsidRPr="003D5B5E">
        <w:rPr>
          <w:lang w:val="sr-Cyrl-CS"/>
        </w:rPr>
        <w:t xml:space="preserve">       </w:t>
      </w:r>
      <w:r w:rsidR="006B3554" w:rsidRPr="003D5B5E">
        <w:rPr>
          <w:lang w:val="sr-Cyrl-CS"/>
        </w:rPr>
        <w:t xml:space="preserve">Одобрења о ослобођењу од полагања заједничког обезбеђења за плаћање царинског дуга, осим за национални поступак транзита, </w:t>
      </w:r>
      <w:r w:rsidR="00317C44" w:rsidRPr="003D5B5E">
        <w:rPr>
          <w:lang w:val="sr-Cyrl-CS"/>
        </w:rPr>
        <w:t>која су</w:t>
      </w:r>
      <w:r w:rsidR="006B3554" w:rsidRPr="003D5B5E">
        <w:rPr>
          <w:lang w:val="sr-Cyrl-CS"/>
        </w:rPr>
        <w:t xml:space="preserve"> на снази </w:t>
      </w:r>
      <w:r w:rsidR="00C7216F" w:rsidRPr="003D5B5E">
        <w:rPr>
          <w:lang w:val="sr-Cyrl-CS"/>
        </w:rPr>
        <w:t xml:space="preserve">на дан почетка примене ове уредбе, </w:t>
      </w:r>
      <w:r w:rsidR="006B3554" w:rsidRPr="003D5B5E">
        <w:rPr>
          <w:lang w:val="sr-Cyrl-CS"/>
        </w:rPr>
        <w:t xml:space="preserve">остају на снази до поновне процене одобрења. </w:t>
      </w:r>
    </w:p>
    <w:p w14:paraId="5ED07062" w14:textId="4A960707" w:rsidR="000C019C" w:rsidRPr="003D5B5E" w:rsidRDefault="000C019C"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lang w:val="sr-Cyrl-CS"/>
        </w:rPr>
      </w:pPr>
    </w:p>
    <w:p w14:paraId="4FEB6175" w14:textId="3703E41D" w:rsidR="006B3554" w:rsidRPr="003D5B5E" w:rsidRDefault="006B3554"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lang w:val="sr-Cyrl-CS"/>
        </w:rPr>
      </w:pPr>
      <w:r w:rsidRPr="003D5B5E">
        <w:rPr>
          <w:rFonts w:ascii="Times New Roman" w:hAnsi="Times New Roman" w:cs="Times New Roman"/>
          <w:i w:val="0"/>
          <w:iCs w:val="0"/>
          <w:lang w:val="sr-Cyrl-CS"/>
        </w:rPr>
        <w:t>Члан 2</w:t>
      </w:r>
      <w:r w:rsidR="00D05E34" w:rsidRPr="003D5B5E">
        <w:rPr>
          <w:rFonts w:ascii="Times New Roman" w:hAnsi="Times New Roman" w:cs="Times New Roman"/>
          <w:i w:val="0"/>
          <w:iCs w:val="0"/>
          <w:lang w:val="sr-Cyrl-CS"/>
        </w:rPr>
        <w:t>4</w:t>
      </w:r>
      <w:r w:rsidRPr="003D5B5E">
        <w:rPr>
          <w:rFonts w:ascii="Times New Roman" w:hAnsi="Times New Roman" w:cs="Times New Roman"/>
          <w:i w:val="0"/>
          <w:iCs w:val="0"/>
          <w:lang w:val="sr-Cyrl-CS"/>
        </w:rPr>
        <w:t>.</w:t>
      </w:r>
    </w:p>
    <w:p w14:paraId="3C91E9F8" w14:textId="131F4C7F" w:rsidR="006B3554" w:rsidRPr="003D5B5E" w:rsidRDefault="006B3554" w:rsidP="00A137B0">
      <w:pPr>
        <w:ind w:firstLine="720"/>
        <w:jc w:val="both"/>
        <w:rPr>
          <w:lang w:val="sr-Cyrl-CS"/>
        </w:rPr>
      </w:pPr>
      <w:r w:rsidRPr="003D5B5E">
        <w:rPr>
          <w:lang w:val="sr-Cyrl-CS"/>
        </w:rPr>
        <w:t xml:space="preserve">Гаранције, </w:t>
      </w:r>
      <w:r w:rsidR="00317C44" w:rsidRPr="003D5B5E">
        <w:rPr>
          <w:lang w:val="sr-Cyrl-CS"/>
        </w:rPr>
        <w:t>које су</w:t>
      </w:r>
      <w:r w:rsidRPr="003D5B5E">
        <w:rPr>
          <w:lang w:val="sr-Cyrl-CS"/>
        </w:rPr>
        <w:t xml:space="preserve"> важеће</w:t>
      </w:r>
      <w:r w:rsidR="00C7216F" w:rsidRPr="003D5B5E">
        <w:rPr>
          <w:lang w:val="sr-Cyrl-CS"/>
        </w:rPr>
        <w:t xml:space="preserve"> на дан почетка примене ове уредбе, </w:t>
      </w:r>
      <w:r w:rsidRPr="003D5B5E">
        <w:rPr>
          <w:lang w:val="sr-Cyrl-CS"/>
        </w:rPr>
        <w:t xml:space="preserve">осим гаранција за национални поступак транзита, могу се користити до истека рока важења тих гаранција или </w:t>
      </w:r>
      <w:r w:rsidR="00D91DDF" w:rsidRPr="003D5B5E">
        <w:rPr>
          <w:lang w:val="sr-Cyrl-CS"/>
        </w:rPr>
        <w:t>до 1. јануара 2024. године,</w:t>
      </w:r>
      <w:r w:rsidRPr="003D5B5E">
        <w:rPr>
          <w:lang w:val="sr-Cyrl-CS"/>
        </w:rPr>
        <w:t xml:space="preserve"> у зависности од тога шта је раније. </w:t>
      </w:r>
    </w:p>
    <w:p w14:paraId="4F9A2933" w14:textId="17395D36" w:rsidR="006B3554" w:rsidRPr="003D5B5E" w:rsidRDefault="006B3554" w:rsidP="00A137B0">
      <w:pPr>
        <w:pStyle w:val="wyq120---podnaslov-clana"/>
        <w:tabs>
          <w:tab w:val="left" w:pos="720"/>
          <w:tab w:val="left" w:pos="3600"/>
          <w:tab w:val="left" w:pos="3960"/>
          <w:tab w:val="left" w:pos="4140"/>
          <w:tab w:val="left" w:pos="4320"/>
          <w:tab w:val="left" w:pos="8499"/>
        </w:tabs>
        <w:spacing w:before="0" w:after="0"/>
        <w:jc w:val="left"/>
        <w:rPr>
          <w:rFonts w:ascii="Times New Roman" w:hAnsi="Times New Roman" w:cs="Times New Roman"/>
          <w:i w:val="0"/>
          <w:iCs w:val="0"/>
          <w:lang w:val="sr-Cyrl-CS"/>
        </w:rPr>
      </w:pPr>
      <w:r w:rsidRPr="003D5B5E">
        <w:rPr>
          <w:rFonts w:ascii="Times New Roman" w:hAnsi="Times New Roman" w:cs="Times New Roman"/>
          <w:i w:val="0"/>
          <w:iCs w:val="0"/>
          <w:lang w:val="sr-Cyrl-CS"/>
        </w:rPr>
        <w:t xml:space="preserve">    </w:t>
      </w:r>
    </w:p>
    <w:p w14:paraId="570B34FB" w14:textId="33AC2FE9" w:rsidR="00397169" w:rsidRPr="003D5B5E" w:rsidRDefault="00397169" w:rsidP="00A137B0">
      <w:pPr>
        <w:pStyle w:val="wyq120---podnaslov-clana"/>
        <w:tabs>
          <w:tab w:val="left" w:pos="720"/>
          <w:tab w:val="left" w:pos="3600"/>
          <w:tab w:val="left" w:pos="3960"/>
          <w:tab w:val="left" w:pos="4140"/>
          <w:tab w:val="left" w:pos="4320"/>
          <w:tab w:val="left" w:pos="8499"/>
        </w:tabs>
        <w:spacing w:before="0" w:after="0"/>
        <w:rPr>
          <w:rFonts w:ascii="Times New Roman" w:hAnsi="Times New Roman" w:cs="Times New Roman"/>
          <w:i w:val="0"/>
          <w:iCs w:val="0"/>
          <w:lang w:val="sr-Cyrl-CS"/>
        </w:rPr>
      </w:pPr>
      <w:r w:rsidRPr="003D5B5E">
        <w:rPr>
          <w:rFonts w:ascii="Times New Roman" w:hAnsi="Times New Roman" w:cs="Times New Roman"/>
          <w:i w:val="0"/>
          <w:iCs w:val="0"/>
          <w:lang w:val="sr-Cyrl-CS"/>
        </w:rPr>
        <w:t xml:space="preserve">  Члан 2</w:t>
      </w:r>
      <w:r w:rsidR="00D05E34" w:rsidRPr="003D5B5E">
        <w:rPr>
          <w:rFonts w:ascii="Times New Roman" w:hAnsi="Times New Roman" w:cs="Times New Roman"/>
          <w:i w:val="0"/>
          <w:iCs w:val="0"/>
          <w:lang w:val="sr-Cyrl-CS"/>
        </w:rPr>
        <w:t>5</w:t>
      </w:r>
      <w:r w:rsidRPr="003D5B5E">
        <w:rPr>
          <w:rFonts w:ascii="Times New Roman" w:hAnsi="Times New Roman" w:cs="Times New Roman"/>
          <w:i w:val="0"/>
          <w:iCs w:val="0"/>
          <w:lang w:val="sr-Cyrl-CS"/>
        </w:rPr>
        <w:t>.</w:t>
      </w:r>
    </w:p>
    <w:p w14:paraId="4666B199" w14:textId="712B22AF" w:rsidR="00397169" w:rsidRPr="003D5B5E" w:rsidRDefault="004B733D" w:rsidP="00A137B0">
      <w:pPr>
        <w:jc w:val="both"/>
        <w:rPr>
          <w:lang w:val="sr-Cyrl-CS"/>
        </w:rPr>
      </w:pPr>
      <w:r w:rsidRPr="003D5B5E">
        <w:rPr>
          <w:lang w:val="sr-Cyrl-CS"/>
        </w:rPr>
        <w:t xml:space="preserve">             </w:t>
      </w:r>
      <w:r w:rsidR="00397169" w:rsidRPr="003D5B5E">
        <w:rPr>
          <w:lang w:val="sr-Cyrl-CS"/>
        </w:rPr>
        <w:t xml:space="preserve">Одлуке на основу поновне процене </w:t>
      </w:r>
      <w:r w:rsidRPr="003D5B5E">
        <w:rPr>
          <w:lang w:val="sr-Cyrl-CS"/>
        </w:rPr>
        <w:t>одобрењ</w:t>
      </w:r>
      <w:r w:rsidR="005F7036" w:rsidRPr="003D5B5E">
        <w:rPr>
          <w:lang w:val="sr-Cyrl-CS"/>
        </w:rPr>
        <w:t>а, у складу са чланом 2</w:t>
      </w:r>
      <w:r w:rsidR="00D05E34" w:rsidRPr="003D5B5E">
        <w:rPr>
          <w:lang w:val="sr-Cyrl-CS"/>
        </w:rPr>
        <w:t>3</w:t>
      </w:r>
      <w:r w:rsidR="005F7036" w:rsidRPr="003D5B5E">
        <w:rPr>
          <w:lang w:val="sr-Cyrl-CS"/>
        </w:rPr>
        <w:t>. став 2</w:t>
      </w:r>
      <w:r w:rsidR="00406509" w:rsidRPr="003D5B5E">
        <w:rPr>
          <w:lang w:val="sr-Cyrl-CS"/>
        </w:rPr>
        <w:t xml:space="preserve">. </w:t>
      </w:r>
      <w:r w:rsidR="00A84803" w:rsidRPr="003D5B5E">
        <w:rPr>
          <w:lang w:val="sr-Cyrl-CS"/>
        </w:rPr>
        <w:t>о</w:t>
      </w:r>
      <w:r w:rsidR="00406509" w:rsidRPr="003D5B5E">
        <w:rPr>
          <w:lang w:val="sr-Cyrl-CS"/>
        </w:rPr>
        <w:t xml:space="preserve">ве уредбе, </w:t>
      </w:r>
      <w:r w:rsidR="00397169" w:rsidRPr="003D5B5E">
        <w:rPr>
          <w:lang w:val="sr-Cyrl-CS"/>
        </w:rPr>
        <w:t>доносе се пре</w:t>
      </w:r>
      <w:r w:rsidR="00D91DDF" w:rsidRPr="003D5B5E">
        <w:rPr>
          <w:lang w:val="sr-Cyrl-CS"/>
        </w:rPr>
        <w:t xml:space="preserve"> 1. јануара 2024. године</w:t>
      </w:r>
      <w:r w:rsidR="00397169" w:rsidRPr="003D5B5E">
        <w:rPr>
          <w:lang w:val="sr-Cyrl-CS"/>
        </w:rPr>
        <w:t>.</w:t>
      </w:r>
    </w:p>
    <w:p w14:paraId="6710A4C0" w14:textId="00674B28" w:rsidR="009F2850" w:rsidRPr="003D5B5E" w:rsidRDefault="00397169" w:rsidP="00A137B0">
      <w:pPr>
        <w:ind w:firstLine="720"/>
        <w:jc w:val="both"/>
        <w:rPr>
          <w:lang w:val="sr-Cyrl-CS"/>
        </w:rPr>
      </w:pPr>
      <w:r w:rsidRPr="003D5B5E">
        <w:rPr>
          <w:lang w:val="sr-Cyrl-CS"/>
        </w:rPr>
        <w:t xml:space="preserve"> Одлукама из става 1. овог члана укидају се одобрења која су била предмет поновне процене и, према потреби, издају се нова одобрења. Одлуке се, без одлагања,</w:t>
      </w:r>
      <w:r w:rsidR="004B733D" w:rsidRPr="003D5B5E">
        <w:rPr>
          <w:lang w:val="sr-Cyrl-CS"/>
        </w:rPr>
        <w:t xml:space="preserve"> достављају носиоцима одобрења.</w:t>
      </w:r>
    </w:p>
    <w:p w14:paraId="048D449A" w14:textId="683CC8FC" w:rsidR="009F6F2E" w:rsidRPr="003D5B5E" w:rsidRDefault="009F6F2E" w:rsidP="00A137B0">
      <w:pPr>
        <w:tabs>
          <w:tab w:val="left" w:pos="851"/>
          <w:tab w:val="left" w:pos="8499"/>
        </w:tabs>
        <w:ind w:firstLine="567"/>
        <w:contextualSpacing/>
        <w:jc w:val="both"/>
        <w:rPr>
          <w:strike/>
          <w:lang w:val="sr-Cyrl-CS"/>
        </w:rPr>
      </w:pPr>
    </w:p>
    <w:p w14:paraId="4D7DB154" w14:textId="3E00ACE6" w:rsidR="00E77E01" w:rsidRPr="003D5B5E" w:rsidRDefault="00E77E01" w:rsidP="00A137B0">
      <w:pPr>
        <w:tabs>
          <w:tab w:val="left" w:pos="851"/>
          <w:tab w:val="left" w:pos="8499"/>
        </w:tabs>
        <w:ind w:firstLine="567"/>
        <w:contextualSpacing/>
        <w:jc w:val="both"/>
        <w:rPr>
          <w:strike/>
          <w:lang w:val="sr-Cyrl-CS"/>
        </w:rPr>
      </w:pPr>
    </w:p>
    <w:p w14:paraId="53B107E2" w14:textId="77777777" w:rsidR="00E77E01" w:rsidRPr="003D5B5E" w:rsidRDefault="00E77E01" w:rsidP="00A137B0">
      <w:pPr>
        <w:tabs>
          <w:tab w:val="left" w:pos="851"/>
          <w:tab w:val="left" w:pos="8499"/>
        </w:tabs>
        <w:ind w:firstLine="567"/>
        <w:contextualSpacing/>
        <w:jc w:val="both"/>
        <w:rPr>
          <w:strike/>
          <w:lang w:val="sr-Cyrl-CS"/>
        </w:rPr>
      </w:pPr>
    </w:p>
    <w:p w14:paraId="52289950" w14:textId="30446FB3" w:rsidR="004B733D" w:rsidRPr="003D5B5E" w:rsidRDefault="004B733D" w:rsidP="00A137B0">
      <w:pPr>
        <w:ind w:firstLine="720"/>
        <w:jc w:val="both"/>
        <w:rPr>
          <w:lang w:val="sr-Cyrl-CS"/>
        </w:rPr>
      </w:pPr>
      <w:r w:rsidRPr="003D5B5E">
        <w:rPr>
          <w:color w:val="000000" w:themeColor="text1"/>
          <w:lang w:val="sr-Cyrl-CS"/>
        </w:rPr>
        <w:t xml:space="preserve">   </w:t>
      </w:r>
      <w:r w:rsidRPr="003D5B5E">
        <w:rPr>
          <w:i/>
          <w:iCs/>
          <w:color w:val="000000" w:themeColor="text1"/>
          <w:lang w:val="sr-Cyrl-CS"/>
        </w:rPr>
        <w:t xml:space="preserve">    </w:t>
      </w:r>
      <w:r w:rsidR="006C16E3" w:rsidRPr="003D5B5E">
        <w:rPr>
          <w:i/>
          <w:iCs/>
          <w:color w:val="000000" w:themeColor="text1"/>
          <w:lang w:val="sr-Cyrl-CS"/>
        </w:rPr>
        <w:t xml:space="preserve">                   </w:t>
      </w:r>
      <w:r w:rsidR="008D5D80" w:rsidRPr="003D5B5E">
        <w:rPr>
          <w:i/>
          <w:iCs/>
          <w:color w:val="000000" w:themeColor="text1"/>
          <w:lang w:val="sr-Cyrl-CS"/>
        </w:rPr>
        <w:t xml:space="preserve">                               </w:t>
      </w:r>
      <w:r w:rsidR="006C16E3" w:rsidRPr="003D5B5E">
        <w:rPr>
          <w:i/>
          <w:iCs/>
          <w:color w:val="000000" w:themeColor="text1"/>
          <w:lang w:val="sr-Cyrl-CS"/>
        </w:rPr>
        <w:t xml:space="preserve"> </w:t>
      </w:r>
      <w:r w:rsidRPr="003D5B5E">
        <w:rPr>
          <w:color w:val="000000" w:themeColor="text1"/>
          <w:lang w:val="sr-Cyrl-CS"/>
        </w:rPr>
        <w:t xml:space="preserve">Члан </w:t>
      </w:r>
      <w:r w:rsidR="006C16E3" w:rsidRPr="003D5B5E">
        <w:rPr>
          <w:iCs/>
          <w:color w:val="000000" w:themeColor="text1"/>
          <w:lang w:val="sr-Cyrl-CS"/>
        </w:rPr>
        <w:t>2</w:t>
      </w:r>
      <w:r w:rsidR="00D05E34" w:rsidRPr="003D5B5E">
        <w:rPr>
          <w:iCs/>
          <w:color w:val="000000" w:themeColor="text1"/>
          <w:lang w:val="sr-Cyrl-CS"/>
        </w:rPr>
        <w:t>6</w:t>
      </w:r>
      <w:r w:rsidR="006C16E3" w:rsidRPr="003D5B5E">
        <w:rPr>
          <w:iCs/>
          <w:color w:val="000000" w:themeColor="text1"/>
          <w:lang w:val="sr-Cyrl-CS"/>
        </w:rPr>
        <w:t>.</w:t>
      </w:r>
    </w:p>
    <w:p w14:paraId="32688507" w14:textId="35FB3F04" w:rsidR="0034221C" w:rsidRPr="003D5B5E" w:rsidRDefault="006C16E3" w:rsidP="00A137B0">
      <w:pPr>
        <w:jc w:val="both"/>
        <w:rPr>
          <w:lang w:val="sr-Cyrl-CS"/>
        </w:rPr>
      </w:pPr>
      <w:r w:rsidRPr="003D5B5E">
        <w:rPr>
          <w:lang w:val="sr-Cyrl-CS"/>
        </w:rPr>
        <w:t xml:space="preserve">          </w:t>
      </w:r>
      <w:r w:rsidR="0034221C" w:rsidRPr="003D5B5E">
        <w:rPr>
          <w:lang w:val="sr-Cyrl-CS"/>
        </w:rPr>
        <w:t>Ова уредба ступа на снагу осмог дана од дана објављивања у „Службеном гласнику Р</w:t>
      </w:r>
      <w:r w:rsidR="00036D24" w:rsidRPr="003D5B5E">
        <w:rPr>
          <w:lang w:val="sr-Cyrl-CS"/>
        </w:rPr>
        <w:t>епублике Србије</w:t>
      </w:r>
      <w:r w:rsidR="0034221C" w:rsidRPr="003D5B5E">
        <w:rPr>
          <w:lang w:val="sr-Cyrl-CS"/>
        </w:rPr>
        <w:t>”, а</w:t>
      </w:r>
      <w:r w:rsidR="00036D24" w:rsidRPr="003D5B5E">
        <w:rPr>
          <w:lang w:val="sr-Cyrl-CS"/>
        </w:rPr>
        <w:t xml:space="preserve"> почиње да се</w:t>
      </w:r>
      <w:r w:rsidR="0034221C" w:rsidRPr="003D5B5E">
        <w:rPr>
          <w:lang w:val="sr-Cyrl-CS"/>
        </w:rPr>
        <w:t xml:space="preserve"> примењује </w:t>
      </w:r>
      <w:r w:rsidR="00036D24" w:rsidRPr="003D5B5E">
        <w:rPr>
          <w:lang w:val="sr-Cyrl-CS"/>
        </w:rPr>
        <w:t>по истеку</w:t>
      </w:r>
      <w:r w:rsidR="0034221C" w:rsidRPr="003D5B5E">
        <w:rPr>
          <w:lang w:val="sr-Cyrl-CS"/>
        </w:rPr>
        <w:t xml:space="preserve"> шест месеци од дана ступања на снагу, осим одредаба чл. 4. </w:t>
      </w:r>
      <w:r w:rsidR="00036D24" w:rsidRPr="003D5B5E">
        <w:rPr>
          <w:lang w:val="sr-Cyrl-CS"/>
        </w:rPr>
        <w:t>и 5,</w:t>
      </w:r>
      <w:r w:rsidR="0034221C" w:rsidRPr="003D5B5E">
        <w:rPr>
          <w:lang w:val="sr-Cyrl-CS"/>
        </w:rPr>
        <w:t xml:space="preserve"> које почињу да се примењују д</w:t>
      </w:r>
      <w:r w:rsidR="00B45BF6" w:rsidRPr="003D5B5E">
        <w:rPr>
          <w:lang w:val="sr-Cyrl-CS"/>
        </w:rPr>
        <w:t>a</w:t>
      </w:r>
      <w:r w:rsidR="0034221C" w:rsidRPr="003D5B5E">
        <w:rPr>
          <w:lang w:val="sr-Cyrl-CS"/>
        </w:rPr>
        <w:t>ном ступања на снагу ове уредбе.</w:t>
      </w:r>
    </w:p>
    <w:p w14:paraId="02AD5C24" w14:textId="5AC86103" w:rsidR="002D0DDA" w:rsidRPr="003D5B5E" w:rsidRDefault="002D0DDA" w:rsidP="00A137B0">
      <w:pPr>
        <w:jc w:val="both"/>
        <w:rPr>
          <w:lang w:val="sr-Cyrl-CS"/>
        </w:rPr>
      </w:pPr>
    </w:p>
    <w:p w14:paraId="543EA6A0" w14:textId="77777777" w:rsidR="002D0DDA" w:rsidRPr="003D5B5E" w:rsidRDefault="002D0DDA" w:rsidP="00A137B0">
      <w:pPr>
        <w:jc w:val="both"/>
        <w:rPr>
          <w:lang w:val="sr-Cyrl-CS"/>
        </w:rPr>
      </w:pPr>
    </w:p>
    <w:p w14:paraId="24B98975" w14:textId="07B0CE58" w:rsidR="002D0DDA" w:rsidRPr="00191BB8" w:rsidRDefault="00191BB8" w:rsidP="00A137B0">
      <w:pPr>
        <w:jc w:val="both"/>
        <w:rPr>
          <w:rStyle w:val="tw4winMark"/>
          <w:rFonts w:ascii="Times New Roman" w:hAnsi="Times New Roman" w:cs="Times New Roman"/>
          <w:vanish w:val="0"/>
          <w:color w:val="auto"/>
          <w:vertAlign w:val="baseline"/>
        </w:rPr>
      </w:pPr>
      <w:r>
        <w:rPr>
          <w:rStyle w:val="tw4winMark"/>
          <w:rFonts w:ascii="Times New Roman" w:hAnsi="Times New Roman" w:cs="Times New Roman"/>
          <w:vanish w:val="0"/>
          <w:color w:val="auto"/>
          <w:vertAlign w:val="baseline"/>
        </w:rPr>
        <w:t xml:space="preserve">05 </w:t>
      </w:r>
      <w:r w:rsidR="002D0DDA" w:rsidRPr="003D5B5E">
        <w:rPr>
          <w:rStyle w:val="tw4winMark"/>
          <w:rFonts w:ascii="Times New Roman" w:hAnsi="Times New Roman" w:cs="Times New Roman"/>
          <w:vanish w:val="0"/>
          <w:color w:val="auto"/>
          <w:vertAlign w:val="baseline"/>
          <w:lang w:val="sr-Cyrl-CS"/>
        </w:rPr>
        <w:t>Број:</w:t>
      </w:r>
      <w:r>
        <w:rPr>
          <w:rStyle w:val="tw4winMark"/>
          <w:rFonts w:ascii="Times New Roman" w:hAnsi="Times New Roman" w:cs="Times New Roman"/>
          <w:vanish w:val="0"/>
          <w:color w:val="auto"/>
          <w:vertAlign w:val="baseline"/>
        </w:rPr>
        <w:t xml:space="preserve"> 110-11191/2022</w:t>
      </w:r>
    </w:p>
    <w:p w14:paraId="2F99CABF" w14:textId="234E324B" w:rsidR="002D0DDA" w:rsidRPr="00191BB8" w:rsidRDefault="002D0DDA" w:rsidP="00A137B0">
      <w:pPr>
        <w:jc w:val="both"/>
        <w:rPr>
          <w:rStyle w:val="tw4winMark"/>
          <w:rFonts w:ascii="Times New Roman" w:hAnsi="Times New Roman" w:cs="Times New Roman"/>
          <w:vanish w:val="0"/>
          <w:color w:val="auto"/>
          <w:vertAlign w:val="baseline"/>
          <w:lang w:val="sr-Cyrl-RS"/>
        </w:rPr>
      </w:pPr>
      <w:r w:rsidRPr="003D5B5E">
        <w:rPr>
          <w:rStyle w:val="tw4winMark"/>
          <w:rFonts w:ascii="Times New Roman" w:hAnsi="Times New Roman" w:cs="Times New Roman"/>
          <w:vanish w:val="0"/>
          <w:color w:val="auto"/>
          <w:vertAlign w:val="baseline"/>
          <w:lang w:val="sr-Cyrl-CS"/>
        </w:rPr>
        <w:t>У Београду,</w:t>
      </w:r>
      <w:r w:rsidR="00191BB8">
        <w:rPr>
          <w:rStyle w:val="tw4winMark"/>
          <w:rFonts w:ascii="Times New Roman" w:hAnsi="Times New Roman" w:cs="Times New Roman"/>
          <w:vanish w:val="0"/>
          <w:color w:val="auto"/>
          <w:vertAlign w:val="baseline"/>
        </w:rPr>
        <w:t xml:space="preserve"> 29. </w:t>
      </w:r>
      <w:r w:rsidR="00191BB8">
        <w:rPr>
          <w:rStyle w:val="tw4winMark"/>
          <w:rFonts w:ascii="Times New Roman" w:hAnsi="Times New Roman" w:cs="Times New Roman"/>
          <w:vanish w:val="0"/>
          <w:color w:val="auto"/>
          <w:vertAlign w:val="baseline"/>
          <w:lang w:val="sr-Cyrl-RS"/>
        </w:rPr>
        <w:t>децембра 2022. године</w:t>
      </w:r>
    </w:p>
    <w:p w14:paraId="0D2AF24F" w14:textId="5D034B93" w:rsidR="002D0DDA" w:rsidRPr="003D5B5E" w:rsidRDefault="002D0DDA" w:rsidP="00A137B0">
      <w:pPr>
        <w:jc w:val="both"/>
        <w:rPr>
          <w:rStyle w:val="tw4winMark"/>
          <w:rFonts w:ascii="Times New Roman" w:hAnsi="Times New Roman" w:cs="Times New Roman"/>
          <w:vanish w:val="0"/>
          <w:color w:val="auto"/>
          <w:vertAlign w:val="baseline"/>
          <w:lang w:val="sr-Cyrl-CS"/>
        </w:rPr>
      </w:pPr>
    </w:p>
    <w:p w14:paraId="627732E6" w14:textId="2F63EDCD" w:rsidR="002D0DDA" w:rsidRPr="003D5B5E" w:rsidRDefault="002D0DDA" w:rsidP="002D0DDA">
      <w:pPr>
        <w:jc w:val="center"/>
        <w:rPr>
          <w:rStyle w:val="tw4winMark"/>
          <w:rFonts w:ascii="Times New Roman" w:hAnsi="Times New Roman" w:cs="Times New Roman"/>
          <w:vanish w:val="0"/>
          <w:color w:val="auto"/>
          <w:vertAlign w:val="baseline"/>
          <w:lang w:val="sr-Cyrl-CS"/>
        </w:rPr>
      </w:pPr>
      <w:r w:rsidRPr="003D5B5E">
        <w:rPr>
          <w:rStyle w:val="tw4winMark"/>
          <w:rFonts w:ascii="Times New Roman" w:hAnsi="Times New Roman" w:cs="Times New Roman"/>
          <w:vanish w:val="0"/>
          <w:color w:val="auto"/>
          <w:vertAlign w:val="baseline"/>
          <w:lang w:val="sr-Cyrl-CS"/>
        </w:rPr>
        <w:t>В Л А Д А</w:t>
      </w:r>
    </w:p>
    <w:p w14:paraId="27A68BEB" w14:textId="4B5CCF09" w:rsidR="000C0F71" w:rsidRPr="003D5B5E" w:rsidRDefault="000C0F71" w:rsidP="002D0DDA">
      <w:pPr>
        <w:jc w:val="center"/>
        <w:rPr>
          <w:rStyle w:val="tw4winMark"/>
          <w:rFonts w:ascii="Times New Roman" w:hAnsi="Times New Roman" w:cs="Times New Roman"/>
          <w:vanish w:val="0"/>
          <w:color w:val="auto"/>
          <w:vertAlign w:val="baseline"/>
          <w:lang w:val="sr-Cyrl-CS"/>
        </w:rPr>
      </w:pPr>
    </w:p>
    <w:p w14:paraId="427F56C0" w14:textId="77777777" w:rsidR="007F4CCD" w:rsidRPr="003D5B5E" w:rsidRDefault="007F4CCD" w:rsidP="002D0DDA">
      <w:pPr>
        <w:jc w:val="center"/>
        <w:rPr>
          <w:rStyle w:val="tw4winMark"/>
          <w:rFonts w:ascii="Times New Roman" w:hAnsi="Times New Roman" w:cs="Times New Roman"/>
          <w:vanish w:val="0"/>
          <w:color w:val="auto"/>
          <w:vertAlign w:val="baseline"/>
          <w:lang w:val="sr-Cyrl-CS"/>
        </w:rPr>
      </w:pPr>
    </w:p>
    <w:p w14:paraId="1EC758D2" w14:textId="6CA044DA" w:rsidR="000C0F71" w:rsidRPr="003D5B5E" w:rsidRDefault="000C0F71" w:rsidP="00213677">
      <w:pPr>
        <w:rPr>
          <w:rStyle w:val="tw4winMark"/>
          <w:rFonts w:ascii="Times New Roman" w:hAnsi="Times New Roman" w:cs="Times New Roman"/>
          <w:vanish w:val="0"/>
          <w:color w:val="auto"/>
          <w:vertAlign w:val="baseline"/>
          <w:lang w:val="sr-Cyrl-CS"/>
        </w:rPr>
      </w:pPr>
    </w:p>
    <w:p w14:paraId="65DFA3AC" w14:textId="77777777" w:rsidR="000C0F71" w:rsidRPr="003D5B5E" w:rsidRDefault="000C0F71" w:rsidP="000C0F71">
      <w:pPr>
        <w:ind w:left="4320" w:firstLine="720"/>
        <w:rPr>
          <w:lang w:val="sr-Cyrl-CS"/>
        </w:rPr>
      </w:pPr>
      <w:r w:rsidRPr="003D5B5E">
        <w:rPr>
          <w:lang w:val="sr-Cyrl-CS"/>
        </w:rPr>
        <w:t>ПРВИ ПОТПРЕДСЕДНИК ВЛАДЕ</w:t>
      </w:r>
    </w:p>
    <w:p w14:paraId="4F96FA04" w14:textId="77777777" w:rsidR="000C0F71" w:rsidRPr="003D5B5E" w:rsidRDefault="000C0F71" w:rsidP="000C0F71">
      <w:pPr>
        <w:ind w:left="4320" w:firstLine="720"/>
        <w:rPr>
          <w:lang w:val="sr-Cyrl-CS"/>
        </w:rPr>
      </w:pPr>
    </w:p>
    <w:p w14:paraId="6E0240F2" w14:textId="77777777" w:rsidR="000C0F71" w:rsidRPr="003D5B5E" w:rsidRDefault="000C0F71" w:rsidP="000C0F71">
      <w:pPr>
        <w:ind w:left="4320" w:firstLine="720"/>
        <w:rPr>
          <w:lang w:val="sr-Cyrl-CS"/>
        </w:rPr>
      </w:pPr>
    </w:p>
    <w:p w14:paraId="6782676B" w14:textId="66365A2E" w:rsidR="000C0F71" w:rsidRPr="003D5B5E" w:rsidRDefault="007F4CCD" w:rsidP="007F4CCD">
      <w:pPr>
        <w:ind w:left="5760"/>
        <w:rPr>
          <w:lang w:val="sr-Cyrl-CS"/>
        </w:rPr>
      </w:pPr>
      <w:r w:rsidRPr="003D5B5E">
        <w:rPr>
          <w:lang w:val="sr-Cyrl-CS"/>
        </w:rPr>
        <w:t xml:space="preserve">   </w:t>
      </w:r>
      <w:r w:rsidR="000C0F71" w:rsidRPr="003D5B5E">
        <w:rPr>
          <w:lang w:val="sr-Cyrl-CS"/>
        </w:rPr>
        <w:t>Ивица Дачић</w:t>
      </w:r>
      <w:r w:rsidR="00191BB8">
        <w:rPr>
          <w:lang w:val="sr-Cyrl-CS"/>
        </w:rPr>
        <w:t>,с,р,</w:t>
      </w:r>
    </w:p>
    <w:p w14:paraId="49B8189B" w14:textId="55787ECB" w:rsidR="002D0DDA" w:rsidRPr="003D5B5E" w:rsidRDefault="002D0DDA" w:rsidP="000C0F71">
      <w:pPr>
        <w:jc w:val="center"/>
        <w:rPr>
          <w:rStyle w:val="tw4winMark"/>
          <w:rFonts w:ascii="Times New Roman" w:hAnsi="Times New Roman" w:cs="Times New Roman"/>
          <w:vanish w:val="0"/>
          <w:color w:val="auto"/>
          <w:vertAlign w:val="baseline"/>
          <w:lang w:val="sr-Cyrl-CS"/>
        </w:rPr>
      </w:pPr>
    </w:p>
    <w:p w14:paraId="0AA50405" w14:textId="423AF8E6" w:rsidR="002D0DDA" w:rsidRPr="003D5B5E" w:rsidRDefault="002D0DDA" w:rsidP="002D0DDA">
      <w:pPr>
        <w:jc w:val="center"/>
        <w:rPr>
          <w:rStyle w:val="tw4winMark"/>
          <w:rFonts w:ascii="Times New Roman" w:hAnsi="Times New Roman" w:cs="Times New Roman"/>
          <w:vanish w:val="0"/>
          <w:color w:val="auto"/>
          <w:vertAlign w:val="baseline"/>
          <w:lang w:val="sr-Cyrl-CS"/>
        </w:rPr>
      </w:pPr>
    </w:p>
    <w:p w14:paraId="6B6B5C81" w14:textId="45C863C5" w:rsidR="002D0DDA" w:rsidRPr="003D5B5E" w:rsidRDefault="002D0DDA" w:rsidP="002D0DDA">
      <w:pPr>
        <w:jc w:val="center"/>
        <w:rPr>
          <w:rStyle w:val="tw4winMark"/>
          <w:rFonts w:ascii="Times New Roman" w:hAnsi="Times New Roman" w:cs="Times New Roman"/>
          <w:vanish w:val="0"/>
          <w:color w:val="auto"/>
          <w:vertAlign w:val="baseline"/>
          <w:lang w:val="sr-Cyrl-CS"/>
        </w:rPr>
      </w:pPr>
      <w:r w:rsidRPr="003D5B5E">
        <w:rPr>
          <w:rStyle w:val="tw4winMark"/>
          <w:rFonts w:ascii="Times New Roman" w:hAnsi="Times New Roman" w:cs="Times New Roman"/>
          <w:vanish w:val="0"/>
          <w:color w:val="auto"/>
          <w:vertAlign w:val="baseline"/>
          <w:lang w:val="sr-Cyrl-CS"/>
        </w:rPr>
        <w:tab/>
      </w:r>
      <w:r w:rsidRPr="003D5B5E">
        <w:rPr>
          <w:rStyle w:val="tw4winMark"/>
          <w:rFonts w:ascii="Times New Roman" w:hAnsi="Times New Roman" w:cs="Times New Roman"/>
          <w:vanish w:val="0"/>
          <w:color w:val="auto"/>
          <w:vertAlign w:val="baseline"/>
          <w:lang w:val="sr-Cyrl-CS"/>
        </w:rPr>
        <w:tab/>
      </w:r>
      <w:r w:rsidRPr="003D5B5E">
        <w:rPr>
          <w:rStyle w:val="tw4winMark"/>
          <w:rFonts w:ascii="Times New Roman" w:hAnsi="Times New Roman" w:cs="Times New Roman"/>
          <w:vanish w:val="0"/>
          <w:color w:val="auto"/>
          <w:vertAlign w:val="baseline"/>
          <w:lang w:val="sr-Cyrl-CS"/>
        </w:rPr>
        <w:tab/>
      </w:r>
      <w:r w:rsidRPr="003D5B5E">
        <w:rPr>
          <w:rStyle w:val="tw4winMark"/>
          <w:rFonts w:ascii="Times New Roman" w:hAnsi="Times New Roman" w:cs="Times New Roman"/>
          <w:vanish w:val="0"/>
          <w:color w:val="auto"/>
          <w:vertAlign w:val="baseline"/>
          <w:lang w:val="sr-Cyrl-CS"/>
        </w:rPr>
        <w:tab/>
      </w:r>
      <w:r w:rsidRPr="003D5B5E">
        <w:rPr>
          <w:rStyle w:val="tw4winMark"/>
          <w:rFonts w:ascii="Times New Roman" w:hAnsi="Times New Roman" w:cs="Times New Roman"/>
          <w:vanish w:val="0"/>
          <w:color w:val="auto"/>
          <w:vertAlign w:val="baseline"/>
          <w:lang w:val="sr-Cyrl-CS"/>
        </w:rPr>
        <w:tab/>
      </w:r>
      <w:r w:rsidRPr="003D5B5E">
        <w:rPr>
          <w:rStyle w:val="tw4winMark"/>
          <w:rFonts w:ascii="Times New Roman" w:hAnsi="Times New Roman" w:cs="Times New Roman"/>
          <w:vanish w:val="0"/>
          <w:color w:val="auto"/>
          <w:vertAlign w:val="baseline"/>
          <w:lang w:val="sr-Cyrl-CS"/>
        </w:rPr>
        <w:tab/>
      </w:r>
      <w:r w:rsidR="006F678A" w:rsidRPr="003D5B5E">
        <w:rPr>
          <w:rStyle w:val="tw4winMark"/>
          <w:rFonts w:ascii="Times New Roman" w:hAnsi="Times New Roman" w:cs="Times New Roman"/>
          <w:vanish w:val="0"/>
          <w:color w:val="auto"/>
          <w:vertAlign w:val="baseline"/>
          <w:lang w:val="sr-Cyrl-CS"/>
        </w:rPr>
        <w:tab/>
      </w:r>
    </w:p>
    <w:p w14:paraId="751CB361" w14:textId="319C4CB9" w:rsidR="00920093" w:rsidRPr="003D5B5E" w:rsidRDefault="00920093" w:rsidP="002D0DDA">
      <w:pPr>
        <w:jc w:val="center"/>
        <w:rPr>
          <w:rStyle w:val="tw4winMark"/>
          <w:rFonts w:ascii="Times New Roman" w:hAnsi="Times New Roman" w:cs="Times New Roman"/>
          <w:vanish w:val="0"/>
          <w:color w:val="auto"/>
          <w:vertAlign w:val="baseline"/>
          <w:lang w:val="sr-Cyrl-CS"/>
        </w:rPr>
      </w:pPr>
    </w:p>
    <w:p w14:paraId="4F3F2C0A" w14:textId="7B3C9F69" w:rsidR="00920093" w:rsidRPr="003D5B5E" w:rsidRDefault="00920093" w:rsidP="00920093">
      <w:pPr>
        <w:rPr>
          <w:rStyle w:val="tw4winMark"/>
          <w:rFonts w:ascii="Times New Roman" w:hAnsi="Times New Roman" w:cs="Times New Roman"/>
          <w:vanish w:val="0"/>
          <w:color w:val="auto"/>
          <w:vertAlign w:val="baseline"/>
          <w:lang w:val="sr-Cyrl-CS"/>
        </w:rPr>
      </w:pPr>
    </w:p>
    <w:p w14:paraId="5CCE9CBE" w14:textId="4C5F1FEE" w:rsidR="00920093" w:rsidRPr="003D5B5E" w:rsidRDefault="00920093" w:rsidP="002D0DDA">
      <w:pPr>
        <w:jc w:val="center"/>
        <w:rPr>
          <w:rStyle w:val="tw4winMark"/>
          <w:rFonts w:ascii="Times New Roman" w:hAnsi="Times New Roman" w:cs="Times New Roman"/>
          <w:vanish w:val="0"/>
          <w:color w:val="auto"/>
          <w:lang w:val="sr-Cyrl-CS"/>
        </w:rPr>
      </w:pPr>
    </w:p>
    <w:p w14:paraId="7858D23D" w14:textId="60FA66F2" w:rsidR="00920093" w:rsidRPr="003D5B5E" w:rsidRDefault="00920093" w:rsidP="002D0DDA">
      <w:pPr>
        <w:jc w:val="center"/>
        <w:rPr>
          <w:rStyle w:val="tw4winMark"/>
          <w:rFonts w:ascii="Times New Roman" w:hAnsi="Times New Roman" w:cs="Times New Roman"/>
          <w:vanish w:val="0"/>
          <w:color w:val="auto"/>
          <w:lang w:val="sr-Cyrl-CS"/>
        </w:rPr>
      </w:pPr>
    </w:p>
    <w:p w14:paraId="014C3FFD" w14:textId="64463CA1" w:rsidR="00920093" w:rsidRPr="003D5B5E" w:rsidRDefault="00920093" w:rsidP="00920093">
      <w:pPr>
        <w:rPr>
          <w:rStyle w:val="tw4winMark"/>
          <w:rFonts w:ascii="Times New Roman" w:hAnsi="Times New Roman" w:cs="Times New Roman"/>
          <w:vanish w:val="0"/>
          <w:color w:val="auto"/>
          <w:lang w:val="sr-Cyrl-CS"/>
        </w:rPr>
      </w:pPr>
    </w:p>
    <w:p w14:paraId="3959CBC9" w14:textId="77777777" w:rsidR="003E69C8" w:rsidRPr="003D5B5E" w:rsidRDefault="003E69C8" w:rsidP="00A137B0">
      <w:pPr>
        <w:jc w:val="center"/>
        <w:rPr>
          <w:rStyle w:val="tw4winMark"/>
          <w:rFonts w:ascii="Times New Roman" w:hAnsi="Times New Roman" w:cs="Times New Roman"/>
          <w:lang w:val="sr-Cyrl-CS"/>
        </w:rPr>
      </w:pPr>
    </w:p>
    <w:p w14:paraId="46609E98" w14:textId="7E4E607B" w:rsidR="003E69C8" w:rsidRPr="003D5B5E" w:rsidRDefault="003E69C8" w:rsidP="00A137B0">
      <w:pPr>
        <w:jc w:val="center"/>
        <w:rPr>
          <w:rStyle w:val="tw4winMark"/>
          <w:rFonts w:ascii="Times New Roman" w:hAnsi="Times New Roman" w:cs="Times New Roman"/>
          <w:lang w:val="sr-Cyrl-CS"/>
        </w:rPr>
      </w:pPr>
    </w:p>
    <w:p w14:paraId="1FD859AE" w14:textId="5FD89C6A" w:rsidR="003E69C8" w:rsidRPr="003D5B5E" w:rsidRDefault="003E69C8" w:rsidP="00A137B0">
      <w:pPr>
        <w:jc w:val="center"/>
        <w:rPr>
          <w:rStyle w:val="tw4winMark"/>
          <w:rFonts w:ascii="Times New Roman" w:hAnsi="Times New Roman" w:cs="Times New Roman"/>
          <w:lang w:val="sr-Cyrl-CS"/>
        </w:rPr>
      </w:pPr>
    </w:p>
    <w:p w14:paraId="13F576A9" w14:textId="19F8D688" w:rsidR="003E69C8" w:rsidRPr="003D5B5E" w:rsidRDefault="003E69C8" w:rsidP="00A137B0">
      <w:pPr>
        <w:jc w:val="center"/>
        <w:rPr>
          <w:rStyle w:val="tw4winMark"/>
          <w:rFonts w:ascii="Times New Roman" w:hAnsi="Times New Roman" w:cs="Times New Roman"/>
          <w:lang w:val="sr-Cyrl-CS"/>
        </w:rPr>
      </w:pPr>
    </w:p>
    <w:p w14:paraId="7A4AE66F" w14:textId="12A9AF18" w:rsidR="003E69C8" w:rsidRPr="003D5B5E" w:rsidRDefault="003E69C8" w:rsidP="00A137B0">
      <w:pPr>
        <w:jc w:val="center"/>
        <w:rPr>
          <w:rStyle w:val="tw4winMark"/>
          <w:rFonts w:ascii="Times New Roman" w:hAnsi="Times New Roman" w:cs="Times New Roman"/>
          <w:lang w:val="sr-Cyrl-CS"/>
        </w:rPr>
      </w:pPr>
    </w:p>
    <w:p w14:paraId="12AEDFDF" w14:textId="06C08853" w:rsidR="003E69C8" w:rsidRPr="003D5B5E" w:rsidRDefault="003E69C8" w:rsidP="00A137B0">
      <w:pPr>
        <w:jc w:val="center"/>
        <w:rPr>
          <w:rStyle w:val="tw4winMark"/>
          <w:rFonts w:ascii="Times New Roman" w:hAnsi="Times New Roman" w:cs="Times New Roman"/>
          <w:lang w:val="sr-Cyrl-CS"/>
        </w:rPr>
      </w:pPr>
    </w:p>
    <w:p w14:paraId="233A9F69" w14:textId="6AFC745A" w:rsidR="003E69C8" w:rsidRPr="003D5B5E" w:rsidRDefault="003E69C8" w:rsidP="00A137B0">
      <w:pPr>
        <w:jc w:val="center"/>
        <w:rPr>
          <w:rStyle w:val="tw4winMark"/>
          <w:rFonts w:ascii="Times New Roman" w:hAnsi="Times New Roman" w:cs="Times New Roman"/>
          <w:lang w:val="sr-Cyrl-CS"/>
        </w:rPr>
      </w:pPr>
    </w:p>
    <w:p w14:paraId="7208A3BE" w14:textId="50F0E7F3" w:rsidR="003E69C8" w:rsidRPr="003D5B5E" w:rsidRDefault="003E69C8" w:rsidP="00A137B0">
      <w:pPr>
        <w:jc w:val="center"/>
        <w:rPr>
          <w:rStyle w:val="tw4winMark"/>
          <w:rFonts w:ascii="Times New Roman" w:hAnsi="Times New Roman" w:cs="Times New Roman"/>
          <w:lang w:val="sr-Cyrl-CS"/>
        </w:rPr>
      </w:pPr>
    </w:p>
    <w:p w14:paraId="44FF3EDA" w14:textId="2C7B7E35" w:rsidR="003E69C8" w:rsidRPr="003D5B5E" w:rsidRDefault="003E69C8" w:rsidP="00A137B0">
      <w:pPr>
        <w:jc w:val="center"/>
        <w:rPr>
          <w:rStyle w:val="tw4winMark"/>
          <w:rFonts w:ascii="Times New Roman" w:hAnsi="Times New Roman" w:cs="Times New Roman"/>
          <w:lang w:val="sr-Cyrl-CS"/>
        </w:rPr>
      </w:pPr>
    </w:p>
    <w:p w14:paraId="18A5827C" w14:textId="559BF177" w:rsidR="003E69C8" w:rsidRPr="003D5B5E" w:rsidRDefault="003E69C8" w:rsidP="00A137B0">
      <w:pPr>
        <w:jc w:val="center"/>
        <w:rPr>
          <w:rStyle w:val="tw4winMark"/>
          <w:rFonts w:ascii="Times New Roman" w:hAnsi="Times New Roman" w:cs="Times New Roman"/>
          <w:lang w:val="sr-Cyrl-CS"/>
        </w:rPr>
      </w:pPr>
    </w:p>
    <w:p w14:paraId="5A8B5578" w14:textId="360942D3" w:rsidR="003E69C8" w:rsidRPr="003D5B5E" w:rsidRDefault="003E69C8" w:rsidP="00A137B0">
      <w:pPr>
        <w:jc w:val="center"/>
        <w:rPr>
          <w:rStyle w:val="tw4winMark"/>
          <w:rFonts w:ascii="Times New Roman" w:hAnsi="Times New Roman" w:cs="Times New Roman"/>
          <w:lang w:val="sr-Cyrl-CS"/>
        </w:rPr>
      </w:pPr>
    </w:p>
    <w:p w14:paraId="1C556442" w14:textId="6C49D380" w:rsidR="003E69C8" w:rsidRPr="003D5B5E" w:rsidRDefault="003E69C8" w:rsidP="00A137B0">
      <w:pPr>
        <w:jc w:val="center"/>
        <w:rPr>
          <w:rStyle w:val="tw4winMark"/>
          <w:rFonts w:ascii="Times New Roman" w:hAnsi="Times New Roman" w:cs="Times New Roman"/>
          <w:lang w:val="sr-Cyrl-CS"/>
        </w:rPr>
      </w:pPr>
    </w:p>
    <w:p w14:paraId="6743D912" w14:textId="766ABF6F" w:rsidR="003E69C8" w:rsidRPr="003D5B5E" w:rsidRDefault="003E69C8" w:rsidP="00A137B0">
      <w:pPr>
        <w:jc w:val="center"/>
        <w:rPr>
          <w:rStyle w:val="tw4winMark"/>
          <w:rFonts w:ascii="Times New Roman" w:hAnsi="Times New Roman" w:cs="Times New Roman"/>
          <w:lang w:val="sr-Cyrl-CS"/>
        </w:rPr>
      </w:pPr>
    </w:p>
    <w:sectPr w:rsidR="003E69C8" w:rsidRPr="003D5B5E" w:rsidSect="009E40CE">
      <w:footerReference w:type="default" r:id="rId7"/>
      <w:pgSz w:w="12240" w:h="15840"/>
      <w:pgMar w:top="426" w:right="1418" w:bottom="1134"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EF359" w14:textId="77777777" w:rsidR="00CE07E2" w:rsidRDefault="00CE07E2" w:rsidP="005331B7">
      <w:r>
        <w:separator/>
      </w:r>
    </w:p>
  </w:endnote>
  <w:endnote w:type="continuationSeparator" w:id="0">
    <w:p w14:paraId="1343232A" w14:textId="77777777" w:rsidR="00CE07E2" w:rsidRDefault="00CE07E2" w:rsidP="00533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507414"/>
      <w:docPartObj>
        <w:docPartGallery w:val="Page Numbers (Bottom of Page)"/>
        <w:docPartUnique/>
      </w:docPartObj>
    </w:sdtPr>
    <w:sdtEndPr>
      <w:rPr>
        <w:noProof/>
      </w:rPr>
    </w:sdtEndPr>
    <w:sdtContent>
      <w:p w14:paraId="71ED8E3B" w14:textId="1F8A31EB" w:rsidR="009E40CE" w:rsidRDefault="009E40CE">
        <w:pPr>
          <w:pStyle w:val="Footer"/>
          <w:jc w:val="center"/>
        </w:pPr>
        <w:r>
          <w:fldChar w:fldCharType="begin"/>
        </w:r>
        <w:r>
          <w:instrText xml:space="preserve"> PAGE   \* MERGEFORMAT </w:instrText>
        </w:r>
        <w:r>
          <w:fldChar w:fldCharType="separate"/>
        </w:r>
        <w:r w:rsidR="00191BB8">
          <w:rPr>
            <w:noProof/>
          </w:rPr>
          <w:t>5</w:t>
        </w:r>
        <w:r>
          <w:rPr>
            <w:noProof/>
          </w:rPr>
          <w:fldChar w:fldCharType="end"/>
        </w:r>
      </w:p>
    </w:sdtContent>
  </w:sdt>
  <w:p w14:paraId="1520BDCA" w14:textId="77777777" w:rsidR="000C019C" w:rsidRDefault="000C0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4EA2F" w14:textId="77777777" w:rsidR="00CE07E2" w:rsidRDefault="00CE07E2" w:rsidP="005331B7">
      <w:r>
        <w:separator/>
      </w:r>
    </w:p>
  </w:footnote>
  <w:footnote w:type="continuationSeparator" w:id="0">
    <w:p w14:paraId="73DAC066" w14:textId="77777777" w:rsidR="00CE07E2" w:rsidRDefault="00CE07E2" w:rsidP="00533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3A24"/>
    <w:multiLevelType w:val="hybridMultilevel"/>
    <w:tmpl w:val="3E30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9F5439"/>
    <w:multiLevelType w:val="hybridMultilevel"/>
    <w:tmpl w:val="2FC2A4F2"/>
    <w:lvl w:ilvl="0" w:tplc="4E6A9272">
      <w:start w:val="1"/>
      <w:numFmt w:val="decimal"/>
      <w:lvlText w:val="%1."/>
      <w:lvlJc w:val="left"/>
      <w:pPr>
        <w:ind w:left="1140" w:hanging="360"/>
      </w:pPr>
      <w:rPr>
        <w:rFonts w:hint="default"/>
        <w:strike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CE23F1C"/>
    <w:multiLevelType w:val="multilevel"/>
    <w:tmpl w:val="B658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E76523"/>
    <w:multiLevelType w:val="multilevel"/>
    <w:tmpl w:val="613EFD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950920"/>
    <w:multiLevelType w:val="hybridMultilevel"/>
    <w:tmpl w:val="205A6DF4"/>
    <w:lvl w:ilvl="0" w:tplc="C17E93C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93349047">
    <w:abstractNumId w:val="0"/>
  </w:num>
  <w:num w:numId="2" w16cid:durableId="1143811590">
    <w:abstractNumId w:val="2"/>
  </w:num>
  <w:num w:numId="3" w16cid:durableId="1458329644">
    <w:abstractNumId w:val="3"/>
    <w:lvlOverride w:ilvl="0">
      <w:lvl w:ilvl="0">
        <w:numFmt w:val="decimal"/>
        <w:lvlText w:val="%1."/>
        <w:lvlJc w:val="left"/>
      </w:lvl>
    </w:lvlOverride>
  </w:num>
  <w:num w:numId="4" w16cid:durableId="956327399">
    <w:abstractNumId w:val="1"/>
  </w:num>
  <w:num w:numId="5" w16cid:durableId="15973275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9ED"/>
    <w:rsid w:val="00016098"/>
    <w:rsid w:val="00024228"/>
    <w:rsid w:val="000250F3"/>
    <w:rsid w:val="00027DD0"/>
    <w:rsid w:val="00036D24"/>
    <w:rsid w:val="00037F98"/>
    <w:rsid w:val="00040B2F"/>
    <w:rsid w:val="00053B81"/>
    <w:rsid w:val="000565D8"/>
    <w:rsid w:val="000602FB"/>
    <w:rsid w:val="00065B5E"/>
    <w:rsid w:val="00072380"/>
    <w:rsid w:val="00090E71"/>
    <w:rsid w:val="000B7C4F"/>
    <w:rsid w:val="000C019C"/>
    <w:rsid w:val="000C0F71"/>
    <w:rsid w:val="000E1D16"/>
    <w:rsid w:val="000E2A68"/>
    <w:rsid w:val="0014716B"/>
    <w:rsid w:val="00147957"/>
    <w:rsid w:val="00157093"/>
    <w:rsid w:val="00162613"/>
    <w:rsid w:val="001673FD"/>
    <w:rsid w:val="00180708"/>
    <w:rsid w:val="001845B5"/>
    <w:rsid w:val="00185794"/>
    <w:rsid w:val="00191BB8"/>
    <w:rsid w:val="001A511F"/>
    <w:rsid w:val="001C0927"/>
    <w:rsid w:val="001C13AE"/>
    <w:rsid w:val="001C255C"/>
    <w:rsid w:val="001E1FE8"/>
    <w:rsid w:val="0020242E"/>
    <w:rsid w:val="002044DD"/>
    <w:rsid w:val="00213677"/>
    <w:rsid w:val="00216345"/>
    <w:rsid w:val="00220890"/>
    <w:rsid w:val="00231839"/>
    <w:rsid w:val="0025163D"/>
    <w:rsid w:val="0025545B"/>
    <w:rsid w:val="00263947"/>
    <w:rsid w:val="00270914"/>
    <w:rsid w:val="00271FB9"/>
    <w:rsid w:val="00273345"/>
    <w:rsid w:val="00281E4C"/>
    <w:rsid w:val="00282201"/>
    <w:rsid w:val="002933E8"/>
    <w:rsid w:val="00294FE7"/>
    <w:rsid w:val="002B4355"/>
    <w:rsid w:val="002C1064"/>
    <w:rsid w:val="002D0DDA"/>
    <w:rsid w:val="002D220A"/>
    <w:rsid w:val="002F2271"/>
    <w:rsid w:val="002F375A"/>
    <w:rsid w:val="002F5CEB"/>
    <w:rsid w:val="002F6E16"/>
    <w:rsid w:val="002F75C7"/>
    <w:rsid w:val="00300DCF"/>
    <w:rsid w:val="00317C44"/>
    <w:rsid w:val="00317FE3"/>
    <w:rsid w:val="00323351"/>
    <w:rsid w:val="0034221C"/>
    <w:rsid w:val="003533BC"/>
    <w:rsid w:val="00355B3E"/>
    <w:rsid w:val="00361F7B"/>
    <w:rsid w:val="0036338D"/>
    <w:rsid w:val="00367284"/>
    <w:rsid w:val="0037015F"/>
    <w:rsid w:val="00370677"/>
    <w:rsid w:val="00386B97"/>
    <w:rsid w:val="00392829"/>
    <w:rsid w:val="00397169"/>
    <w:rsid w:val="003A1B74"/>
    <w:rsid w:val="003A4EF8"/>
    <w:rsid w:val="003B39FF"/>
    <w:rsid w:val="003C4D9F"/>
    <w:rsid w:val="003D5B5E"/>
    <w:rsid w:val="003E1555"/>
    <w:rsid w:val="003E43B3"/>
    <w:rsid w:val="003E69C8"/>
    <w:rsid w:val="003F18AD"/>
    <w:rsid w:val="003F49AA"/>
    <w:rsid w:val="00406509"/>
    <w:rsid w:val="00447871"/>
    <w:rsid w:val="00466156"/>
    <w:rsid w:val="00466372"/>
    <w:rsid w:val="00493582"/>
    <w:rsid w:val="004B13F2"/>
    <w:rsid w:val="004B733D"/>
    <w:rsid w:val="004C07A8"/>
    <w:rsid w:val="004D345B"/>
    <w:rsid w:val="004D6FA5"/>
    <w:rsid w:val="004E0964"/>
    <w:rsid w:val="004F48A9"/>
    <w:rsid w:val="005118B2"/>
    <w:rsid w:val="0051691A"/>
    <w:rsid w:val="0052505F"/>
    <w:rsid w:val="00532054"/>
    <w:rsid w:val="005331B7"/>
    <w:rsid w:val="0055585F"/>
    <w:rsid w:val="0056505C"/>
    <w:rsid w:val="0056716C"/>
    <w:rsid w:val="00577542"/>
    <w:rsid w:val="00581207"/>
    <w:rsid w:val="00587A67"/>
    <w:rsid w:val="005A0C3C"/>
    <w:rsid w:val="005B7761"/>
    <w:rsid w:val="005C0E33"/>
    <w:rsid w:val="005C2A9E"/>
    <w:rsid w:val="005C5054"/>
    <w:rsid w:val="005D0EA3"/>
    <w:rsid w:val="005D3BF5"/>
    <w:rsid w:val="005F2179"/>
    <w:rsid w:val="005F7036"/>
    <w:rsid w:val="006056FF"/>
    <w:rsid w:val="00607D8D"/>
    <w:rsid w:val="00625EA9"/>
    <w:rsid w:val="0062765C"/>
    <w:rsid w:val="00645403"/>
    <w:rsid w:val="00663443"/>
    <w:rsid w:val="00667E67"/>
    <w:rsid w:val="0067771A"/>
    <w:rsid w:val="00687BFE"/>
    <w:rsid w:val="00687E54"/>
    <w:rsid w:val="006A32A4"/>
    <w:rsid w:val="006B3554"/>
    <w:rsid w:val="006C16E3"/>
    <w:rsid w:val="006E5308"/>
    <w:rsid w:val="006F0652"/>
    <w:rsid w:val="006F0B42"/>
    <w:rsid w:val="006F678A"/>
    <w:rsid w:val="006F7A7D"/>
    <w:rsid w:val="00700030"/>
    <w:rsid w:val="007159D2"/>
    <w:rsid w:val="007329DA"/>
    <w:rsid w:val="0073621C"/>
    <w:rsid w:val="0075091F"/>
    <w:rsid w:val="00795AEA"/>
    <w:rsid w:val="007C2AA0"/>
    <w:rsid w:val="007C3B0F"/>
    <w:rsid w:val="007D61FD"/>
    <w:rsid w:val="007F0B2D"/>
    <w:rsid w:val="007F4CCD"/>
    <w:rsid w:val="008049FF"/>
    <w:rsid w:val="00821E3E"/>
    <w:rsid w:val="00824DB8"/>
    <w:rsid w:val="00826EF2"/>
    <w:rsid w:val="00835C0B"/>
    <w:rsid w:val="008517AF"/>
    <w:rsid w:val="00853D03"/>
    <w:rsid w:val="00864341"/>
    <w:rsid w:val="00864F30"/>
    <w:rsid w:val="008742A7"/>
    <w:rsid w:val="008917E3"/>
    <w:rsid w:val="0089326C"/>
    <w:rsid w:val="008A6600"/>
    <w:rsid w:val="008B18F1"/>
    <w:rsid w:val="008B2DB1"/>
    <w:rsid w:val="008B54A2"/>
    <w:rsid w:val="008B6F14"/>
    <w:rsid w:val="008C29ED"/>
    <w:rsid w:val="008D45DE"/>
    <w:rsid w:val="008D5D80"/>
    <w:rsid w:val="008E143C"/>
    <w:rsid w:val="008E29E6"/>
    <w:rsid w:val="008F5FD1"/>
    <w:rsid w:val="009011C4"/>
    <w:rsid w:val="00901F5C"/>
    <w:rsid w:val="00904AD9"/>
    <w:rsid w:val="009143B8"/>
    <w:rsid w:val="00920093"/>
    <w:rsid w:val="009329B4"/>
    <w:rsid w:val="009431FD"/>
    <w:rsid w:val="00943F93"/>
    <w:rsid w:val="00953C90"/>
    <w:rsid w:val="0097186C"/>
    <w:rsid w:val="0097660B"/>
    <w:rsid w:val="00983EB8"/>
    <w:rsid w:val="0098517E"/>
    <w:rsid w:val="009940EF"/>
    <w:rsid w:val="00996FA2"/>
    <w:rsid w:val="009A1502"/>
    <w:rsid w:val="009B6836"/>
    <w:rsid w:val="009C13B1"/>
    <w:rsid w:val="009C24B8"/>
    <w:rsid w:val="009C7E45"/>
    <w:rsid w:val="009D10C2"/>
    <w:rsid w:val="009E1054"/>
    <w:rsid w:val="009E40CE"/>
    <w:rsid w:val="009E74D7"/>
    <w:rsid w:val="009F2850"/>
    <w:rsid w:val="009F4332"/>
    <w:rsid w:val="009F6F2E"/>
    <w:rsid w:val="00A00006"/>
    <w:rsid w:val="00A020C4"/>
    <w:rsid w:val="00A02ABA"/>
    <w:rsid w:val="00A03522"/>
    <w:rsid w:val="00A137B0"/>
    <w:rsid w:val="00A274E7"/>
    <w:rsid w:val="00A42309"/>
    <w:rsid w:val="00A4389A"/>
    <w:rsid w:val="00A637B8"/>
    <w:rsid w:val="00A65768"/>
    <w:rsid w:val="00A72E3A"/>
    <w:rsid w:val="00A826ED"/>
    <w:rsid w:val="00A84393"/>
    <w:rsid w:val="00A84803"/>
    <w:rsid w:val="00A84D66"/>
    <w:rsid w:val="00AB3020"/>
    <w:rsid w:val="00AB3405"/>
    <w:rsid w:val="00AC7DA1"/>
    <w:rsid w:val="00AD061F"/>
    <w:rsid w:val="00B0373B"/>
    <w:rsid w:val="00B045F9"/>
    <w:rsid w:val="00B1025B"/>
    <w:rsid w:val="00B10E06"/>
    <w:rsid w:val="00B242F6"/>
    <w:rsid w:val="00B30784"/>
    <w:rsid w:val="00B36BF0"/>
    <w:rsid w:val="00B37803"/>
    <w:rsid w:val="00B439E2"/>
    <w:rsid w:val="00B45BF6"/>
    <w:rsid w:val="00B500B8"/>
    <w:rsid w:val="00B54898"/>
    <w:rsid w:val="00B66923"/>
    <w:rsid w:val="00B70FB6"/>
    <w:rsid w:val="00B777D3"/>
    <w:rsid w:val="00B81FF2"/>
    <w:rsid w:val="00B840AA"/>
    <w:rsid w:val="00BA5EEB"/>
    <w:rsid w:val="00BB5D6D"/>
    <w:rsid w:val="00BC7162"/>
    <w:rsid w:val="00BC74B5"/>
    <w:rsid w:val="00BD222E"/>
    <w:rsid w:val="00BD245D"/>
    <w:rsid w:val="00BE37AA"/>
    <w:rsid w:val="00C26056"/>
    <w:rsid w:val="00C30637"/>
    <w:rsid w:val="00C307C2"/>
    <w:rsid w:val="00C30A61"/>
    <w:rsid w:val="00C31615"/>
    <w:rsid w:val="00C4732F"/>
    <w:rsid w:val="00C661BC"/>
    <w:rsid w:val="00C678AA"/>
    <w:rsid w:val="00C7216F"/>
    <w:rsid w:val="00C77361"/>
    <w:rsid w:val="00C83D43"/>
    <w:rsid w:val="00C9014D"/>
    <w:rsid w:val="00C91103"/>
    <w:rsid w:val="00C92046"/>
    <w:rsid w:val="00CA39F5"/>
    <w:rsid w:val="00CB116C"/>
    <w:rsid w:val="00CB1E6F"/>
    <w:rsid w:val="00CB3E3A"/>
    <w:rsid w:val="00CD3298"/>
    <w:rsid w:val="00CE07E2"/>
    <w:rsid w:val="00CE45A9"/>
    <w:rsid w:val="00CF09BC"/>
    <w:rsid w:val="00D02138"/>
    <w:rsid w:val="00D05E34"/>
    <w:rsid w:val="00D1038C"/>
    <w:rsid w:val="00D22797"/>
    <w:rsid w:val="00D31BB2"/>
    <w:rsid w:val="00D3749C"/>
    <w:rsid w:val="00D436B0"/>
    <w:rsid w:val="00D513A6"/>
    <w:rsid w:val="00D753A1"/>
    <w:rsid w:val="00D7730D"/>
    <w:rsid w:val="00D80919"/>
    <w:rsid w:val="00D91DDF"/>
    <w:rsid w:val="00DC170A"/>
    <w:rsid w:val="00DC5CAF"/>
    <w:rsid w:val="00DD7C08"/>
    <w:rsid w:val="00DE6182"/>
    <w:rsid w:val="00DE7BF6"/>
    <w:rsid w:val="00E14487"/>
    <w:rsid w:val="00E16C24"/>
    <w:rsid w:val="00E1792F"/>
    <w:rsid w:val="00E226EF"/>
    <w:rsid w:val="00E60839"/>
    <w:rsid w:val="00E65088"/>
    <w:rsid w:val="00E70D5D"/>
    <w:rsid w:val="00E77E01"/>
    <w:rsid w:val="00E90403"/>
    <w:rsid w:val="00E90514"/>
    <w:rsid w:val="00EA2520"/>
    <w:rsid w:val="00EB5A66"/>
    <w:rsid w:val="00EE7768"/>
    <w:rsid w:val="00EF7355"/>
    <w:rsid w:val="00F33BCB"/>
    <w:rsid w:val="00F45015"/>
    <w:rsid w:val="00F80546"/>
    <w:rsid w:val="00FA31F9"/>
    <w:rsid w:val="00FD1F28"/>
    <w:rsid w:val="00FE0E4B"/>
    <w:rsid w:val="00FF5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6BFE1"/>
  <w15:chartTrackingRefBased/>
  <w15:docId w15:val="{2B7A4D6A-6329-44F4-9923-474FE3E68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Char">
    <w:name w:val="Char"/>
    <w:basedOn w:val="Normal"/>
    <w:rsid w:val="00065B5E"/>
    <w:pPr>
      <w:spacing w:after="160" w:line="240" w:lineRule="exact"/>
    </w:pPr>
    <w:rPr>
      <w:rFonts w:ascii="Tahoma" w:hAnsi="Tahoma"/>
      <w:sz w:val="20"/>
      <w:szCs w:val="20"/>
    </w:rPr>
  </w:style>
  <w:style w:type="paragraph" w:styleId="BodyTextIndent2">
    <w:name w:val="Body Text Indent 2"/>
    <w:basedOn w:val="Normal"/>
    <w:link w:val="BodyTextIndent2Char"/>
    <w:semiHidden/>
    <w:unhideWhenUsed/>
    <w:rsid w:val="00A02ABA"/>
    <w:pPr>
      <w:spacing w:after="120" w:line="480" w:lineRule="auto"/>
      <w:ind w:left="283"/>
    </w:pPr>
  </w:style>
  <w:style w:type="character" w:customStyle="1" w:styleId="BodyTextIndent2Char">
    <w:name w:val="Body Text Indent 2 Char"/>
    <w:basedOn w:val="DefaultParagraphFont"/>
    <w:link w:val="BodyTextIndent2"/>
    <w:semiHidden/>
    <w:rsid w:val="00A02ABA"/>
    <w:rPr>
      <w:rFonts w:ascii="Times New Roman" w:eastAsia="Times New Roman" w:hAnsi="Times New Roman" w:cs="Times New Roman"/>
      <w:sz w:val="24"/>
      <w:szCs w:val="24"/>
      <w:lang w:val="en-US"/>
    </w:rPr>
  </w:style>
  <w:style w:type="paragraph" w:customStyle="1" w:styleId="Default">
    <w:name w:val="Default"/>
    <w:rsid w:val="003C4D9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Number">
    <w:name w:val="List Number"/>
    <w:basedOn w:val="Normal"/>
    <w:uiPriority w:val="99"/>
    <w:rsid w:val="00D7730D"/>
    <w:pPr>
      <w:spacing w:before="120" w:after="120"/>
      <w:jc w:val="both"/>
    </w:pPr>
    <w:rPr>
      <w:snapToGrid w:val="0"/>
      <w:szCs w:val="20"/>
      <w:lang w:val="en-GB"/>
    </w:rPr>
  </w:style>
  <w:style w:type="paragraph" w:customStyle="1" w:styleId="italik">
    <w:name w:val="italik"/>
    <w:basedOn w:val="Normal"/>
    <w:rsid w:val="00282201"/>
    <w:pPr>
      <w:spacing w:before="100" w:beforeAutospacing="1" w:after="100" w:afterAutospacing="1"/>
    </w:pPr>
    <w:rPr>
      <w:lang w:val="en-GB" w:eastAsia="en-GB"/>
    </w:rPr>
  </w:style>
  <w:style w:type="paragraph" w:customStyle="1" w:styleId="basic-paragraph">
    <w:name w:val="basic-paragraph"/>
    <w:basedOn w:val="Normal"/>
    <w:rsid w:val="00282201"/>
    <w:pPr>
      <w:spacing w:before="100" w:beforeAutospacing="1" w:after="100" w:afterAutospacing="1"/>
    </w:pPr>
    <w:rPr>
      <w:lang w:val="en-GB" w:eastAsia="en-GB"/>
    </w:rPr>
  </w:style>
  <w:style w:type="paragraph" w:customStyle="1" w:styleId="bold">
    <w:name w:val="bold"/>
    <w:basedOn w:val="Normal"/>
    <w:rsid w:val="00A65768"/>
    <w:pPr>
      <w:spacing w:before="100" w:beforeAutospacing="1" w:after="100" w:afterAutospacing="1"/>
    </w:pPr>
    <w:rPr>
      <w:lang w:val="en-GB" w:eastAsia="en-GB"/>
    </w:rPr>
  </w:style>
  <w:style w:type="paragraph" w:customStyle="1" w:styleId="wyq120---podnaslov-clana">
    <w:name w:val="wyq120---podnaslov-clana"/>
    <w:basedOn w:val="Normal"/>
    <w:rsid w:val="003F18AD"/>
    <w:pPr>
      <w:suppressAutoHyphens/>
      <w:autoSpaceDN w:val="0"/>
      <w:spacing w:before="240" w:after="240"/>
      <w:jc w:val="center"/>
      <w:textAlignment w:val="baseline"/>
    </w:pPr>
    <w:rPr>
      <w:rFonts w:ascii="Arial" w:eastAsia="Calibri" w:hAnsi="Arial" w:cs="Arial"/>
      <w:i/>
      <w:iCs/>
      <w:kern w:val="3"/>
    </w:rPr>
  </w:style>
  <w:style w:type="character" w:styleId="CommentReference">
    <w:name w:val="annotation reference"/>
    <w:basedOn w:val="DefaultParagraphFont"/>
    <w:uiPriority w:val="99"/>
    <w:semiHidden/>
    <w:unhideWhenUsed/>
    <w:rsid w:val="0052505F"/>
    <w:rPr>
      <w:sz w:val="16"/>
      <w:szCs w:val="16"/>
    </w:rPr>
  </w:style>
  <w:style w:type="paragraph" w:styleId="CommentText">
    <w:name w:val="annotation text"/>
    <w:basedOn w:val="Normal"/>
    <w:link w:val="CommentTextChar"/>
    <w:uiPriority w:val="99"/>
    <w:semiHidden/>
    <w:unhideWhenUsed/>
    <w:rsid w:val="0052505F"/>
    <w:rPr>
      <w:sz w:val="20"/>
      <w:szCs w:val="20"/>
    </w:rPr>
  </w:style>
  <w:style w:type="character" w:customStyle="1" w:styleId="CommentTextChar">
    <w:name w:val="Comment Text Char"/>
    <w:basedOn w:val="DefaultParagraphFont"/>
    <w:link w:val="CommentText"/>
    <w:uiPriority w:val="99"/>
    <w:semiHidden/>
    <w:rsid w:val="0052505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2505F"/>
    <w:rPr>
      <w:b/>
      <w:bCs/>
    </w:rPr>
  </w:style>
  <w:style w:type="character" w:customStyle="1" w:styleId="CommentSubjectChar">
    <w:name w:val="Comment Subject Char"/>
    <w:basedOn w:val="CommentTextChar"/>
    <w:link w:val="CommentSubject"/>
    <w:uiPriority w:val="99"/>
    <w:semiHidden/>
    <w:rsid w:val="0052505F"/>
    <w:rPr>
      <w:rFonts w:ascii="Times New Roman" w:eastAsia="Times New Roman" w:hAnsi="Times New Roman" w:cs="Times New Roman"/>
      <w:b/>
      <w:bCs/>
      <w:sz w:val="20"/>
      <w:szCs w:val="20"/>
      <w:lang w:val="en-US"/>
    </w:rPr>
  </w:style>
  <w:style w:type="paragraph" w:styleId="Footer">
    <w:name w:val="footer"/>
    <w:basedOn w:val="Normal"/>
    <w:link w:val="FooterChar"/>
    <w:uiPriority w:val="99"/>
    <w:rsid w:val="000C019C"/>
    <w:pPr>
      <w:tabs>
        <w:tab w:val="center" w:pos="4536"/>
        <w:tab w:val="right" w:pos="9072"/>
      </w:tabs>
    </w:pPr>
    <w:rPr>
      <w:lang w:eastAsia="nl-NL"/>
    </w:rPr>
  </w:style>
  <w:style w:type="character" w:customStyle="1" w:styleId="FooterChar">
    <w:name w:val="Footer Char"/>
    <w:basedOn w:val="DefaultParagraphFont"/>
    <w:link w:val="Footer"/>
    <w:uiPriority w:val="99"/>
    <w:rsid w:val="000C019C"/>
    <w:rPr>
      <w:rFonts w:ascii="Times New Roman" w:eastAsia="Times New Roman" w:hAnsi="Times New Roman" w:cs="Times New Roman"/>
      <w:sz w:val="24"/>
      <w:szCs w:val="24"/>
      <w:lang w:val="en-US" w:eastAsia="nl-NL"/>
    </w:rPr>
  </w:style>
  <w:style w:type="character" w:customStyle="1" w:styleId="EndnoteTextChar">
    <w:name w:val="Endnote Text Char"/>
    <w:basedOn w:val="DefaultParagraphFont"/>
    <w:link w:val="EndnoteText"/>
    <w:uiPriority w:val="99"/>
    <w:semiHidden/>
    <w:rsid w:val="000C019C"/>
    <w:rPr>
      <w:lang w:val="cs-CZ" w:eastAsia="cs-CZ"/>
    </w:rPr>
  </w:style>
  <w:style w:type="paragraph" w:styleId="EndnoteText">
    <w:name w:val="endnote text"/>
    <w:basedOn w:val="Normal"/>
    <w:link w:val="EndnoteTextChar"/>
    <w:uiPriority w:val="99"/>
    <w:semiHidden/>
    <w:unhideWhenUsed/>
    <w:rsid w:val="000C019C"/>
    <w:rPr>
      <w:rFonts w:asciiTheme="minorHAnsi" w:eastAsiaTheme="minorHAnsi" w:hAnsiTheme="minorHAnsi" w:cstheme="minorBidi"/>
      <w:sz w:val="22"/>
      <w:szCs w:val="22"/>
      <w:lang w:val="cs-CZ" w:eastAsia="cs-CZ"/>
    </w:rPr>
  </w:style>
  <w:style w:type="character" w:customStyle="1" w:styleId="EndnoteTextChar1">
    <w:name w:val="Endnote Text Char1"/>
    <w:basedOn w:val="DefaultParagraphFont"/>
    <w:uiPriority w:val="99"/>
    <w:semiHidden/>
    <w:rsid w:val="000C019C"/>
    <w:rPr>
      <w:rFonts w:ascii="Times New Roman" w:eastAsia="Times New Roman" w:hAnsi="Times New Roman" w:cs="Times New Roman"/>
      <w:sz w:val="20"/>
      <w:szCs w:val="20"/>
      <w:lang w:val="en-US"/>
    </w:rPr>
  </w:style>
  <w:style w:type="character" w:styleId="EndnoteReference">
    <w:name w:val="endnote reference"/>
    <w:basedOn w:val="DefaultParagraphFont"/>
    <w:unhideWhenUsed/>
    <w:rsid w:val="000C019C"/>
    <w:rPr>
      <w:vertAlign w:val="superscript"/>
    </w:rPr>
  </w:style>
  <w:style w:type="character" w:customStyle="1" w:styleId="tw4winMark">
    <w:name w:val="tw4winMark"/>
    <w:rsid w:val="000C019C"/>
    <w:rPr>
      <w:rFonts w:ascii="Courier New" w:hAnsi="Courier New" w:cs="Courier New"/>
      <w:vanish/>
      <w:color w:val="800080"/>
      <w:vertAlign w:val="subscript"/>
    </w:rPr>
  </w:style>
  <w:style w:type="paragraph" w:styleId="Header">
    <w:name w:val="header"/>
    <w:basedOn w:val="Normal"/>
    <w:link w:val="HeaderChar"/>
    <w:uiPriority w:val="99"/>
    <w:unhideWhenUsed/>
    <w:rsid w:val="005331B7"/>
    <w:pPr>
      <w:tabs>
        <w:tab w:val="center" w:pos="4513"/>
        <w:tab w:val="right" w:pos="9026"/>
      </w:tabs>
    </w:pPr>
  </w:style>
  <w:style w:type="character" w:customStyle="1" w:styleId="HeaderChar">
    <w:name w:val="Header Char"/>
    <w:basedOn w:val="DefaultParagraphFont"/>
    <w:link w:val="Header"/>
    <w:uiPriority w:val="99"/>
    <w:rsid w:val="005331B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3516">
      <w:bodyDiv w:val="1"/>
      <w:marLeft w:val="0"/>
      <w:marRight w:val="0"/>
      <w:marTop w:val="0"/>
      <w:marBottom w:val="0"/>
      <w:divBdr>
        <w:top w:val="none" w:sz="0" w:space="0" w:color="auto"/>
        <w:left w:val="none" w:sz="0" w:space="0" w:color="auto"/>
        <w:bottom w:val="none" w:sz="0" w:space="0" w:color="auto"/>
        <w:right w:val="none" w:sz="0" w:space="0" w:color="auto"/>
      </w:divBdr>
    </w:div>
    <w:div w:id="88042221">
      <w:bodyDiv w:val="1"/>
      <w:marLeft w:val="0"/>
      <w:marRight w:val="0"/>
      <w:marTop w:val="0"/>
      <w:marBottom w:val="0"/>
      <w:divBdr>
        <w:top w:val="none" w:sz="0" w:space="0" w:color="auto"/>
        <w:left w:val="none" w:sz="0" w:space="0" w:color="auto"/>
        <w:bottom w:val="none" w:sz="0" w:space="0" w:color="auto"/>
        <w:right w:val="none" w:sz="0" w:space="0" w:color="auto"/>
      </w:divBdr>
    </w:div>
    <w:div w:id="207113885">
      <w:bodyDiv w:val="1"/>
      <w:marLeft w:val="0"/>
      <w:marRight w:val="0"/>
      <w:marTop w:val="0"/>
      <w:marBottom w:val="0"/>
      <w:divBdr>
        <w:top w:val="none" w:sz="0" w:space="0" w:color="auto"/>
        <w:left w:val="none" w:sz="0" w:space="0" w:color="auto"/>
        <w:bottom w:val="none" w:sz="0" w:space="0" w:color="auto"/>
        <w:right w:val="none" w:sz="0" w:space="0" w:color="auto"/>
      </w:divBdr>
    </w:div>
    <w:div w:id="234777704">
      <w:bodyDiv w:val="1"/>
      <w:marLeft w:val="0"/>
      <w:marRight w:val="0"/>
      <w:marTop w:val="0"/>
      <w:marBottom w:val="0"/>
      <w:divBdr>
        <w:top w:val="none" w:sz="0" w:space="0" w:color="auto"/>
        <w:left w:val="none" w:sz="0" w:space="0" w:color="auto"/>
        <w:bottom w:val="none" w:sz="0" w:space="0" w:color="auto"/>
        <w:right w:val="none" w:sz="0" w:space="0" w:color="auto"/>
      </w:divBdr>
    </w:div>
    <w:div w:id="264506991">
      <w:bodyDiv w:val="1"/>
      <w:marLeft w:val="0"/>
      <w:marRight w:val="0"/>
      <w:marTop w:val="0"/>
      <w:marBottom w:val="0"/>
      <w:divBdr>
        <w:top w:val="none" w:sz="0" w:space="0" w:color="auto"/>
        <w:left w:val="none" w:sz="0" w:space="0" w:color="auto"/>
        <w:bottom w:val="none" w:sz="0" w:space="0" w:color="auto"/>
        <w:right w:val="none" w:sz="0" w:space="0" w:color="auto"/>
      </w:divBdr>
    </w:div>
    <w:div w:id="1031225591">
      <w:bodyDiv w:val="1"/>
      <w:marLeft w:val="0"/>
      <w:marRight w:val="0"/>
      <w:marTop w:val="0"/>
      <w:marBottom w:val="0"/>
      <w:divBdr>
        <w:top w:val="none" w:sz="0" w:space="0" w:color="auto"/>
        <w:left w:val="none" w:sz="0" w:space="0" w:color="auto"/>
        <w:bottom w:val="none" w:sz="0" w:space="0" w:color="auto"/>
        <w:right w:val="none" w:sz="0" w:space="0" w:color="auto"/>
      </w:divBdr>
    </w:div>
    <w:div w:id="1034039915">
      <w:bodyDiv w:val="1"/>
      <w:marLeft w:val="0"/>
      <w:marRight w:val="0"/>
      <w:marTop w:val="0"/>
      <w:marBottom w:val="0"/>
      <w:divBdr>
        <w:top w:val="none" w:sz="0" w:space="0" w:color="auto"/>
        <w:left w:val="none" w:sz="0" w:space="0" w:color="auto"/>
        <w:bottom w:val="none" w:sz="0" w:space="0" w:color="auto"/>
        <w:right w:val="none" w:sz="0" w:space="0" w:color="auto"/>
      </w:divBdr>
    </w:div>
    <w:div w:id="1220827510">
      <w:bodyDiv w:val="1"/>
      <w:marLeft w:val="0"/>
      <w:marRight w:val="0"/>
      <w:marTop w:val="0"/>
      <w:marBottom w:val="0"/>
      <w:divBdr>
        <w:top w:val="none" w:sz="0" w:space="0" w:color="auto"/>
        <w:left w:val="none" w:sz="0" w:space="0" w:color="auto"/>
        <w:bottom w:val="none" w:sz="0" w:space="0" w:color="auto"/>
        <w:right w:val="none" w:sz="0" w:space="0" w:color="auto"/>
      </w:divBdr>
    </w:div>
    <w:div w:id="1300569104">
      <w:bodyDiv w:val="1"/>
      <w:marLeft w:val="0"/>
      <w:marRight w:val="0"/>
      <w:marTop w:val="0"/>
      <w:marBottom w:val="0"/>
      <w:divBdr>
        <w:top w:val="none" w:sz="0" w:space="0" w:color="auto"/>
        <w:left w:val="none" w:sz="0" w:space="0" w:color="auto"/>
        <w:bottom w:val="none" w:sz="0" w:space="0" w:color="auto"/>
        <w:right w:val="none" w:sz="0" w:space="0" w:color="auto"/>
      </w:divBdr>
    </w:div>
    <w:div w:id="1585533787">
      <w:bodyDiv w:val="1"/>
      <w:marLeft w:val="0"/>
      <w:marRight w:val="0"/>
      <w:marTop w:val="0"/>
      <w:marBottom w:val="0"/>
      <w:divBdr>
        <w:top w:val="none" w:sz="0" w:space="0" w:color="auto"/>
        <w:left w:val="none" w:sz="0" w:space="0" w:color="auto"/>
        <w:bottom w:val="none" w:sz="0" w:space="0" w:color="auto"/>
        <w:right w:val="none" w:sz="0" w:space="0" w:color="auto"/>
      </w:divBdr>
    </w:div>
    <w:div w:id="1680040072">
      <w:bodyDiv w:val="1"/>
      <w:marLeft w:val="0"/>
      <w:marRight w:val="0"/>
      <w:marTop w:val="0"/>
      <w:marBottom w:val="0"/>
      <w:divBdr>
        <w:top w:val="none" w:sz="0" w:space="0" w:color="auto"/>
        <w:left w:val="none" w:sz="0" w:space="0" w:color="auto"/>
        <w:bottom w:val="none" w:sz="0" w:space="0" w:color="auto"/>
        <w:right w:val="none" w:sz="0" w:space="0" w:color="auto"/>
      </w:divBdr>
    </w:div>
    <w:div w:id="1693266652">
      <w:bodyDiv w:val="1"/>
      <w:marLeft w:val="0"/>
      <w:marRight w:val="0"/>
      <w:marTop w:val="0"/>
      <w:marBottom w:val="0"/>
      <w:divBdr>
        <w:top w:val="none" w:sz="0" w:space="0" w:color="auto"/>
        <w:left w:val="none" w:sz="0" w:space="0" w:color="auto"/>
        <w:bottom w:val="none" w:sz="0" w:space="0" w:color="auto"/>
        <w:right w:val="none" w:sz="0" w:space="0" w:color="auto"/>
      </w:divBdr>
    </w:div>
    <w:div w:id="1805585686">
      <w:bodyDiv w:val="1"/>
      <w:marLeft w:val="0"/>
      <w:marRight w:val="0"/>
      <w:marTop w:val="0"/>
      <w:marBottom w:val="0"/>
      <w:divBdr>
        <w:top w:val="none" w:sz="0" w:space="0" w:color="auto"/>
        <w:left w:val="none" w:sz="0" w:space="0" w:color="auto"/>
        <w:bottom w:val="none" w:sz="0" w:space="0" w:color="auto"/>
        <w:right w:val="none" w:sz="0" w:space="0" w:color="auto"/>
      </w:divBdr>
    </w:div>
    <w:div w:id="1820727655">
      <w:bodyDiv w:val="1"/>
      <w:marLeft w:val="0"/>
      <w:marRight w:val="0"/>
      <w:marTop w:val="0"/>
      <w:marBottom w:val="0"/>
      <w:divBdr>
        <w:top w:val="none" w:sz="0" w:space="0" w:color="auto"/>
        <w:left w:val="none" w:sz="0" w:space="0" w:color="auto"/>
        <w:bottom w:val="none" w:sz="0" w:space="0" w:color="auto"/>
        <w:right w:val="none" w:sz="0" w:space="0" w:color="auto"/>
      </w:divBdr>
    </w:div>
    <w:div w:id="1857765002">
      <w:bodyDiv w:val="1"/>
      <w:marLeft w:val="0"/>
      <w:marRight w:val="0"/>
      <w:marTop w:val="0"/>
      <w:marBottom w:val="0"/>
      <w:divBdr>
        <w:top w:val="none" w:sz="0" w:space="0" w:color="auto"/>
        <w:left w:val="none" w:sz="0" w:space="0" w:color="auto"/>
        <w:bottom w:val="none" w:sz="0" w:space="0" w:color="auto"/>
        <w:right w:val="none" w:sz="0" w:space="0" w:color="auto"/>
      </w:divBdr>
    </w:div>
    <w:div w:id="2036301635">
      <w:bodyDiv w:val="1"/>
      <w:marLeft w:val="0"/>
      <w:marRight w:val="0"/>
      <w:marTop w:val="0"/>
      <w:marBottom w:val="0"/>
      <w:divBdr>
        <w:top w:val="none" w:sz="0" w:space="0" w:color="auto"/>
        <w:left w:val="none" w:sz="0" w:space="0" w:color="auto"/>
        <w:bottom w:val="none" w:sz="0" w:space="0" w:color="auto"/>
        <w:right w:val="none" w:sz="0" w:space="0" w:color="auto"/>
      </w:divBdr>
    </w:div>
    <w:div w:id="2089763959">
      <w:bodyDiv w:val="1"/>
      <w:marLeft w:val="0"/>
      <w:marRight w:val="0"/>
      <w:marTop w:val="0"/>
      <w:marBottom w:val="0"/>
      <w:divBdr>
        <w:top w:val="none" w:sz="0" w:space="0" w:color="auto"/>
        <w:left w:val="none" w:sz="0" w:space="0" w:color="auto"/>
        <w:bottom w:val="none" w:sz="0" w:space="0" w:color="auto"/>
        <w:right w:val="none" w:sz="0" w:space="0" w:color="auto"/>
      </w:divBdr>
    </w:div>
    <w:div w:id="211354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1954</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Simic</dc:creator>
  <cp:keywords/>
  <dc:description/>
  <cp:lastModifiedBy>Ivana Vojinović</cp:lastModifiedBy>
  <cp:revision>2</cp:revision>
  <cp:lastPrinted>2022-12-29T09:19:00Z</cp:lastPrinted>
  <dcterms:created xsi:type="dcterms:W3CDTF">2022-12-30T11:00:00Z</dcterms:created>
  <dcterms:modified xsi:type="dcterms:W3CDTF">2022-12-30T11:00:00Z</dcterms:modified>
</cp:coreProperties>
</file>