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941D2" w14:textId="25212669" w:rsidR="00AB4001" w:rsidRPr="00471C90" w:rsidRDefault="00AB4001" w:rsidP="00487CA6">
      <w:pPr>
        <w:tabs>
          <w:tab w:val="left" w:pos="750"/>
        </w:tabs>
        <w:rPr>
          <w:rFonts w:cs="Times New Roman"/>
          <w:szCs w:val="24"/>
          <w:lang w:val="sr-Cyrl-CS"/>
        </w:rPr>
      </w:pPr>
    </w:p>
    <w:p w14:paraId="6799AFF9" w14:textId="0193D07B" w:rsidR="0020328A" w:rsidRPr="00471C90" w:rsidRDefault="00B07BAE" w:rsidP="00F6577C">
      <w:pPr>
        <w:ind w:firstLine="709"/>
        <w:jc w:val="both"/>
        <w:rPr>
          <w:rFonts w:cs="Times New Roman"/>
          <w:szCs w:val="24"/>
          <w:lang w:val="sr-Cyrl-CS"/>
        </w:rPr>
      </w:pPr>
      <w:r w:rsidRPr="00471C90">
        <w:rPr>
          <w:rFonts w:cs="Times New Roman"/>
          <w:szCs w:val="24"/>
          <w:lang w:val="sr-Cyrl-CS"/>
        </w:rPr>
        <w:t xml:space="preserve">На основу члана </w:t>
      </w:r>
      <w:r w:rsidR="00A97ECE" w:rsidRPr="00471C90">
        <w:rPr>
          <w:rFonts w:cs="Times New Roman"/>
          <w:szCs w:val="24"/>
          <w:lang w:val="sr-Cyrl-CS"/>
        </w:rPr>
        <w:t>38. став 1</w:t>
      </w:r>
      <w:r w:rsidR="00B61DA9" w:rsidRPr="00471C90">
        <w:rPr>
          <w:rFonts w:cs="Times New Roman"/>
          <w:szCs w:val="24"/>
          <w:lang w:val="sr-Cyrl-CS"/>
        </w:rPr>
        <w:t>.</w:t>
      </w:r>
      <w:r w:rsidR="00A97ECE" w:rsidRPr="00471C90">
        <w:rPr>
          <w:rFonts w:cs="Times New Roman"/>
          <w:szCs w:val="24"/>
          <w:lang w:val="sr-Cyrl-CS"/>
        </w:rPr>
        <w:t xml:space="preserve"> Закона о планском систему </w:t>
      </w:r>
      <w:r w:rsidR="0020328A" w:rsidRPr="00471C90">
        <w:rPr>
          <w:rFonts w:cs="Times New Roman"/>
          <w:szCs w:val="24"/>
          <w:lang w:val="sr-Cyrl-CS"/>
        </w:rPr>
        <w:t xml:space="preserve">Републике Србије </w:t>
      </w:r>
      <w:r w:rsidR="00B61DA9" w:rsidRPr="00471C90">
        <w:rPr>
          <w:rFonts w:cs="Times New Roman"/>
          <w:szCs w:val="24"/>
          <w:lang w:val="sr-Cyrl-CS"/>
        </w:rPr>
        <w:t>(„Службени гласник РС</w:t>
      </w:r>
      <w:r w:rsidR="00585D07" w:rsidRPr="00471C90">
        <w:rPr>
          <w:rFonts w:cs="Times New Roman"/>
          <w:szCs w:val="24"/>
          <w:lang w:val="sr-Cyrl-CS"/>
        </w:rPr>
        <w:t>ˮ</w:t>
      </w:r>
      <w:r w:rsidR="00B61DA9" w:rsidRPr="00471C90">
        <w:rPr>
          <w:rFonts w:cs="Times New Roman"/>
          <w:szCs w:val="24"/>
          <w:lang w:val="sr-Cyrl-CS"/>
        </w:rPr>
        <w:t>, број 30/18)</w:t>
      </w:r>
      <w:r w:rsidR="0020328A" w:rsidRPr="00471C90">
        <w:rPr>
          <w:rFonts w:cs="Times New Roman"/>
          <w:szCs w:val="24"/>
          <w:lang w:val="sr-Cyrl-CS"/>
        </w:rPr>
        <w:t>,</w:t>
      </w:r>
    </w:p>
    <w:p w14:paraId="5686229D" w14:textId="1EB1BFF3" w:rsidR="00AB4001" w:rsidRPr="00471C90" w:rsidRDefault="00B07BAE" w:rsidP="00F6577C">
      <w:pPr>
        <w:ind w:firstLine="709"/>
        <w:jc w:val="both"/>
        <w:rPr>
          <w:rFonts w:cs="Times New Roman"/>
          <w:b/>
          <w:bCs/>
          <w:szCs w:val="24"/>
          <w:lang w:val="sr-Cyrl-CS"/>
        </w:rPr>
      </w:pPr>
      <w:r w:rsidRPr="00471C90">
        <w:rPr>
          <w:rFonts w:cs="Times New Roman"/>
          <w:szCs w:val="24"/>
          <w:lang w:val="sr-Cyrl-CS"/>
        </w:rPr>
        <w:t xml:space="preserve"> Влада </w:t>
      </w:r>
      <w:r w:rsidR="00A97ECE" w:rsidRPr="00471C90">
        <w:rPr>
          <w:rFonts w:cs="Times New Roman"/>
          <w:szCs w:val="24"/>
          <w:lang w:val="sr-Cyrl-CS"/>
        </w:rPr>
        <w:t>усваја</w:t>
      </w:r>
    </w:p>
    <w:p w14:paraId="72EAC7D6" w14:textId="77777777" w:rsidR="00AB4001" w:rsidRPr="00471C90" w:rsidRDefault="00AB4001" w:rsidP="00AB4001">
      <w:pPr>
        <w:jc w:val="center"/>
        <w:rPr>
          <w:rFonts w:cs="Times New Roman"/>
          <w:b/>
          <w:bCs/>
          <w:szCs w:val="24"/>
          <w:lang w:val="sr-Cyrl-CS"/>
        </w:rPr>
      </w:pPr>
    </w:p>
    <w:p w14:paraId="50252E42" w14:textId="77777777" w:rsidR="005363FA" w:rsidRPr="00471C90" w:rsidRDefault="00B114F2" w:rsidP="00F6577C">
      <w:pPr>
        <w:spacing w:after="0"/>
        <w:jc w:val="center"/>
        <w:rPr>
          <w:rFonts w:cs="Times New Roman"/>
          <w:bCs/>
          <w:szCs w:val="24"/>
          <w:lang w:val="sr-Cyrl-CS"/>
        </w:rPr>
      </w:pPr>
      <w:r w:rsidRPr="00471C90">
        <w:rPr>
          <w:rFonts w:cs="Times New Roman"/>
          <w:bCs/>
          <w:szCs w:val="24"/>
          <w:lang w:val="sr-Cyrl-CS"/>
        </w:rPr>
        <w:t>КОНЦЕПТ</w:t>
      </w:r>
      <w:r w:rsidR="00AE0CA2" w:rsidRPr="00471C90">
        <w:rPr>
          <w:rFonts w:cs="Times New Roman"/>
          <w:bCs/>
          <w:szCs w:val="24"/>
          <w:lang w:val="sr-Cyrl-CS"/>
        </w:rPr>
        <w:t xml:space="preserve"> </w:t>
      </w:r>
      <w:r w:rsidRPr="00471C90">
        <w:rPr>
          <w:rFonts w:cs="Times New Roman"/>
          <w:bCs/>
          <w:szCs w:val="24"/>
          <w:lang w:val="sr-Cyrl-CS"/>
        </w:rPr>
        <w:t xml:space="preserve">ПОЛИТИКЕ </w:t>
      </w:r>
    </w:p>
    <w:p w14:paraId="7AB93CEF" w14:textId="24CD5A93" w:rsidR="005363FA" w:rsidRPr="00471C90" w:rsidRDefault="00B114F2" w:rsidP="00F6577C">
      <w:pPr>
        <w:spacing w:after="0"/>
        <w:jc w:val="center"/>
        <w:rPr>
          <w:rFonts w:cs="Times New Roman"/>
          <w:bCs/>
          <w:szCs w:val="24"/>
          <w:lang w:val="sr-Cyrl-CS"/>
        </w:rPr>
      </w:pPr>
      <w:r w:rsidRPr="00471C90">
        <w:rPr>
          <w:rFonts w:cs="Times New Roman"/>
          <w:bCs/>
          <w:szCs w:val="24"/>
          <w:lang w:val="sr-Cyrl-CS"/>
        </w:rPr>
        <w:t>РАЗВОЈНОГ</w:t>
      </w:r>
      <w:r w:rsidR="00D55345" w:rsidRPr="00471C90">
        <w:rPr>
          <w:rFonts w:cs="Times New Roman"/>
          <w:bCs/>
          <w:szCs w:val="24"/>
          <w:lang w:val="sr-Cyrl-CS"/>
        </w:rPr>
        <w:t xml:space="preserve"> </w:t>
      </w:r>
      <w:r w:rsidRPr="00471C90">
        <w:rPr>
          <w:rFonts w:cs="Times New Roman"/>
          <w:bCs/>
          <w:szCs w:val="24"/>
          <w:lang w:val="sr-Cyrl-CS"/>
        </w:rPr>
        <w:t>ФИНАНСИРАЊА У ОБЛАСТИ</w:t>
      </w:r>
      <w:r w:rsidR="00AE0CA2" w:rsidRPr="00471C90">
        <w:rPr>
          <w:rFonts w:cs="Times New Roman"/>
          <w:bCs/>
          <w:szCs w:val="24"/>
          <w:lang w:val="sr-Cyrl-CS"/>
        </w:rPr>
        <w:t xml:space="preserve"> </w:t>
      </w:r>
      <w:r w:rsidRPr="00471C90">
        <w:rPr>
          <w:rFonts w:cs="Times New Roman"/>
          <w:bCs/>
          <w:szCs w:val="24"/>
          <w:lang w:val="sr-Cyrl-CS"/>
        </w:rPr>
        <w:t>ПРЕД</w:t>
      </w:r>
      <w:r w:rsidR="00AE0CA2" w:rsidRPr="00471C90">
        <w:rPr>
          <w:rFonts w:cs="Times New Roman"/>
          <w:bCs/>
          <w:szCs w:val="24"/>
          <w:lang w:val="sr-Cyrl-CS"/>
        </w:rPr>
        <w:t>УЗ</w:t>
      </w:r>
      <w:r w:rsidRPr="00471C90">
        <w:rPr>
          <w:rFonts w:cs="Times New Roman"/>
          <w:bCs/>
          <w:szCs w:val="24"/>
          <w:lang w:val="sr-Cyrl-CS"/>
        </w:rPr>
        <w:t xml:space="preserve">ЕТНИШТВА </w:t>
      </w:r>
    </w:p>
    <w:p w14:paraId="53D91FDA" w14:textId="236BD438" w:rsidR="007F0E5C" w:rsidRPr="00471C90" w:rsidRDefault="00B114F2" w:rsidP="00F6577C">
      <w:pPr>
        <w:spacing w:after="0"/>
        <w:jc w:val="center"/>
        <w:rPr>
          <w:rFonts w:cs="Times New Roman"/>
          <w:bCs/>
          <w:szCs w:val="24"/>
          <w:lang w:val="sr-Cyrl-CS"/>
        </w:rPr>
      </w:pPr>
      <w:r w:rsidRPr="00471C90">
        <w:rPr>
          <w:rFonts w:cs="Times New Roman"/>
          <w:bCs/>
          <w:szCs w:val="24"/>
          <w:lang w:val="sr-Cyrl-CS"/>
        </w:rPr>
        <w:t>У РЕПУБЛИЦИ СРБИЈИ</w:t>
      </w:r>
      <w:r w:rsidR="00487CA6" w:rsidRPr="00471C90">
        <w:rPr>
          <w:rFonts w:cs="Times New Roman"/>
          <w:bCs/>
          <w:szCs w:val="24"/>
          <w:lang w:val="sr-Cyrl-CS"/>
        </w:rPr>
        <w:t xml:space="preserve"> </w:t>
      </w:r>
    </w:p>
    <w:p w14:paraId="7EEF2C28" w14:textId="5332146F" w:rsidR="00AE0CA2" w:rsidRPr="00471C90" w:rsidRDefault="00AE0CA2" w:rsidP="00587627">
      <w:pPr>
        <w:jc w:val="center"/>
        <w:rPr>
          <w:rFonts w:cs="Times New Roman"/>
          <w:szCs w:val="24"/>
          <w:lang w:val="sr-Cyrl-CS"/>
        </w:rPr>
      </w:pPr>
    </w:p>
    <w:p w14:paraId="2F4D27ED" w14:textId="6D4E8A78" w:rsidR="005410FB" w:rsidRPr="00471C90" w:rsidRDefault="005476BC">
      <w:pPr>
        <w:pStyle w:val="Heading1"/>
        <w:numPr>
          <w:ilvl w:val="0"/>
          <w:numId w:val="0"/>
        </w:numPr>
        <w:jc w:val="center"/>
        <w:rPr>
          <w:rFonts w:cs="Times New Roman"/>
          <w:b w:val="0"/>
          <w:sz w:val="24"/>
          <w:szCs w:val="24"/>
          <w:lang w:val="sr-Cyrl-CS"/>
        </w:rPr>
      </w:pPr>
      <w:bookmarkStart w:id="0" w:name="_Toc86450210"/>
      <w:r w:rsidRPr="00471C90">
        <w:rPr>
          <w:rFonts w:cs="Times New Roman"/>
          <w:b w:val="0"/>
          <w:sz w:val="24"/>
          <w:szCs w:val="24"/>
          <w:lang w:val="sr-Cyrl-CS"/>
        </w:rPr>
        <w:t>I</w:t>
      </w:r>
      <w:r w:rsidR="00AE0CA2" w:rsidRPr="00471C90">
        <w:rPr>
          <w:rFonts w:cs="Times New Roman"/>
          <w:b w:val="0"/>
          <w:sz w:val="24"/>
          <w:szCs w:val="24"/>
          <w:lang w:val="sr-Cyrl-CS"/>
        </w:rPr>
        <w:t>.</w:t>
      </w:r>
      <w:bookmarkEnd w:id="0"/>
      <w:r w:rsidR="005363FA" w:rsidRPr="00471C90">
        <w:rPr>
          <w:rFonts w:cs="Times New Roman"/>
          <w:b w:val="0"/>
          <w:sz w:val="24"/>
          <w:szCs w:val="24"/>
          <w:lang w:val="sr-Cyrl-CS"/>
        </w:rPr>
        <w:t xml:space="preserve"> </w:t>
      </w:r>
      <w:r w:rsidR="00B114F2" w:rsidRPr="00471C90">
        <w:rPr>
          <w:rFonts w:cs="Times New Roman"/>
          <w:b w:val="0"/>
          <w:sz w:val="24"/>
          <w:szCs w:val="24"/>
          <w:lang w:val="sr-Cyrl-CS"/>
        </w:rPr>
        <w:t>УВОД</w:t>
      </w:r>
    </w:p>
    <w:p w14:paraId="2EC3D195" w14:textId="71F2B272" w:rsidR="001E7736" w:rsidRPr="00471C90" w:rsidRDefault="00A97ECE" w:rsidP="00AE0CA2">
      <w:pPr>
        <w:ind w:firstLine="708"/>
        <w:jc w:val="both"/>
        <w:rPr>
          <w:rFonts w:cs="Times New Roman"/>
          <w:szCs w:val="24"/>
          <w:lang w:val="sr-Cyrl-CS" w:eastAsia="sr-Latn-RS"/>
        </w:rPr>
      </w:pPr>
      <w:r w:rsidRPr="00471C90">
        <w:rPr>
          <w:rFonts w:cs="Times New Roman"/>
          <w:szCs w:val="24"/>
          <w:lang w:val="sr-Cyrl-CS" w:eastAsia="sr-Latn-RS"/>
        </w:rPr>
        <w:t xml:space="preserve">Однос </w:t>
      </w:r>
      <w:r w:rsidR="001E7736" w:rsidRPr="00471C90">
        <w:rPr>
          <w:rFonts w:cs="Times New Roman"/>
          <w:szCs w:val="24"/>
          <w:lang w:val="sr-Cyrl-CS" w:eastAsia="sr-Latn-RS"/>
        </w:rPr>
        <w:t xml:space="preserve">између понуде и тражње </w:t>
      </w:r>
      <w:r w:rsidRPr="00471C90">
        <w:rPr>
          <w:rFonts w:cs="Times New Roman"/>
          <w:szCs w:val="24"/>
          <w:lang w:val="sr-Cyrl-CS" w:eastAsia="sr-Latn-RS"/>
        </w:rPr>
        <w:t xml:space="preserve">би требало да доведе </w:t>
      </w:r>
      <w:r w:rsidR="001E7736" w:rsidRPr="00471C90">
        <w:rPr>
          <w:rFonts w:cs="Times New Roman"/>
          <w:szCs w:val="24"/>
          <w:lang w:val="sr-Cyrl-CS" w:eastAsia="sr-Latn-RS"/>
        </w:rPr>
        <w:t>до оптималне алокације ресурса на савршеним финансијским тржиштима. Међутим, постојање информационе асиметрије, нерационалног понашања, јавних доб</w:t>
      </w:r>
      <w:r w:rsidR="00AE0CA2" w:rsidRPr="00471C90">
        <w:rPr>
          <w:rFonts w:cs="Times New Roman"/>
          <w:szCs w:val="24"/>
          <w:lang w:val="sr-Cyrl-CS" w:eastAsia="sr-Latn-RS"/>
        </w:rPr>
        <w:t>ара, неједнаке тржишне моћи итд.</w:t>
      </w:r>
      <w:r w:rsidR="001E7736" w:rsidRPr="00471C90">
        <w:rPr>
          <w:rFonts w:cs="Times New Roman"/>
          <w:szCs w:val="24"/>
          <w:lang w:val="sr-Cyrl-CS" w:eastAsia="sr-Latn-RS"/>
        </w:rPr>
        <w:t xml:space="preserve"> доводи до стварања јаза на тржишту између износа захтеваног и понуђеног финансирања. </w:t>
      </w:r>
      <w:r w:rsidRPr="00471C90">
        <w:rPr>
          <w:rFonts w:cs="Times New Roman"/>
          <w:szCs w:val="24"/>
          <w:lang w:val="sr-Cyrl-CS" w:eastAsia="sr-Latn-RS"/>
        </w:rPr>
        <w:t>Тако је настала</w:t>
      </w:r>
      <w:r w:rsidR="001E7736" w:rsidRPr="00471C90">
        <w:rPr>
          <w:rFonts w:cs="Times New Roman"/>
          <w:szCs w:val="24"/>
          <w:lang w:val="sr-Cyrl-CS" w:eastAsia="sr-Latn-RS"/>
        </w:rPr>
        <w:t xml:space="preserve"> потреба за државном интервенцијом која ће бити комплементарна тржишту и попунити јаз у финансирању успостављањем одговарајућег регулаторног окружења, субјеката и инструмената за финансирање развоја, као и развојем свести о могућностима финансирања кроз образовне кампање.</w:t>
      </w:r>
    </w:p>
    <w:p w14:paraId="294C071D" w14:textId="24B8D1E0" w:rsidR="001E7736" w:rsidRPr="00471C90" w:rsidRDefault="001E7736" w:rsidP="00AE0CA2">
      <w:pPr>
        <w:ind w:firstLine="708"/>
        <w:jc w:val="both"/>
        <w:rPr>
          <w:rFonts w:cs="Times New Roman"/>
          <w:szCs w:val="24"/>
          <w:lang w:val="sr-Cyrl-CS" w:eastAsia="sr-Latn-RS"/>
        </w:rPr>
      </w:pPr>
      <w:r w:rsidRPr="00471C90">
        <w:rPr>
          <w:rFonts w:cs="Times New Roman"/>
          <w:szCs w:val="24"/>
          <w:lang w:val="sr-Cyrl-CS" w:eastAsia="sr-Latn-RS"/>
        </w:rPr>
        <w:t>Имајући у виду да су мала и средња предузећа (</w:t>
      </w:r>
      <w:r w:rsidR="00F4606C" w:rsidRPr="00471C90">
        <w:rPr>
          <w:rFonts w:cs="Times New Roman"/>
          <w:szCs w:val="24"/>
          <w:lang w:val="sr-Cyrl-CS" w:eastAsia="sr-Latn-RS"/>
        </w:rPr>
        <w:t xml:space="preserve">у даљем тексту: </w:t>
      </w:r>
      <w:r w:rsidRPr="00471C90">
        <w:rPr>
          <w:rFonts w:cs="Times New Roman"/>
          <w:szCs w:val="24"/>
          <w:lang w:val="sr-Cyrl-CS" w:eastAsia="sr-Latn-RS"/>
        </w:rPr>
        <w:t>МСП) у 2019. години представљала 99,9% укупног броја предузећа, генерисала 65,5% запослености у</w:t>
      </w:r>
      <w:r w:rsidR="00F4606C" w:rsidRPr="00471C90">
        <w:rPr>
          <w:rFonts w:cs="Times New Roman"/>
          <w:szCs w:val="24"/>
          <w:lang w:val="sr-Cyrl-CS" w:eastAsia="sr-Latn-RS"/>
        </w:rPr>
        <w:t xml:space="preserve"> Републици</w:t>
      </w:r>
      <w:r w:rsidRPr="00471C90">
        <w:rPr>
          <w:rFonts w:cs="Times New Roman"/>
          <w:szCs w:val="24"/>
          <w:lang w:val="sr-Cyrl-CS" w:eastAsia="sr-Latn-RS"/>
        </w:rPr>
        <w:t xml:space="preserve"> Србији и доприносила стварању половине бруто додате вредности (</w:t>
      </w:r>
      <w:r w:rsidR="00F4606C" w:rsidRPr="00471C90">
        <w:rPr>
          <w:rFonts w:cs="Times New Roman"/>
          <w:szCs w:val="24"/>
          <w:lang w:val="sr-Cyrl-CS" w:eastAsia="sr-Latn-RS"/>
        </w:rPr>
        <w:t xml:space="preserve">у даљем тексту: </w:t>
      </w:r>
      <w:r w:rsidRPr="00471C90">
        <w:rPr>
          <w:rFonts w:cs="Times New Roman"/>
          <w:szCs w:val="24"/>
          <w:lang w:val="sr-Cyrl-CS" w:eastAsia="sr-Latn-RS"/>
        </w:rPr>
        <w:t xml:space="preserve">БДВ) </w:t>
      </w:r>
      <w:r w:rsidR="00F4606C" w:rsidRPr="00471C90">
        <w:rPr>
          <w:rFonts w:cs="Times New Roman"/>
          <w:szCs w:val="24"/>
          <w:lang w:val="sr-Cyrl-CS" w:eastAsia="sr-Latn-RS"/>
        </w:rPr>
        <w:t>Ре</w:t>
      </w:r>
      <w:r w:rsidR="00CC7089" w:rsidRPr="00471C90">
        <w:rPr>
          <w:rFonts w:cs="Times New Roman"/>
          <w:szCs w:val="24"/>
          <w:lang w:val="sr-Cyrl-CS" w:eastAsia="sr-Latn-RS"/>
        </w:rPr>
        <w:t>п</w:t>
      </w:r>
      <w:r w:rsidR="00F4606C" w:rsidRPr="00471C90">
        <w:rPr>
          <w:rFonts w:cs="Times New Roman"/>
          <w:szCs w:val="24"/>
          <w:lang w:val="sr-Cyrl-CS" w:eastAsia="sr-Latn-RS"/>
        </w:rPr>
        <w:t>ублике Србије</w:t>
      </w:r>
      <w:r w:rsidR="006F6945" w:rsidRPr="00471C90">
        <w:rPr>
          <w:rStyle w:val="FootnoteReference"/>
          <w:rFonts w:cs="Times New Roman"/>
          <w:szCs w:val="24"/>
          <w:lang w:val="sr-Cyrl-CS" w:eastAsia="sr-Latn-RS"/>
        </w:rPr>
        <w:footnoteReference w:id="1"/>
      </w:r>
      <w:r w:rsidRPr="00471C90">
        <w:rPr>
          <w:rFonts w:cs="Times New Roman"/>
          <w:szCs w:val="24"/>
          <w:lang w:val="sr-Cyrl-CS" w:eastAsia="sr-Latn-RS"/>
        </w:rPr>
        <w:t>, она представљају посебно интересовање свих напора ка смањењу поменутог јаза. Поред тога, у поређењу са великим привредним субјектима, МСП имају ограничен приступ финансијама због тежег прибављања средстава обезбеђења, краће пословне историје, ограниченог капитала, ниже финансијске писмености и пословног искуства. Наведено се првенствено односи на микро предузећа</w:t>
      </w:r>
      <w:r w:rsidR="00E952E6" w:rsidRPr="00471C90">
        <w:rPr>
          <w:rFonts w:cs="Times New Roman"/>
          <w:szCs w:val="24"/>
          <w:lang w:val="sr-Cyrl-CS" w:eastAsia="sr-Latn-RS"/>
        </w:rPr>
        <w:t xml:space="preserve"> и тек основана предузећа</w:t>
      </w:r>
      <w:r w:rsidRPr="00471C90">
        <w:rPr>
          <w:rFonts w:cs="Times New Roman"/>
          <w:szCs w:val="24"/>
          <w:lang w:val="sr-Cyrl-CS" w:eastAsia="sr-Latn-RS"/>
        </w:rPr>
        <w:t xml:space="preserve">, док је ситуација код </w:t>
      </w:r>
      <w:r w:rsidR="00AE0CA2" w:rsidRPr="00471C90">
        <w:rPr>
          <w:rFonts w:cs="Times New Roman"/>
          <w:szCs w:val="24"/>
          <w:lang w:val="sr-Cyrl-CS" w:eastAsia="sr-Latn-RS"/>
        </w:rPr>
        <w:t>МСП</w:t>
      </w:r>
      <w:r w:rsidRPr="00471C90">
        <w:rPr>
          <w:rFonts w:cs="Times New Roman"/>
          <w:szCs w:val="24"/>
          <w:lang w:val="sr-Cyrl-CS" w:eastAsia="sr-Latn-RS"/>
        </w:rPr>
        <w:t xml:space="preserve"> знатно боља и примећују се позитивни трендови код услова финансирања, као и код спремности банака за њиховим финансирањем, уз </w:t>
      </w:r>
      <w:r w:rsidR="00F4606C" w:rsidRPr="00471C90">
        <w:rPr>
          <w:rFonts w:cs="Times New Roman"/>
          <w:szCs w:val="24"/>
          <w:lang w:val="sr-Cyrl-CS" w:eastAsia="sr-Latn-RS"/>
        </w:rPr>
        <w:t>мање захтев</w:t>
      </w:r>
      <w:r w:rsidR="005363FA" w:rsidRPr="00471C90">
        <w:rPr>
          <w:rFonts w:cs="Times New Roman"/>
          <w:szCs w:val="24"/>
          <w:lang w:val="sr-Cyrl-CS" w:eastAsia="sr-Latn-RS"/>
        </w:rPr>
        <w:t>а</w:t>
      </w:r>
      <w:r w:rsidR="00F4606C" w:rsidRPr="00471C90">
        <w:rPr>
          <w:rFonts w:cs="Times New Roman"/>
          <w:szCs w:val="24"/>
          <w:lang w:val="sr-Cyrl-CS" w:eastAsia="sr-Latn-RS"/>
        </w:rPr>
        <w:t>но средство обезбеђења</w:t>
      </w:r>
      <w:r w:rsidRPr="00471C90">
        <w:rPr>
          <w:rFonts w:cs="Times New Roman"/>
          <w:szCs w:val="24"/>
          <w:lang w:val="sr-Cyrl-CS" w:eastAsia="sr-Latn-RS"/>
        </w:rPr>
        <w:t>.</w:t>
      </w:r>
    </w:p>
    <w:p w14:paraId="64B9B009" w14:textId="295C0FA3" w:rsidR="001E7736" w:rsidRPr="00471C90" w:rsidRDefault="00D575CE" w:rsidP="00AE0CA2">
      <w:pPr>
        <w:ind w:firstLine="708"/>
        <w:jc w:val="both"/>
        <w:rPr>
          <w:rFonts w:cs="Times New Roman"/>
          <w:szCs w:val="24"/>
          <w:lang w:val="sr-Cyrl-CS" w:eastAsia="sr-Latn-RS"/>
        </w:rPr>
      </w:pPr>
      <w:r w:rsidRPr="00471C90">
        <w:rPr>
          <w:rFonts w:cs="Times New Roman"/>
          <w:szCs w:val="24"/>
          <w:lang w:val="sr-Cyrl-CS" w:eastAsia="sr-Latn-RS"/>
        </w:rPr>
        <w:t>Ш</w:t>
      </w:r>
      <w:r w:rsidR="001E7736" w:rsidRPr="00471C90">
        <w:rPr>
          <w:rFonts w:cs="Times New Roman"/>
          <w:szCs w:val="24"/>
          <w:lang w:val="sr-Cyrl-CS" w:eastAsia="sr-Latn-RS"/>
        </w:rPr>
        <w:t>ирим стратешким документима дефинисано</w:t>
      </w:r>
      <w:r w:rsidR="001A5A95" w:rsidRPr="00471C90">
        <w:rPr>
          <w:rFonts w:cs="Times New Roman"/>
          <w:szCs w:val="24"/>
          <w:lang w:val="sr-Cyrl-CS" w:eastAsia="sr-Latn-RS"/>
        </w:rPr>
        <w:t xml:space="preserve"> је</w:t>
      </w:r>
      <w:r w:rsidR="001E7736" w:rsidRPr="00471C90">
        <w:rPr>
          <w:rFonts w:cs="Times New Roman"/>
          <w:szCs w:val="24"/>
          <w:lang w:val="sr-Cyrl-CS" w:eastAsia="sr-Latn-RS"/>
        </w:rPr>
        <w:t xml:space="preserve"> опредељење Републике Србије да се даље оснаже микро, мала и средња привредна друштва, </w:t>
      </w:r>
      <w:r w:rsidR="001A5A95" w:rsidRPr="00471C90">
        <w:rPr>
          <w:rFonts w:cs="Times New Roman"/>
          <w:szCs w:val="24"/>
          <w:lang w:val="sr-Cyrl-CS" w:eastAsia="sr-Latn-RS"/>
        </w:rPr>
        <w:t>што подразумева</w:t>
      </w:r>
      <w:r w:rsidR="001E7736" w:rsidRPr="00471C90">
        <w:rPr>
          <w:rFonts w:cs="Times New Roman"/>
          <w:szCs w:val="24"/>
          <w:lang w:val="sr-Cyrl-CS" w:eastAsia="sr-Latn-RS"/>
        </w:rPr>
        <w:t xml:space="preserve"> и даље унапређење приступа изворима финансирања</w:t>
      </w:r>
      <w:r w:rsidR="00AE0CA2" w:rsidRPr="00471C90">
        <w:rPr>
          <w:rFonts w:cs="Times New Roman"/>
          <w:szCs w:val="24"/>
          <w:lang w:val="sr-Cyrl-CS" w:eastAsia="sr-Latn-RS"/>
        </w:rPr>
        <w:t xml:space="preserve"> </w:t>
      </w:r>
      <w:r w:rsidR="001A5A95" w:rsidRPr="00471C90">
        <w:rPr>
          <w:rFonts w:cs="Times New Roman"/>
          <w:szCs w:val="24"/>
          <w:lang w:val="sr-Cyrl-CS" w:eastAsia="sr-Latn-RS"/>
        </w:rPr>
        <w:t xml:space="preserve">са тежиштем на пољу деловања развојних финансијских институција, имајући у виду њихову кључну улогу у овој области.  </w:t>
      </w:r>
    </w:p>
    <w:p w14:paraId="7B253F61" w14:textId="582C01E3" w:rsidR="003667AE" w:rsidRPr="00471C90" w:rsidRDefault="001E7736" w:rsidP="00AE0CA2">
      <w:pPr>
        <w:ind w:firstLine="708"/>
        <w:jc w:val="both"/>
        <w:rPr>
          <w:rFonts w:cs="Times New Roman"/>
          <w:szCs w:val="24"/>
          <w:lang w:val="sr-Cyrl-CS" w:eastAsia="sr-Latn-RS"/>
        </w:rPr>
      </w:pPr>
      <w:r w:rsidRPr="00471C90">
        <w:rPr>
          <w:rFonts w:cs="Times New Roman"/>
          <w:szCs w:val="24"/>
          <w:lang w:val="sr-Cyrl-CS" w:eastAsia="sr-Latn-RS"/>
        </w:rPr>
        <w:t>Концепт политике</w:t>
      </w:r>
      <w:r w:rsidR="00B81289" w:rsidRPr="00471C90">
        <w:rPr>
          <w:rFonts w:cs="Times New Roman"/>
          <w:szCs w:val="24"/>
          <w:lang w:val="sr-Cyrl-CS" w:eastAsia="sr-Latn-RS"/>
        </w:rPr>
        <w:t xml:space="preserve"> развојног финансирања у области предузетништва у Републици Србији (у даљем тексту: Концепт)</w:t>
      </w:r>
      <w:r w:rsidRPr="00471C90">
        <w:rPr>
          <w:rFonts w:cs="Times New Roman"/>
          <w:szCs w:val="24"/>
          <w:lang w:val="sr-Cyrl-CS" w:eastAsia="sr-Latn-RS"/>
        </w:rPr>
        <w:t xml:space="preserve"> </w:t>
      </w:r>
      <w:r w:rsidR="00F4606C" w:rsidRPr="00471C90">
        <w:rPr>
          <w:rFonts w:cs="Times New Roman"/>
          <w:szCs w:val="24"/>
          <w:lang w:val="sr-Cyrl-CS" w:eastAsia="sr-Latn-RS"/>
        </w:rPr>
        <w:t>припремила је</w:t>
      </w:r>
      <w:r w:rsidR="004F5C97" w:rsidRPr="00471C90">
        <w:rPr>
          <w:rFonts w:cs="Times New Roman"/>
          <w:szCs w:val="24"/>
          <w:lang w:val="sr-Cyrl-CS" w:eastAsia="sr-Latn-RS"/>
        </w:rPr>
        <w:t xml:space="preserve"> </w:t>
      </w:r>
      <w:r w:rsidR="00F4606C" w:rsidRPr="00471C90">
        <w:rPr>
          <w:rFonts w:cs="Times New Roman"/>
          <w:szCs w:val="24"/>
          <w:lang w:val="sr-Cyrl-CS" w:eastAsia="sr-Latn-RS"/>
        </w:rPr>
        <w:t xml:space="preserve">Радна група </w:t>
      </w:r>
      <w:r w:rsidR="004F5C97" w:rsidRPr="00471C90">
        <w:rPr>
          <w:rFonts w:cs="Times New Roman"/>
          <w:szCs w:val="24"/>
          <w:lang w:val="sr-Cyrl-CS" w:eastAsia="sr-Latn-RS"/>
        </w:rPr>
        <w:t xml:space="preserve">за развојно финансирање, која је такође имала задатак и да координише напоре свих </w:t>
      </w:r>
      <w:r w:rsidR="00F4606C" w:rsidRPr="00471C90">
        <w:rPr>
          <w:rFonts w:cs="Times New Roman"/>
          <w:szCs w:val="24"/>
          <w:lang w:val="sr-Cyrl-CS" w:eastAsia="sr-Latn-RS"/>
        </w:rPr>
        <w:t>надлежних</w:t>
      </w:r>
      <w:r w:rsidR="004F5C97" w:rsidRPr="00471C90">
        <w:rPr>
          <w:rFonts w:cs="Times New Roman"/>
          <w:szCs w:val="24"/>
          <w:lang w:val="sr-Cyrl-CS" w:eastAsia="sr-Latn-RS"/>
        </w:rPr>
        <w:t xml:space="preserve"> </w:t>
      </w:r>
      <w:r w:rsidR="00F4606C" w:rsidRPr="00471C90">
        <w:rPr>
          <w:rFonts w:cs="Times New Roman"/>
          <w:szCs w:val="24"/>
          <w:lang w:val="sr-Cyrl-CS" w:eastAsia="sr-Latn-RS"/>
        </w:rPr>
        <w:t>институција</w:t>
      </w:r>
      <w:r w:rsidR="004F5C97" w:rsidRPr="00471C90">
        <w:rPr>
          <w:rFonts w:cs="Times New Roman"/>
          <w:szCs w:val="24"/>
          <w:lang w:val="sr-Cyrl-CS" w:eastAsia="sr-Latn-RS"/>
        </w:rPr>
        <w:t xml:space="preserve">, које су дале вредне доприносе у дефинисању главних принципа </w:t>
      </w:r>
      <w:r w:rsidR="00F86437" w:rsidRPr="00471C90">
        <w:rPr>
          <w:rFonts w:cs="Times New Roman"/>
          <w:szCs w:val="24"/>
          <w:lang w:val="sr-Cyrl-CS" w:eastAsia="sr-Latn-RS"/>
        </w:rPr>
        <w:t>Концепта</w:t>
      </w:r>
      <w:r w:rsidR="004F5C97" w:rsidRPr="00471C90">
        <w:rPr>
          <w:rFonts w:cs="Times New Roman"/>
          <w:szCs w:val="24"/>
          <w:lang w:val="sr-Cyrl-CS" w:eastAsia="sr-Latn-RS"/>
        </w:rPr>
        <w:t>.</w:t>
      </w:r>
      <w:r w:rsidR="001D4D7C" w:rsidRPr="00471C90">
        <w:rPr>
          <w:rFonts w:cs="Times New Roman"/>
          <w:szCs w:val="24"/>
          <w:lang w:val="sr-Cyrl-CS" w:eastAsia="sr-Latn-RS"/>
        </w:rPr>
        <w:t xml:space="preserve"> Радну групу</w:t>
      </w:r>
      <w:r w:rsidR="00F4606C" w:rsidRPr="00471C90">
        <w:rPr>
          <w:rFonts w:cs="Times New Roman"/>
          <w:szCs w:val="24"/>
          <w:lang w:val="sr-Cyrl-CS" w:eastAsia="sr-Latn-RS"/>
        </w:rPr>
        <w:t xml:space="preserve"> за развојно финансирање</w:t>
      </w:r>
      <w:r w:rsidR="001D4D7C" w:rsidRPr="00471C90">
        <w:rPr>
          <w:rFonts w:cs="Times New Roman"/>
          <w:szCs w:val="24"/>
          <w:lang w:val="sr-Cyrl-CS" w:eastAsia="sr-Latn-RS"/>
        </w:rPr>
        <w:t xml:space="preserve"> су чинили представници Министарства привреде, Министарства финансија, Народне банке Србије, Привредне коморе Србије, </w:t>
      </w:r>
      <w:r w:rsidR="005476BC" w:rsidRPr="00471C90">
        <w:rPr>
          <w:rFonts w:cs="Times New Roman"/>
          <w:szCs w:val="24"/>
          <w:lang w:val="sr-Cyrl-CS" w:eastAsia="sr-Latn-RS"/>
        </w:rPr>
        <w:t>Aгенциј</w:t>
      </w:r>
      <w:r w:rsidR="00AE0CA2" w:rsidRPr="00471C90">
        <w:rPr>
          <w:rFonts w:cs="Times New Roman"/>
          <w:szCs w:val="24"/>
          <w:lang w:val="sr-Cyrl-CS" w:eastAsia="sr-Latn-RS"/>
        </w:rPr>
        <w:t>е</w:t>
      </w:r>
      <w:r w:rsidR="005476BC" w:rsidRPr="00471C90">
        <w:rPr>
          <w:rFonts w:cs="Times New Roman"/>
          <w:szCs w:val="24"/>
          <w:lang w:val="sr-Cyrl-CS" w:eastAsia="sr-Latn-RS"/>
        </w:rPr>
        <w:t xml:space="preserve"> за оси</w:t>
      </w:r>
      <w:r w:rsidR="00AE0CA2" w:rsidRPr="00471C90">
        <w:rPr>
          <w:rFonts w:cs="Times New Roman"/>
          <w:szCs w:val="24"/>
          <w:lang w:val="sr-Cyrl-CS" w:eastAsia="sr-Latn-RS"/>
        </w:rPr>
        <w:t>гурање и финансирање извоза Реп</w:t>
      </w:r>
      <w:r w:rsidR="005476BC" w:rsidRPr="00471C90">
        <w:rPr>
          <w:rFonts w:cs="Times New Roman"/>
          <w:szCs w:val="24"/>
          <w:lang w:val="sr-Cyrl-CS" w:eastAsia="sr-Latn-RS"/>
        </w:rPr>
        <w:t xml:space="preserve">ублике Србије а.д. (у даљем тексту: </w:t>
      </w:r>
      <w:r w:rsidR="001D4D7C" w:rsidRPr="00471C90">
        <w:rPr>
          <w:rFonts w:cs="Times New Roman"/>
          <w:szCs w:val="24"/>
          <w:lang w:val="sr-Cyrl-CS" w:eastAsia="sr-Latn-RS"/>
        </w:rPr>
        <w:t>АОФИ</w:t>
      </w:r>
      <w:r w:rsidR="005476BC" w:rsidRPr="00471C90">
        <w:rPr>
          <w:rFonts w:cs="Times New Roman"/>
          <w:szCs w:val="24"/>
          <w:lang w:val="sr-Cyrl-CS" w:eastAsia="sr-Latn-RS"/>
        </w:rPr>
        <w:t>)</w:t>
      </w:r>
      <w:r w:rsidR="001D4D7C" w:rsidRPr="00471C90">
        <w:rPr>
          <w:rFonts w:cs="Times New Roman"/>
          <w:szCs w:val="24"/>
          <w:lang w:val="sr-Cyrl-CS" w:eastAsia="sr-Latn-RS"/>
        </w:rPr>
        <w:t xml:space="preserve"> и </w:t>
      </w:r>
      <w:r w:rsidR="001D4D7C" w:rsidRPr="00471C90">
        <w:rPr>
          <w:rFonts w:cs="Times New Roman"/>
          <w:szCs w:val="24"/>
          <w:lang w:val="sr-Cyrl-CS" w:eastAsia="sr-Latn-RS"/>
        </w:rPr>
        <w:lastRenderedPageBreak/>
        <w:t>Фонда за развој</w:t>
      </w:r>
      <w:r w:rsidR="005476BC" w:rsidRPr="00471C90">
        <w:rPr>
          <w:rFonts w:cs="Times New Roman"/>
          <w:szCs w:val="24"/>
          <w:lang w:val="sr-Cyrl-CS" w:eastAsia="sr-Latn-RS"/>
        </w:rPr>
        <w:t xml:space="preserve"> Републике Србије (у даљем тексту: Фонд за развој)</w:t>
      </w:r>
      <w:r w:rsidR="001D4D7C" w:rsidRPr="00471C90">
        <w:rPr>
          <w:rFonts w:cs="Times New Roman"/>
          <w:szCs w:val="24"/>
          <w:lang w:val="sr-Cyrl-CS" w:eastAsia="sr-Latn-RS"/>
        </w:rPr>
        <w:t>. Стручну подршку за израду Концепта је пружио</w:t>
      </w:r>
      <w:r w:rsidR="00FF11A9" w:rsidRPr="00471C90">
        <w:rPr>
          <w:rFonts w:cs="Times New Roman"/>
          <w:szCs w:val="24"/>
          <w:lang w:val="sr-Cyrl-CS" w:eastAsia="sr-Latn-RS"/>
        </w:rPr>
        <w:t xml:space="preserve"> конзорцијум консултаната сачињен од Ernst &amp; Young д.о.о. Београд (</w:t>
      </w:r>
      <w:r w:rsidR="00F4606C" w:rsidRPr="00471C90">
        <w:rPr>
          <w:rFonts w:cs="Times New Roman"/>
          <w:szCs w:val="24"/>
          <w:lang w:val="sr-Cyrl-CS" w:eastAsia="sr-Latn-RS"/>
        </w:rPr>
        <w:t xml:space="preserve">у даљем тексту: </w:t>
      </w:r>
      <w:r w:rsidR="001C65C4">
        <w:rPr>
          <w:rFonts w:cs="Times New Roman"/>
          <w:szCs w:val="24"/>
          <w:lang w:val="sr-Cyrl-CS" w:eastAsia="sr-Latn-RS"/>
        </w:rPr>
        <w:t>ЕУ</w:t>
      </w:r>
      <w:r w:rsidR="00FF11A9" w:rsidRPr="00471C90">
        <w:rPr>
          <w:rFonts w:cs="Times New Roman"/>
          <w:szCs w:val="24"/>
          <w:lang w:val="sr-Cyrl-CS" w:eastAsia="sr-Latn-RS"/>
        </w:rPr>
        <w:t>) и Фондације за развој економске науке (</w:t>
      </w:r>
      <w:r w:rsidR="00F4606C" w:rsidRPr="00471C90">
        <w:rPr>
          <w:rFonts w:cs="Times New Roman"/>
          <w:szCs w:val="24"/>
          <w:lang w:val="sr-Cyrl-CS" w:eastAsia="sr-Latn-RS"/>
        </w:rPr>
        <w:t xml:space="preserve">у даљем тексту: </w:t>
      </w:r>
      <w:r w:rsidR="00FF11A9" w:rsidRPr="00471C90">
        <w:rPr>
          <w:rFonts w:cs="Times New Roman"/>
          <w:szCs w:val="24"/>
          <w:lang w:val="sr-Cyrl-CS" w:eastAsia="sr-Latn-RS"/>
        </w:rPr>
        <w:t xml:space="preserve">ФРЕН), а </w:t>
      </w:r>
      <w:r w:rsidRPr="00471C90">
        <w:rPr>
          <w:rFonts w:cs="Times New Roman"/>
          <w:szCs w:val="24"/>
          <w:lang w:val="sr-Cyrl-CS" w:eastAsia="sr-Latn-RS"/>
        </w:rPr>
        <w:t>уз финансијску подршку Светске банке.</w:t>
      </w:r>
    </w:p>
    <w:p w14:paraId="000E6754" w14:textId="611B1A93" w:rsidR="007D3D6C" w:rsidRPr="00471C90" w:rsidRDefault="005F1BBA">
      <w:pPr>
        <w:ind w:firstLine="708"/>
        <w:jc w:val="both"/>
        <w:rPr>
          <w:rFonts w:cs="Times New Roman"/>
          <w:szCs w:val="24"/>
          <w:lang w:val="sr-Cyrl-CS" w:eastAsia="sr-Latn-RS"/>
        </w:rPr>
      </w:pPr>
      <w:r w:rsidRPr="00471C90">
        <w:rPr>
          <w:rFonts w:cs="Times New Roman"/>
          <w:szCs w:val="24"/>
          <w:lang w:val="sr-Cyrl-CS" w:eastAsia="sr-Latn-RS"/>
        </w:rPr>
        <w:t>Концепт</w:t>
      </w:r>
      <w:r w:rsidR="00F4606C" w:rsidRPr="00471C90">
        <w:rPr>
          <w:rFonts w:cs="Times New Roman"/>
          <w:szCs w:val="24"/>
          <w:lang w:val="sr-Cyrl-CS" w:eastAsia="sr-Latn-RS"/>
        </w:rPr>
        <w:t xml:space="preserve"> је израђен у складу</w:t>
      </w:r>
      <w:r w:rsidRPr="00471C90">
        <w:rPr>
          <w:rFonts w:cs="Times New Roman"/>
          <w:szCs w:val="24"/>
          <w:lang w:val="sr-Cyrl-CS" w:eastAsia="sr-Latn-RS"/>
        </w:rPr>
        <w:t xml:space="preserve"> са За</w:t>
      </w:r>
      <w:r w:rsidR="00D401B1" w:rsidRPr="00471C90">
        <w:rPr>
          <w:rFonts w:cs="Times New Roman"/>
          <w:szCs w:val="24"/>
          <w:lang w:val="sr-Cyrl-CS" w:eastAsia="sr-Latn-RS"/>
        </w:rPr>
        <w:t>коном о планском систему Републике Србије</w:t>
      </w:r>
      <w:r w:rsidR="00F4606C" w:rsidRPr="00471C90">
        <w:rPr>
          <w:rFonts w:cs="Times New Roman"/>
          <w:szCs w:val="24"/>
          <w:lang w:val="sr-Cyrl-CS" w:eastAsia="sr-Latn-RS"/>
        </w:rPr>
        <w:t xml:space="preserve">, којим су прописани елементи </w:t>
      </w:r>
      <w:r w:rsidR="00E52208" w:rsidRPr="00471C90">
        <w:rPr>
          <w:rFonts w:cs="Times New Roman"/>
          <w:szCs w:val="24"/>
          <w:lang w:val="sr-Cyrl-CS" w:eastAsia="sr-Latn-RS"/>
        </w:rPr>
        <w:t xml:space="preserve">које </w:t>
      </w:r>
      <w:r w:rsidR="00F4606C" w:rsidRPr="00471C90">
        <w:rPr>
          <w:rFonts w:cs="Times New Roman"/>
          <w:szCs w:val="24"/>
          <w:lang w:val="sr-Cyrl-CS" w:eastAsia="sr-Latn-RS"/>
        </w:rPr>
        <w:t>концепт</w:t>
      </w:r>
      <w:r w:rsidR="002C32BD" w:rsidRPr="00471C90">
        <w:rPr>
          <w:rFonts w:cs="Times New Roman"/>
          <w:szCs w:val="24"/>
          <w:lang w:val="sr-Cyrl-CS" w:eastAsia="sr-Latn-RS"/>
        </w:rPr>
        <w:t xml:space="preserve"> политике треба да садржи.</w:t>
      </w:r>
      <w:r w:rsidR="00942F0D" w:rsidRPr="00471C90">
        <w:rPr>
          <w:rFonts w:cs="Times New Roman"/>
          <w:szCs w:val="24"/>
          <w:lang w:val="sr-Cyrl-CS" w:eastAsia="sr-Latn-RS"/>
        </w:rPr>
        <w:t xml:space="preserve"> </w:t>
      </w:r>
      <w:r w:rsidR="00347F6E" w:rsidRPr="00471C90">
        <w:rPr>
          <w:rFonts w:cs="Times New Roman"/>
          <w:szCs w:val="24"/>
          <w:lang w:val="sr-Cyrl-CS" w:eastAsia="sr-Latn-RS"/>
        </w:rPr>
        <w:t xml:space="preserve">Основ за доношење </w:t>
      </w:r>
      <w:r w:rsidR="00F86437" w:rsidRPr="00471C90">
        <w:rPr>
          <w:rFonts w:cs="Times New Roman"/>
          <w:szCs w:val="24"/>
          <w:lang w:val="sr-Cyrl-CS" w:eastAsia="sr-Latn-RS"/>
        </w:rPr>
        <w:t xml:space="preserve">Концепта </w:t>
      </w:r>
      <w:r w:rsidR="00347F6E" w:rsidRPr="00471C90">
        <w:rPr>
          <w:rFonts w:cs="Times New Roman"/>
          <w:szCs w:val="24"/>
          <w:lang w:val="sr-Cyrl-CS" w:eastAsia="sr-Latn-RS"/>
        </w:rPr>
        <w:t>представља обавеза коју је Република Србија преузела у оквиру реформи које се финансирају из кредита Светске банке</w:t>
      </w:r>
      <w:r w:rsidR="00756D00" w:rsidRPr="00471C90">
        <w:rPr>
          <w:rFonts w:cs="Times New Roman"/>
          <w:szCs w:val="24"/>
          <w:lang w:val="sr-Cyrl-CS" w:eastAsia="sr-Latn-RS"/>
        </w:rPr>
        <w:t xml:space="preserve"> бр. 8832-YF, а које се односе на Пројекат јачања финансијских институција у државном власништву. </w:t>
      </w:r>
      <w:r w:rsidR="00942F0D" w:rsidRPr="00471C90">
        <w:rPr>
          <w:rFonts w:cs="Times New Roman"/>
          <w:szCs w:val="24"/>
          <w:lang w:val="sr-Cyrl-CS" w:eastAsia="sr-Latn-RS"/>
        </w:rPr>
        <w:t xml:space="preserve">Концепт је први документ </w:t>
      </w:r>
      <w:r w:rsidR="00F4606C" w:rsidRPr="00471C90">
        <w:rPr>
          <w:rFonts w:cs="Times New Roman"/>
          <w:szCs w:val="24"/>
          <w:lang w:val="sr-Cyrl-CS" w:eastAsia="sr-Latn-RS"/>
        </w:rPr>
        <w:t>у овој области</w:t>
      </w:r>
      <w:r w:rsidR="00942F0D" w:rsidRPr="00471C90">
        <w:rPr>
          <w:rFonts w:cs="Times New Roman"/>
          <w:szCs w:val="24"/>
          <w:lang w:val="sr-Cyrl-CS" w:eastAsia="sr-Latn-RS"/>
        </w:rPr>
        <w:t xml:space="preserve"> и њим се усвајају принципи реформе</w:t>
      </w:r>
      <w:r w:rsidR="00511B28" w:rsidRPr="00471C90">
        <w:rPr>
          <w:rFonts w:cs="Times New Roman"/>
          <w:szCs w:val="24"/>
          <w:lang w:val="sr-Cyrl-CS" w:eastAsia="sr-Latn-RS"/>
        </w:rPr>
        <w:t>, која није стратешка,</w:t>
      </w:r>
      <w:r w:rsidR="00942F0D" w:rsidRPr="00471C90">
        <w:rPr>
          <w:rFonts w:cs="Times New Roman"/>
          <w:szCs w:val="24"/>
          <w:lang w:val="sr-Cyrl-CS" w:eastAsia="sr-Latn-RS"/>
        </w:rPr>
        <w:t xml:space="preserve"> у области развојног </w:t>
      </w:r>
      <w:r w:rsidR="00E34825" w:rsidRPr="00471C90">
        <w:rPr>
          <w:rFonts w:cs="Times New Roman"/>
          <w:szCs w:val="24"/>
          <w:lang w:val="sr-Cyrl-CS" w:eastAsia="sr-Latn-RS"/>
        </w:rPr>
        <w:t>финансирања у области предузетништва.</w:t>
      </w:r>
      <w:r w:rsidR="00A55C01" w:rsidRPr="00471C90">
        <w:rPr>
          <w:rFonts w:cs="Times New Roman"/>
          <w:szCs w:val="24"/>
          <w:lang w:val="sr-Cyrl-CS" w:eastAsia="sr-Latn-RS"/>
        </w:rPr>
        <w:t xml:space="preserve"> </w:t>
      </w:r>
      <w:r w:rsidR="007D4E2D" w:rsidRPr="00471C90">
        <w:rPr>
          <w:rFonts w:cs="Times New Roman"/>
          <w:szCs w:val="24"/>
          <w:lang w:val="sr-Cyrl-CS" w:eastAsia="sr-Latn-RS"/>
        </w:rPr>
        <w:t>Како би се дефинисали и усвојили принципи реформи, у Концепту је размотрено више међусобно иск</w:t>
      </w:r>
      <w:r w:rsidR="00555007" w:rsidRPr="00471C90">
        <w:rPr>
          <w:rFonts w:cs="Times New Roman"/>
          <w:szCs w:val="24"/>
          <w:lang w:val="sr-Cyrl-CS" w:eastAsia="sr-Latn-RS"/>
        </w:rPr>
        <w:t xml:space="preserve">ључивих </w:t>
      </w:r>
      <w:r w:rsidR="00520D6A" w:rsidRPr="00471C90">
        <w:rPr>
          <w:rFonts w:cs="Times New Roman"/>
          <w:szCs w:val="24"/>
          <w:lang w:val="sr-Cyrl-CS" w:eastAsia="sr-Latn-RS"/>
        </w:rPr>
        <w:t xml:space="preserve">опција за постизање циљева </w:t>
      </w:r>
      <w:r w:rsidR="006A0250" w:rsidRPr="00471C90">
        <w:rPr>
          <w:rFonts w:cs="Times New Roman"/>
          <w:szCs w:val="24"/>
          <w:lang w:val="sr-Cyrl-CS" w:eastAsia="sr-Latn-RS"/>
        </w:rPr>
        <w:t>који су у њему дефинисани</w:t>
      </w:r>
      <w:r w:rsidR="00520D6A" w:rsidRPr="00471C90">
        <w:rPr>
          <w:rFonts w:cs="Times New Roman"/>
          <w:szCs w:val="24"/>
          <w:lang w:val="sr-Cyrl-CS" w:eastAsia="sr-Latn-RS"/>
        </w:rPr>
        <w:t>.</w:t>
      </w:r>
    </w:p>
    <w:p w14:paraId="29E0648E" w14:textId="77777777" w:rsidR="006A0250" w:rsidRPr="00471C90" w:rsidRDefault="006A0250">
      <w:pPr>
        <w:ind w:firstLine="708"/>
        <w:jc w:val="both"/>
        <w:rPr>
          <w:rFonts w:cs="Times New Roman"/>
          <w:szCs w:val="24"/>
          <w:lang w:val="sr-Cyrl-CS" w:eastAsia="sr-Latn-RS"/>
        </w:rPr>
      </w:pPr>
    </w:p>
    <w:p w14:paraId="5AAE29C8" w14:textId="67681AEC" w:rsidR="008C0B53" w:rsidRPr="00471C90" w:rsidRDefault="00286ABA">
      <w:pPr>
        <w:pStyle w:val="Heading1"/>
        <w:numPr>
          <w:ilvl w:val="0"/>
          <w:numId w:val="0"/>
        </w:numPr>
        <w:ind w:left="284"/>
        <w:jc w:val="center"/>
        <w:rPr>
          <w:rFonts w:cs="Times New Roman"/>
          <w:b w:val="0"/>
          <w:sz w:val="24"/>
          <w:szCs w:val="24"/>
          <w:lang w:val="sr-Cyrl-CS"/>
        </w:rPr>
      </w:pPr>
      <w:bookmarkStart w:id="1" w:name="_Toc86450211"/>
      <w:r w:rsidRPr="00471C90">
        <w:rPr>
          <w:rFonts w:cs="Times New Roman"/>
          <w:b w:val="0"/>
          <w:sz w:val="24"/>
          <w:szCs w:val="24"/>
          <w:lang w:val="sr-Cyrl-CS"/>
        </w:rPr>
        <w:t>II.</w:t>
      </w:r>
      <w:bookmarkEnd w:id="1"/>
      <w:r w:rsidR="006A0250" w:rsidRPr="00471C90">
        <w:rPr>
          <w:rFonts w:cs="Times New Roman"/>
          <w:sz w:val="24"/>
          <w:szCs w:val="24"/>
          <w:lang w:val="sr-Cyrl-CS"/>
        </w:rPr>
        <w:t xml:space="preserve"> </w:t>
      </w:r>
      <w:r w:rsidR="00BA3932" w:rsidRPr="00471C90">
        <w:rPr>
          <w:rFonts w:cs="Times New Roman"/>
          <w:b w:val="0"/>
          <w:sz w:val="24"/>
          <w:szCs w:val="24"/>
          <w:lang w:val="sr-Cyrl-CS"/>
        </w:rPr>
        <w:t>ПРЕГЛЕД И АНАЛИЗА ПОСТОЈЕЋЕГ СТАЊА</w:t>
      </w:r>
    </w:p>
    <w:p w14:paraId="513BCE49" w14:textId="77777777" w:rsidR="00AE0CA2" w:rsidRPr="00471C90" w:rsidRDefault="00AE0CA2" w:rsidP="00AE0CA2">
      <w:pPr>
        <w:rPr>
          <w:rFonts w:cs="Times New Roman"/>
          <w:szCs w:val="24"/>
          <w:lang w:val="sr-Cyrl-CS"/>
        </w:rPr>
      </w:pPr>
    </w:p>
    <w:p w14:paraId="43235FB1" w14:textId="138F97C4" w:rsidR="00E561DA" w:rsidRPr="00471C90" w:rsidRDefault="00286ABA" w:rsidP="00AE0CA2">
      <w:pPr>
        <w:pStyle w:val="Heading2"/>
        <w:numPr>
          <w:ilvl w:val="0"/>
          <w:numId w:val="0"/>
        </w:numPr>
        <w:ind w:left="284"/>
        <w:rPr>
          <w:rFonts w:cs="Times New Roman"/>
          <w:sz w:val="24"/>
          <w:szCs w:val="24"/>
          <w:lang w:val="sr-Cyrl-CS"/>
        </w:rPr>
      </w:pPr>
      <w:bookmarkStart w:id="2" w:name="_Toc86450212"/>
      <w:r w:rsidRPr="00471C90">
        <w:rPr>
          <w:rFonts w:cs="Times New Roman"/>
          <w:sz w:val="24"/>
          <w:szCs w:val="24"/>
          <w:lang w:val="sr-Cyrl-CS"/>
        </w:rPr>
        <w:t xml:space="preserve">2.1 </w:t>
      </w:r>
      <w:r w:rsidR="001E7736" w:rsidRPr="00471C90">
        <w:rPr>
          <w:rFonts w:cs="Times New Roman"/>
          <w:sz w:val="24"/>
          <w:szCs w:val="24"/>
          <w:lang w:val="sr-Cyrl-CS"/>
        </w:rPr>
        <w:t xml:space="preserve">Тренутни оквир </w:t>
      </w:r>
      <w:r w:rsidR="006A25E0" w:rsidRPr="00471C90">
        <w:rPr>
          <w:rFonts w:cs="Times New Roman"/>
          <w:sz w:val="24"/>
          <w:szCs w:val="24"/>
          <w:lang w:val="sr-Cyrl-CS"/>
        </w:rPr>
        <w:t>развојног</w:t>
      </w:r>
      <w:r w:rsidR="001E7736" w:rsidRPr="00471C90">
        <w:rPr>
          <w:rFonts w:cs="Times New Roman"/>
          <w:sz w:val="24"/>
          <w:szCs w:val="24"/>
          <w:lang w:val="sr-Cyrl-CS"/>
        </w:rPr>
        <w:t xml:space="preserve"> финансирања у</w:t>
      </w:r>
      <w:r w:rsidR="00F4606C" w:rsidRPr="00471C90">
        <w:rPr>
          <w:rFonts w:cs="Times New Roman"/>
          <w:sz w:val="24"/>
          <w:szCs w:val="24"/>
          <w:lang w:val="sr-Cyrl-CS"/>
        </w:rPr>
        <w:t xml:space="preserve"> Републици</w:t>
      </w:r>
      <w:r w:rsidR="001E7736" w:rsidRPr="00471C90">
        <w:rPr>
          <w:rFonts w:cs="Times New Roman"/>
          <w:sz w:val="24"/>
          <w:szCs w:val="24"/>
          <w:lang w:val="sr-Cyrl-CS"/>
        </w:rPr>
        <w:t xml:space="preserve"> Србији</w:t>
      </w:r>
      <w:bookmarkEnd w:id="2"/>
    </w:p>
    <w:p w14:paraId="3D20FE87" w14:textId="24FB46A9" w:rsidR="0046153B" w:rsidRPr="00471C90" w:rsidRDefault="001E7736">
      <w:pPr>
        <w:ind w:firstLine="708"/>
        <w:jc w:val="both"/>
        <w:rPr>
          <w:rFonts w:cs="Times New Roman"/>
          <w:szCs w:val="24"/>
          <w:lang w:val="sr-Cyrl-CS"/>
        </w:rPr>
      </w:pPr>
      <w:r w:rsidRPr="00471C90">
        <w:rPr>
          <w:rFonts w:cs="Times New Roman"/>
          <w:szCs w:val="24"/>
          <w:lang w:val="sr-Cyrl-CS"/>
        </w:rPr>
        <w:t xml:space="preserve">Постојеће институције за финансирање развоја у </w:t>
      </w:r>
      <w:r w:rsidR="006A0250" w:rsidRPr="00471C90">
        <w:rPr>
          <w:rFonts w:cs="Times New Roman"/>
          <w:szCs w:val="24"/>
          <w:lang w:val="sr-Cyrl-CS"/>
        </w:rPr>
        <w:t xml:space="preserve">Републици </w:t>
      </w:r>
      <w:r w:rsidRPr="00471C90">
        <w:rPr>
          <w:rFonts w:cs="Times New Roman"/>
          <w:szCs w:val="24"/>
          <w:lang w:val="sr-Cyrl-CS"/>
        </w:rPr>
        <w:t xml:space="preserve">Србији су Фонд за развој </w:t>
      </w:r>
      <w:r w:rsidR="005476BC" w:rsidRPr="00471C90">
        <w:rPr>
          <w:rFonts w:cs="Times New Roman"/>
          <w:szCs w:val="24"/>
          <w:lang w:val="sr-Cyrl-CS"/>
        </w:rPr>
        <w:t xml:space="preserve">и </w:t>
      </w:r>
      <w:r w:rsidRPr="00471C90">
        <w:rPr>
          <w:rFonts w:cs="Times New Roman"/>
          <w:szCs w:val="24"/>
          <w:lang w:val="sr-Cyrl-CS"/>
        </w:rPr>
        <w:t>АОФИ</w:t>
      </w:r>
      <w:r w:rsidR="005476BC" w:rsidRPr="00471C90">
        <w:rPr>
          <w:rFonts w:cs="Times New Roman"/>
          <w:szCs w:val="24"/>
          <w:lang w:val="sr-Cyrl-CS"/>
        </w:rPr>
        <w:t>.</w:t>
      </w:r>
    </w:p>
    <w:p w14:paraId="6D228C5F" w14:textId="1461389C" w:rsidR="001E7736" w:rsidRPr="00471C90" w:rsidRDefault="00286ABA" w:rsidP="00AE0CA2">
      <w:pPr>
        <w:ind w:left="360"/>
        <w:rPr>
          <w:rFonts w:eastAsia="Times New Roman" w:cs="Times New Roman"/>
          <w:szCs w:val="24"/>
          <w:lang w:val="sr-Cyrl-CS" w:eastAsia="sr-Latn-RS"/>
        </w:rPr>
      </w:pPr>
      <w:r w:rsidRPr="00471C90">
        <w:rPr>
          <w:rFonts w:eastAsia="Times New Roman" w:cs="Times New Roman"/>
          <w:szCs w:val="24"/>
          <w:lang w:val="sr-Cyrl-CS" w:eastAsia="sr-Latn-RS"/>
        </w:rPr>
        <w:t>2</w:t>
      </w:r>
      <w:r w:rsidR="005476BC" w:rsidRPr="00471C90">
        <w:rPr>
          <w:rFonts w:eastAsia="Times New Roman" w:cs="Times New Roman"/>
          <w:szCs w:val="24"/>
          <w:lang w:val="sr-Cyrl-CS" w:eastAsia="sr-Latn-RS"/>
        </w:rPr>
        <w:t xml:space="preserve">.1.1 </w:t>
      </w:r>
      <w:r w:rsidR="001E7736" w:rsidRPr="00471C90">
        <w:rPr>
          <w:rFonts w:eastAsia="Times New Roman" w:cs="Times New Roman"/>
          <w:szCs w:val="24"/>
          <w:lang w:val="sr-Cyrl-CS" w:eastAsia="sr-Latn-RS"/>
        </w:rPr>
        <w:t xml:space="preserve">Фонд за развој </w:t>
      </w:r>
    </w:p>
    <w:p w14:paraId="77841323" w14:textId="6C68162C" w:rsidR="00EE14FA" w:rsidRPr="00471C90" w:rsidRDefault="001E7736" w:rsidP="00AE0CA2">
      <w:pPr>
        <w:ind w:firstLine="708"/>
        <w:jc w:val="both"/>
        <w:rPr>
          <w:rFonts w:cs="Times New Roman"/>
          <w:szCs w:val="24"/>
          <w:lang w:val="sr-Cyrl-CS"/>
        </w:rPr>
      </w:pPr>
      <w:r w:rsidRPr="00471C90">
        <w:rPr>
          <w:rFonts w:eastAsia="Times New Roman" w:cs="Times New Roman"/>
          <w:szCs w:val="24"/>
          <w:lang w:val="sr-Cyrl-CS" w:eastAsia="sr-Latn-RS"/>
        </w:rPr>
        <w:t xml:space="preserve">Фонд за развој своје активности усредсређује на подстицање пословања правних лица и предузетника у Републици Србији, а приоритети су, између осталих циљева, равноправан регионални развој у земљи и побољшање конкурентности и ликвидности српске привреде. Фонд </w:t>
      </w:r>
      <w:r w:rsidR="00EC3B91" w:rsidRPr="00471C90">
        <w:rPr>
          <w:rFonts w:eastAsia="Times New Roman" w:cs="Times New Roman"/>
          <w:szCs w:val="24"/>
          <w:lang w:val="sr-Cyrl-CS" w:eastAsia="sr-Latn-RS"/>
        </w:rPr>
        <w:t xml:space="preserve">за развој </w:t>
      </w:r>
      <w:r w:rsidRPr="00471C90">
        <w:rPr>
          <w:rFonts w:eastAsia="Times New Roman" w:cs="Times New Roman"/>
          <w:szCs w:val="24"/>
          <w:lang w:val="sr-Cyrl-CS" w:eastAsia="sr-Latn-RS"/>
        </w:rPr>
        <w:t xml:space="preserve">је </w:t>
      </w:r>
      <w:r w:rsidR="00F4606C" w:rsidRPr="00471C90">
        <w:rPr>
          <w:rFonts w:eastAsia="Times New Roman" w:cs="Times New Roman"/>
          <w:szCs w:val="24"/>
          <w:lang w:val="sr-Cyrl-CS" w:eastAsia="sr-Latn-RS"/>
        </w:rPr>
        <w:t xml:space="preserve">уређен </w:t>
      </w:r>
      <w:r w:rsidRPr="00471C90">
        <w:rPr>
          <w:rFonts w:eastAsia="Times New Roman" w:cs="Times New Roman"/>
          <w:szCs w:val="24"/>
          <w:lang w:val="sr-Cyrl-CS" w:eastAsia="sr-Latn-RS"/>
        </w:rPr>
        <w:t>Законом о Фонду за развој</w:t>
      </w:r>
      <w:r w:rsidR="00DD72C5" w:rsidRPr="00471C90">
        <w:rPr>
          <w:rFonts w:eastAsia="Times New Roman" w:cs="Times New Roman"/>
          <w:szCs w:val="24"/>
          <w:lang w:val="sr-Cyrl-CS" w:eastAsia="sr-Latn-RS"/>
        </w:rPr>
        <w:t xml:space="preserve"> Републике Србије („Службени гласник РС</w:t>
      </w:r>
      <w:r w:rsidR="00585D07" w:rsidRPr="00471C90">
        <w:rPr>
          <w:rFonts w:eastAsia="Times New Roman" w:cs="Times New Roman"/>
          <w:szCs w:val="24"/>
          <w:lang w:val="sr-Cyrl-CS" w:eastAsia="sr-Latn-RS"/>
        </w:rPr>
        <w:t>ˮ</w:t>
      </w:r>
      <w:r w:rsidR="00DD72C5" w:rsidRPr="00471C90">
        <w:rPr>
          <w:rFonts w:eastAsia="Times New Roman" w:cs="Times New Roman"/>
          <w:szCs w:val="24"/>
          <w:lang w:val="sr-Cyrl-CS" w:eastAsia="sr-Latn-RS"/>
        </w:rPr>
        <w:t>, бр. 36/09, 88/10, 119/12 и 5/15)</w:t>
      </w:r>
      <w:r w:rsidRPr="00471C90">
        <w:rPr>
          <w:rFonts w:eastAsia="Times New Roman" w:cs="Times New Roman"/>
          <w:szCs w:val="24"/>
          <w:lang w:val="sr-Cyrl-CS" w:eastAsia="sr-Latn-RS"/>
        </w:rPr>
        <w:t xml:space="preserve"> и </w:t>
      </w:r>
      <w:r w:rsidR="00F4606C" w:rsidRPr="00471C90">
        <w:rPr>
          <w:rFonts w:eastAsia="Times New Roman" w:cs="Times New Roman"/>
          <w:szCs w:val="24"/>
          <w:lang w:val="sr-Cyrl-CS" w:eastAsia="sr-Latn-RS"/>
        </w:rPr>
        <w:t xml:space="preserve">надзор над његовим радом обавља </w:t>
      </w:r>
      <w:r w:rsidR="007D3D6C" w:rsidRPr="00471C90">
        <w:rPr>
          <w:rFonts w:eastAsia="Times New Roman" w:cs="Times New Roman"/>
          <w:szCs w:val="24"/>
          <w:lang w:val="sr-Cyrl-CS" w:eastAsia="sr-Latn-RS"/>
        </w:rPr>
        <w:t>Министарство финансија</w:t>
      </w:r>
      <w:r w:rsidRPr="00471C90">
        <w:rPr>
          <w:rFonts w:eastAsia="Times New Roman" w:cs="Times New Roman"/>
          <w:szCs w:val="24"/>
          <w:lang w:val="sr-Cyrl-CS" w:eastAsia="sr-Latn-RS"/>
        </w:rPr>
        <w:t>.</w:t>
      </w:r>
    </w:p>
    <w:p w14:paraId="4DE8DCDF" w14:textId="4D2ED2FB" w:rsidR="00E561DA" w:rsidRPr="00471C90" w:rsidRDefault="001E7736" w:rsidP="00AE0CA2">
      <w:pPr>
        <w:ind w:firstLine="708"/>
        <w:jc w:val="both"/>
        <w:rPr>
          <w:rFonts w:cs="Times New Roman"/>
          <w:szCs w:val="24"/>
          <w:lang w:val="sr-Cyrl-CS"/>
        </w:rPr>
      </w:pPr>
      <w:r w:rsidRPr="00471C90">
        <w:rPr>
          <w:rFonts w:cs="Times New Roman"/>
          <w:szCs w:val="24"/>
          <w:lang w:val="sr-Cyrl-CS"/>
        </w:rPr>
        <w:t xml:space="preserve">Видови </w:t>
      </w:r>
      <w:r w:rsidRPr="00471C90">
        <w:rPr>
          <w:rFonts w:cs="Times New Roman"/>
          <w:bCs/>
          <w:szCs w:val="24"/>
          <w:lang w:val="sr-Cyrl-CS"/>
        </w:rPr>
        <w:t>директног финансирања</w:t>
      </w:r>
      <w:r w:rsidRPr="00471C90">
        <w:rPr>
          <w:rFonts w:cs="Times New Roman"/>
          <w:szCs w:val="24"/>
          <w:lang w:val="sr-Cyrl-CS"/>
        </w:rPr>
        <w:t xml:space="preserve"> које Фонд за развој пружа</w:t>
      </w:r>
      <w:r w:rsidR="00614900" w:rsidRPr="00471C90">
        <w:rPr>
          <w:rFonts w:cs="Times New Roman"/>
          <w:szCs w:val="24"/>
          <w:lang w:val="sr-Cyrl-CS"/>
        </w:rPr>
        <w:t xml:space="preserve"> самостално или у сарадњи са ресорним министарствима</w:t>
      </w:r>
      <w:r w:rsidRPr="00471C90">
        <w:rPr>
          <w:rFonts w:cs="Times New Roman"/>
          <w:szCs w:val="24"/>
          <w:lang w:val="sr-Cyrl-CS"/>
        </w:rPr>
        <w:t xml:space="preserve"> су</w:t>
      </w:r>
      <w:r w:rsidR="00E561DA" w:rsidRPr="00471C90">
        <w:rPr>
          <w:rFonts w:cs="Times New Roman"/>
          <w:szCs w:val="24"/>
          <w:lang w:val="sr-Cyrl-CS"/>
        </w:rPr>
        <w:t>:</w:t>
      </w:r>
    </w:p>
    <w:p w14:paraId="7B5CF184" w14:textId="0EE79D03" w:rsidR="006F27B3" w:rsidRPr="00471C90" w:rsidRDefault="006F27B3" w:rsidP="00426B56">
      <w:pPr>
        <w:numPr>
          <w:ilvl w:val="0"/>
          <w:numId w:val="6"/>
        </w:numPr>
        <w:tabs>
          <w:tab w:val="left" w:pos="993"/>
        </w:tabs>
        <w:ind w:left="0" w:firstLine="709"/>
        <w:contextualSpacing/>
        <w:jc w:val="both"/>
        <w:rPr>
          <w:rFonts w:cs="Times New Roman"/>
          <w:bCs/>
          <w:szCs w:val="24"/>
          <w:lang w:val="sr-Cyrl-CS"/>
        </w:rPr>
      </w:pPr>
      <w:r w:rsidRPr="00471C90">
        <w:rPr>
          <w:rFonts w:cs="Times New Roman"/>
          <w:bCs/>
          <w:szCs w:val="24"/>
          <w:lang w:val="sr-Cyrl-CS"/>
        </w:rPr>
        <w:t>Дугорочни кредити</w:t>
      </w:r>
      <w:r w:rsidRPr="00471C90">
        <w:rPr>
          <w:rFonts w:cs="Times New Roman"/>
          <w:szCs w:val="24"/>
          <w:lang w:val="sr-Cyrl-CS"/>
        </w:rPr>
        <w:t xml:space="preserve">, као што су </w:t>
      </w:r>
      <w:r w:rsidRPr="00471C90">
        <w:rPr>
          <w:rFonts w:cs="Times New Roman"/>
          <w:bCs/>
          <w:szCs w:val="24"/>
          <w:lang w:val="sr-Cyrl-CS"/>
        </w:rPr>
        <w:t>инвестициони кредити</w:t>
      </w:r>
      <w:r w:rsidR="006A25E0" w:rsidRPr="00471C90">
        <w:rPr>
          <w:rFonts w:cs="Times New Roman"/>
          <w:szCs w:val="24"/>
          <w:lang w:val="sr-Cyrl-CS"/>
        </w:rPr>
        <w:t xml:space="preserve"> – </w:t>
      </w:r>
      <w:r w:rsidRPr="00471C90">
        <w:rPr>
          <w:rFonts w:cs="Times New Roman"/>
          <w:szCs w:val="24"/>
          <w:lang w:val="sr-Cyrl-CS"/>
        </w:rPr>
        <w:t xml:space="preserve">за изградњу и / или куповину </w:t>
      </w:r>
      <w:r w:rsidR="00F4606C" w:rsidRPr="00471C90">
        <w:rPr>
          <w:rFonts w:cs="Times New Roman"/>
          <w:szCs w:val="24"/>
          <w:lang w:val="sr-Cyrl-CS"/>
        </w:rPr>
        <w:t>непокретности</w:t>
      </w:r>
      <w:r w:rsidRPr="00471C90">
        <w:rPr>
          <w:rFonts w:cs="Times New Roman"/>
          <w:szCs w:val="24"/>
          <w:lang w:val="sr-Cyrl-CS"/>
        </w:rPr>
        <w:t xml:space="preserve">, постројења и опреме и </w:t>
      </w:r>
      <w:r w:rsidRPr="00471C90">
        <w:rPr>
          <w:rFonts w:cs="Times New Roman"/>
          <w:bCs/>
          <w:szCs w:val="24"/>
          <w:lang w:val="sr-Cyrl-CS"/>
        </w:rPr>
        <w:t>кредити за трајни обртни капитал.</w:t>
      </w:r>
    </w:p>
    <w:p w14:paraId="37AA56BB" w14:textId="05B9A150" w:rsidR="006F27B3" w:rsidRPr="00471C90" w:rsidRDefault="006F27B3" w:rsidP="00426B56">
      <w:pPr>
        <w:numPr>
          <w:ilvl w:val="0"/>
          <w:numId w:val="6"/>
        </w:numPr>
        <w:tabs>
          <w:tab w:val="left" w:pos="993"/>
        </w:tabs>
        <w:ind w:left="0" w:firstLine="709"/>
        <w:contextualSpacing/>
        <w:jc w:val="both"/>
        <w:rPr>
          <w:rFonts w:cs="Times New Roman"/>
          <w:szCs w:val="24"/>
          <w:lang w:val="sr-Cyrl-CS"/>
        </w:rPr>
      </w:pPr>
      <w:r w:rsidRPr="00471C90">
        <w:rPr>
          <w:rFonts w:cs="Times New Roman"/>
          <w:bCs/>
          <w:szCs w:val="24"/>
          <w:lang w:val="sr-Cyrl-CS"/>
        </w:rPr>
        <w:t>Краткорочни кредити за ликвидност</w:t>
      </w:r>
      <w:r w:rsidRPr="00471C90">
        <w:rPr>
          <w:rFonts w:cs="Times New Roman"/>
          <w:szCs w:val="24"/>
          <w:lang w:val="sr-Cyrl-CS"/>
        </w:rPr>
        <w:t xml:space="preserve"> </w:t>
      </w:r>
      <w:r w:rsidR="006A25E0" w:rsidRPr="00471C90">
        <w:rPr>
          <w:rFonts w:cs="Times New Roman"/>
          <w:szCs w:val="24"/>
          <w:lang w:val="sr-Cyrl-CS"/>
        </w:rPr>
        <w:t xml:space="preserve">– </w:t>
      </w:r>
      <w:r w:rsidRPr="00471C90">
        <w:rPr>
          <w:rFonts w:cs="Times New Roman"/>
          <w:szCs w:val="24"/>
          <w:lang w:val="sr-Cyrl-CS"/>
        </w:rPr>
        <w:t xml:space="preserve"> намењени подстицању конкурентности и ликвидности домаће привреде.</w:t>
      </w:r>
    </w:p>
    <w:p w14:paraId="1CCE0E7D" w14:textId="3FA10D00" w:rsidR="006F27B3" w:rsidRPr="00471C90" w:rsidRDefault="006F27B3" w:rsidP="00426B56">
      <w:pPr>
        <w:numPr>
          <w:ilvl w:val="0"/>
          <w:numId w:val="6"/>
        </w:numPr>
        <w:tabs>
          <w:tab w:val="left" w:pos="993"/>
        </w:tabs>
        <w:ind w:left="0" w:firstLine="709"/>
        <w:contextualSpacing/>
        <w:jc w:val="both"/>
        <w:rPr>
          <w:rFonts w:cs="Times New Roman"/>
          <w:szCs w:val="24"/>
          <w:lang w:val="sr-Cyrl-CS"/>
        </w:rPr>
      </w:pPr>
      <w:r w:rsidRPr="00471C90">
        <w:rPr>
          <w:rFonts w:cs="Times New Roman"/>
          <w:bCs/>
          <w:szCs w:val="24"/>
          <w:lang w:val="sr-Cyrl-CS"/>
        </w:rPr>
        <w:t>Кредити за „</w:t>
      </w:r>
      <w:r w:rsidR="00F4606C" w:rsidRPr="00471C90">
        <w:rPr>
          <w:rFonts w:cs="Times New Roman"/>
          <w:bCs/>
          <w:szCs w:val="24"/>
          <w:lang w:val="sr-Cyrl-CS"/>
        </w:rPr>
        <w:t>старт-ап</w:t>
      </w:r>
      <w:r w:rsidR="00585D07" w:rsidRPr="00471C90">
        <w:rPr>
          <w:rFonts w:cs="Times New Roman"/>
          <w:bCs/>
          <w:szCs w:val="24"/>
          <w:lang w:val="sr-Cyrl-CS"/>
        </w:rPr>
        <w:t>ˮ</w:t>
      </w:r>
      <w:r w:rsidRPr="00471C90">
        <w:rPr>
          <w:rFonts w:cs="Times New Roman"/>
          <w:bCs/>
          <w:szCs w:val="24"/>
          <w:lang w:val="sr-Cyrl-CS"/>
        </w:rPr>
        <w:t xml:space="preserve"> предузећа</w:t>
      </w:r>
      <w:r w:rsidR="006A25E0" w:rsidRPr="00471C90">
        <w:rPr>
          <w:rFonts w:cs="Times New Roman"/>
          <w:szCs w:val="24"/>
          <w:lang w:val="sr-Cyrl-CS"/>
        </w:rPr>
        <w:t xml:space="preserve"> – </w:t>
      </w:r>
      <w:r w:rsidRPr="00471C90">
        <w:rPr>
          <w:rFonts w:cs="Times New Roman"/>
          <w:szCs w:val="24"/>
          <w:lang w:val="sr-Cyrl-CS"/>
        </w:rPr>
        <w:t>кредити и грантови за новооснована предузећа, који се пружају предузетницима, микро и малим предузећима регистрованим у Агенцији за привредне регистре</w:t>
      </w:r>
      <w:r w:rsidR="00286ABA" w:rsidRPr="00471C90">
        <w:rPr>
          <w:rFonts w:cs="Times New Roman"/>
          <w:szCs w:val="24"/>
          <w:lang w:val="sr-Cyrl-CS"/>
        </w:rPr>
        <w:t xml:space="preserve"> (у даљем тексту: АПР)</w:t>
      </w:r>
      <w:r w:rsidRPr="00471C90">
        <w:rPr>
          <w:rFonts w:cs="Times New Roman"/>
          <w:szCs w:val="24"/>
          <w:lang w:val="sr-Cyrl-CS"/>
        </w:rPr>
        <w:t xml:space="preserve"> у периоду од две године пре године пријаве.</w:t>
      </w:r>
    </w:p>
    <w:p w14:paraId="280EA0FC" w14:textId="39B22F71" w:rsidR="006F27B3" w:rsidRPr="00471C90" w:rsidRDefault="006F27B3" w:rsidP="00426B56">
      <w:pPr>
        <w:numPr>
          <w:ilvl w:val="0"/>
          <w:numId w:val="6"/>
        </w:numPr>
        <w:tabs>
          <w:tab w:val="left" w:pos="993"/>
        </w:tabs>
        <w:ind w:left="0" w:firstLine="709"/>
        <w:contextualSpacing/>
        <w:jc w:val="both"/>
        <w:rPr>
          <w:rFonts w:cs="Times New Roman"/>
          <w:szCs w:val="24"/>
          <w:lang w:val="sr-Cyrl-CS"/>
        </w:rPr>
      </w:pPr>
      <w:r w:rsidRPr="00471C90">
        <w:rPr>
          <w:rFonts w:cs="Times New Roman"/>
          <w:bCs/>
          <w:szCs w:val="24"/>
          <w:lang w:val="sr-Cyrl-CS"/>
        </w:rPr>
        <w:t>Подстицаји за предузетништво</w:t>
      </w:r>
      <w:r w:rsidRPr="00471C90">
        <w:rPr>
          <w:rFonts w:cs="Times New Roman"/>
          <w:szCs w:val="24"/>
          <w:lang w:val="sr-Cyrl-CS"/>
        </w:rPr>
        <w:t xml:space="preserve"> </w:t>
      </w:r>
      <w:r w:rsidR="006A25E0" w:rsidRPr="00471C90">
        <w:rPr>
          <w:rFonts w:cs="Times New Roman"/>
          <w:szCs w:val="24"/>
          <w:lang w:val="sr-Cyrl-CS"/>
        </w:rPr>
        <w:t>–</w:t>
      </w:r>
      <w:r w:rsidRPr="00471C90">
        <w:rPr>
          <w:rFonts w:cs="Times New Roman"/>
          <w:szCs w:val="24"/>
          <w:lang w:val="sr-Cyrl-CS"/>
        </w:rPr>
        <w:t xml:space="preserve"> </w:t>
      </w:r>
      <w:r w:rsidR="006A25E0" w:rsidRPr="00471C90">
        <w:rPr>
          <w:rFonts w:cs="Times New Roman"/>
          <w:szCs w:val="24"/>
          <w:lang w:val="sr-Cyrl-CS"/>
        </w:rPr>
        <w:t>п</w:t>
      </w:r>
      <w:r w:rsidRPr="00471C90">
        <w:rPr>
          <w:rFonts w:cs="Times New Roman"/>
          <w:szCs w:val="24"/>
          <w:lang w:val="sr-Cyrl-CS"/>
        </w:rPr>
        <w:t xml:space="preserve">редузетници, микро, мали, средњи и велики привредни субјекти регистровани код </w:t>
      </w:r>
      <w:r w:rsidR="00286ABA" w:rsidRPr="00471C90">
        <w:rPr>
          <w:rFonts w:cs="Times New Roman"/>
          <w:szCs w:val="24"/>
          <w:lang w:val="sr-Cyrl-CS"/>
        </w:rPr>
        <w:t>АПР-а</w:t>
      </w:r>
      <w:r w:rsidRPr="00471C90">
        <w:rPr>
          <w:rFonts w:cs="Times New Roman"/>
          <w:szCs w:val="24"/>
          <w:lang w:val="sr-Cyrl-CS"/>
        </w:rPr>
        <w:t>, који су поднели званичне финансијске извештаје за последња два периода</w:t>
      </w:r>
      <w:r w:rsidR="00941C96" w:rsidRPr="00471C90">
        <w:rPr>
          <w:rFonts w:cs="Times New Roman"/>
          <w:szCs w:val="24"/>
          <w:lang w:val="sr-Cyrl-CS"/>
        </w:rPr>
        <w:t xml:space="preserve"> извештавања</w:t>
      </w:r>
      <w:r w:rsidRPr="00471C90">
        <w:rPr>
          <w:rFonts w:cs="Times New Roman"/>
          <w:szCs w:val="24"/>
          <w:lang w:val="sr-Cyrl-CS"/>
        </w:rPr>
        <w:t xml:space="preserve"> без пријављеног нето губитка и испуњавају услове програма, имају право да се пријаве за грантове и кредите код Фонда</w:t>
      </w:r>
      <w:r w:rsidR="00DD72C5" w:rsidRPr="00471C90">
        <w:rPr>
          <w:rFonts w:cs="Times New Roman"/>
          <w:szCs w:val="24"/>
          <w:lang w:val="sr-Cyrl-CS"/>
        </w:rPr>
        <w:t xml:space="preserve"> за развој</w:t>
      </w:r>
      <w:r w:rsidRPr="00471C90">
        <w:rPr>
          <w:rFonts w:cs="Times New Roman"/>
          <w:szCs w:val="24"/>
          <w:lang w:val="sr-Cyrl-CS"/>
        </w:rPr>
        <w:t xml:space="preserve">. </w:t>
      </w:r>
    </w:p>
    <w:p w14:paraId="5442B9A3" w14:textId="0BA7467D" w:rsidR="006F27B3" w:rsidRPr="00471C90" w:rsidRDefault="006F27B3" w:rsidP="00426B56">
      <w:pPr>
        <w:numPr>
          <w:ilvl w:val="0"/>
          <w:numId w:val="6"/>
        </w:numPr>
        <w:tabs>
          <w:tab w:val="left" w:pos="993"/>
        </w:tabs>
        <w:ind w:left="0" w:firstLine="709"/>
        <w:contextualSpacing/>
        <w:jc w:val="both"/>
        <w:rPr>
          <w:rFonts w:cs="Times New Roman"/>
          <w:szCs w:val="24"/>
          <w:lang w:val="sr-Cyrl-CS"/>
        </w:rPr>
      </w:pPr>
      <w:r w:rsidRPr="00471C90">
        <w:rPr>
          <w:rFonts w:cs="Times New Roman"/>
          <w:bCs/>
          <w:szCs w:val="24"/>
          <w:lang w:val="sr-Cyrl-CS"/>
        </w:rPr>
        <w:lastRenderedPageBreak/>
        <w:t>Кредити за предузећа која послују у неразвијеним подручјима</w:t>
      </w:r>
      <w:r w:rsidRPr="00471C90">
        <w:rPr>
          <w:rFonts w:cs="Times New Roman"/>
          <w:szCs w:val="24"/>
          <w:lang w:val="sr-Cyrl-CS"/>
        </w:rPr>
        <w:t xml:space="preserve"> </w:t>
      </w:r>
      <w:r w:rsidR="006A25E0" w:rsidRPr="00471C90">
        <w:rPr>
          <w:rFonts w:cs="Times New Roman"/>
          <w:szCs w:val="24"/>
          <w:lang w:val="sr-Cyrl-CS"/>
        </w:rPr>
        <w:t xml:space="preserve">– </w:t>
      </w:r>
      <w:r w:rsidRPr="00471C90">
        <w:rPr>
          <w:rFonts w:cs="Times New Roman"/>
          <w:szCs w:val="24"/>
          <w:lang w:val="sr-Cyrl-CS"/>
        </w:rPr>
        <w:t>зајмови за инвестиције и обртна средства за све пословне субјекте из неразвијених и изразито неразвијених јединица локалне самоуправе.</w:t>
      </w:r>
    </w:p>
    <w:p w14:paraId="1ED8971B" w14:textId="7C64C615" w:rsidR="006F27B3" w:rsidRPr="00471C90" w:rsidRDefault="006F27B3" w:rsidP="00426B56">
      <w:pPr>
        <w:numPr>
          <w:ilvl w:val="0"/>
          <w:numId w:val="6"/>
        </w:numPr>
        <w:tabs>
          <w:tab w:val="left" w:pos="993"/>
        </w:tabs>
        <w:ind w:left="0" w:firstLine="709"/>
        <w:contextualSpacing/>
        <w:jc w:val="both"/>
        <w:rPr>
          <w:rFonts w:cs="Times New Roman"/>
          <w:szCs w:val="24"/>
          <w:lang w:val="sr-Cyrl-CS"/>
        </w:rPr>
      </w:pPr>
      <w:r w:rsidRPr="00471C90">
        <w:rPr>
          <w:rFonts w:cs="Times New Roman"/>
          <w:bCs/>
          <w:szCs w:val="24"/>
          <w:lang w:val="sr-Cyrl-CS"/>
        </w:rPr>
        <w:t>Кредити за рефинансирање</w:t>
      </w:r>
      <w:r w:rsidRPr="00471C90">
        <w:rPr>
          <w:rFonts w:cs="Times New Roman"/>
          <w:szCs w:val="24"/>
          <w:lang w:val="sr-Cyrl-CS"/>
        </w:rPr>
        <w:t xml:space="preserve"> </w:t>
      </w:r>
      <w:r w:rsidR="006A25E0" w:rsidRPr="00471C90">
        <w:rPr>
          <w:rFonts w:cs="Times New Roman"/>
          <w:szCs w:val="24"/>
          <w:lang w:val="sr-Cyrl-CS"/>
        </w:rPr>
        <w:t xml:space="preserve">– </w:t>
      </w:r>
      <w:r w:rsidRPr="00471C90">
        <w:rPr>
          <w:rFonts w:cs="Times New Roman"/>
          <w:szCs w:val="24"/>
          <w:lang w:val="sr-Cyrl-CS"/>
        </w:rPr>
        <w:t>средства по овој кредитној линији могу се користити за финансирање субјеката који су претежно ангажовани у прерађивачкој индустрији и који запошљавају најмање 50 запослених.</w:t>
      </w:r>
    </w:p>
    <w:p w14:paraId="12FC884D" w14:textId="3AEBAEED" w:rsidR="00E561DA" w:rsidRPr="00471C90" w:rsidRDefault="003A0576" w:rsidP="00426B56">
      <w:pPr>
        <w:numPr>
          <w:ilvl w:val="0"/>
          <w:numId w:val="6"/>
        </w:numPr>
        <w:tabs>
          <w:tab w:val="left" w:pos="993"/>
        </w:tabs>
        <w:ind w:left="0" w:firstLine="709"/>
        <w:contextualSpacing/>
        <w:jc w:val="both"/>
        <w:rPr>
          <w:rFonts w:cs="Times New Roman"/>
          <w:szCs w:val="24"/>
          <w:lang w:val="sr-Cyrl-CS"/>
        </w:rPr>
      </w:pPr>
      <w:r w:rsidRPr="00471C90">
        <w:rPr>
          <w:rFonts w:cs="Times New Roman"/>
          <w:bCs/>
          <w:szCs w:val="24"/>
          <w:lang w:val="sr-Cyrl-CS"/>
        </w:rPr>
        <w:t>COVID</w:t>
      </w:r>
      <w:r w:rsidR="006F27B3" w:rsidRPr="00471C90">
        <w:rPr>
          <w:rFonts w:cs="Times New Roman"/>
          <w:bCs/>
          <w:szCs w:val="24"/>
          <w:lang w:val="sr-Cyrl-CS"/>
        </w:rPr>
        <w:t>-19 кредити за ликвидност</w:t>
      </w:r>
      <w:r w:rsidR="006F27B3" w:rsidRPr="00471C90">
        <w:rPr>
          <w:rFonts w:cs="Times New Roman"/>
          <w:szCs w:val="24"/>
          <w:lang w:val="sr-Cyrl-CS"/>
        </w:rPr>
        <w:t xml:space="preserve"> - трогодишњи кредити са једногодишњим грејс периодом који се пружају предузетницима, задругама, микро, малим и средњим предузећима ради одржавања ликвидности у ситуацији неизвесних економских услова  или петогодишњи кредити са двогодишњим грејс периодом за привредне субјекте чија је претежна делатност туризам, угоститељство и путнички саобраћај.</w:t>
      </w:r>
    </w:p>
    <w:p w14:paraId="2AAA4500" w14:textId="65F79554" w:rsidR="006F27B3" w:rsidRPr="00471C90" w:rsidRDefault="006F27B3" w:rsidP="00426B56">
      <w:pPr>
        <w:numPr>
          <w:ilvl w:val="0"/>
          <w:numId w:val="6"/>
        </w:numPr>
        <w:tabs>
          <w:tab w:val="left" w:pos="993"/>
        </w:tabs>
        <w:ind w:left="0" w:firstLine="709"/>
        <w:jc w:val="both"/>
        <w:rPr>
          <w:rFonts w:cs="Times New Roman"/>
          <w:szCs w:val="24"/>
          <w:lang w:val="sr-Cyrl-CS"/>
        </w:rPr>
      </w:pPr>
      <w:r w:rsidRPr="00471C90">
        <w:rPr>
          <w:rFonts w:cs="Times New Roman"/>
          <w:bCs/>
          <w:szCs w:val="24"/>
          <w:lang w:val="sr-Cyrl-CS"/>
        </w:rPr>
        <w:t xml:space="preserve">Кредити за подстицање развоја предузетништва за жене предузетнице и младе </w:t>
      </w:r>
      <w:r w:rsidR="006A25E0" w:rsidRPr="00471C90">
        <w:rPr>
          <w:rFonts w:cs="Times New Roman"/>
          <w:szCs w:val="24"/>
          <w:lang w:val="sr-Cyrl-CS"/>
        </w:rPr>
        <w:t xml:space="preserve">– </w:t>
      </w:r>
      <w:r w:rsidRPr="00471C90">
        <w:rPr>
          <w:rFonts w:cs="Times New Roman"/>
          <w:szCs w:val="24"/>
          <w:lang w:val="sr-Cyrl-CS"/>
        </w:rPr>
        <w:t xml:space="preserve">кредити и грантови за финансијску подршку новооснованим предузетницима, микро и малим привредним друштвима, чији је оснивач и законски заступник жена (без обзира на године живота) или физичко лице старости до 30 година, који су регистровани у </w:t>
      </w:r>
      <w:r w:rsidR="001757D5" w:rsidRPr="00471C90">
        <w:rPr>
          <w:rFonts w:cs="Times New Roman"/>
          <w:szCs w:val="24"/>
          <w:lang w:val="sr-Cyrl-CS"/>
        </w:rPr>
        <w:t>АПР</w:t>
      </w:r>
      <w:r w:rsidR="009F31FA" w:rsidRPr="00471C90">
        <w:rPr>
          <w:rFonts w:cs="Times New Roman"/>
          <w:szCs w:val="24"/>
          <w:lang w:val="sr-Cyrl-CS"/>
        </w:rPr>
        <w:t xml:space="preserve">-у </w:t>
      </w:r>
      <w:r w:rsidRPr="00471C90">
        <w:rPr>
          <w:rFonts w:cs="Times New Roman"/>
          <w:szCs w:val="24"/>
          <w:lang w:val="sr-Cyrl-CS"/>
        </w:rPr>
        <w:t>најраније пет година у односу на годину подношења захтева.</w:t>
      </w:r>
    </w:p>
    <w:p w14:paraId="16287C27" w14:textId="12C0DCBE" w:rsidR="006F6945" w:rsidRPr="00471C90" w:rsidRDefault="006F27B3" w:rsidP="00AE0CA2">
      <w:pPr>
        <w:ind w:firstLine="708"/>
        <w:jc w:val="both"/>
        <w:rPr>
          <w:rFonts w:cs="Times New Roman"/>
          <w:szCs w:val="24"/>
          <w:lang w:val="sr-Cyrl-CS"/>
        </w:rPr>
      </w:pPr>
      <w:r w:rsidRPr="00471C90">
        <w:rPr>
          <w:rFonts w:cs="Times New Roman"/>
          <w:szCs w:val="24"/>
          <w:lang w:val="sr-Cyrl-CS"/>
        </w:rPr>
        <w:t>Укупан билансни кредитни портфељ Фонда</w:t>
      </w:r>
      <w:r w:rsidR="00286ABA" w:rsidRPr="00471C90">
        <w:rPr>
          <w:rFonts w:cs="Times New Roman"/>
          <w:szCs w:val="24"/>
          <w:lang w:val="sr-Cyrl-CS"/>
        </w:rPr>
        <w:t xml:space="preserve"> за развој</w:t>
      </w:r>
      <w:r w:rsidRPr="00471C90">
        <w:rPr>
          <w:rFonts w:cs="Times New Roman"/>
          <w:szCs w:val="24"/>
          <w:lang w:val="sr-Cyrl-CS"/>
        </w:rPr>
        <w:t xml:space="preserve"> у 2020. години износи</w:t>
      </w:r>
      <w:r w:rsidR="00941C96" w:rsidRPr="00471C90">
        <w:rPr>
          <w:rFonts w:cs="Times New Roman"/>
          <w:szCs w:val="24"/>
          <w:lang w:val="sr-Cyrl-CS"/>
        </w:rPr>
        <w:t>о је</w:t>
      </w:r>
      <w:r w:rsidRPr="00471C90">
        <w:rPr>
          <w:rFonts w:cs="Times New Roman"/>
          <w:szCs w:val="24"/>
          <w:lang w:val="sr-Cyrl-CS"/>
        </w:rPr>
        <w:t xml:space="preserve"> 91,3 милијарде динара</w:t>
      </w:r>
      <w:r w:rsidR="00941C96" w:rsidRPr="00471C90">
        <w:rPr>
          <w:rFonts w:cs="Times New Roman"/>
          <w:szCs w:val="24"/>
          <w:lang w:val="sr-Cyrl-CS"/>
        </w:rPr>
        <w:t>, односно</w:t>
      </w:r>
      <w:r w:rsidRPr="00471C90">
        <w:rPr>
          <w:rFonts w:cs="Times New Roman"/>
          <w:szCs w:val="24"/>
          <w:lang w:val="sr-Cyrl-CS"/>
        </w:rPr>
        <w:t xml:space="preserve"> око 777 милиона евра</w:t>
      </w:r>
      <w:r w:rsidR="00941C96" w:rsidRPr="00471C90">
        <w:rPr>
          <w:rFonts w:cs="Times New Roman"/>
          <w:szCs w:val="24"/>
          <w:lang w:val="sr-Cyrl-CS"/>
        </w:rPr>
        <w:t xml:space="preserve"> </w:t>
      </w:r>
      <w:r w:rsidR="00426B56" w:rsidRPr="00471C90">
        <w:rPr>
          <w:rFonts w:cs="Times New Roman"/>
          <w:szCs w:val="24"/>
          <w:lang w:val="sr-Cyrl-CS"/>
        </w:rPr>
        <w:t>(</w:t>
      </w:r>
      <w:r w:rsidR="00941C96" w:rsidRPr="00471C90">
        <w:rPr>
          <w:rFonts w:cs="Times New Roman"/>
          <w:szCs w:val="24"/>
          <w:lang w:val="sr-Cyrl-CS"/>
        </w:rPr>
        <w:t>док је у 2019. години износио</w:t>
      </w:r>
      <w:r w:rsidR="00641BB1" w:rsidRPr="00471C90">
        <w:rPr>
          <w:rFonts w:cs="Times New Roman"/>
          <w:szCs w:val="24"/>
          <w:lang w:val="sr-Cyrl-CS"/>
        </w:rPr>
        <w:t xml:space="preserve"> </w:t>
      </w:r>
      <w:r w:rsidRPr="00471C90">
        <w:rPr>
          <w:rFonts w:cs="Times New Roman"/>
          <w:szCs w:val="24"/>
          <w:lang w:val="sr-Cyrl-CS"/>
        </w:rPr>
        <w:t>88,4 милијарде динара</w:t>
      </w:r>
      <w:r w:rsidR="003807A4" w:rsidRPr="00471C90">
        <w:rPr>
          <w:rFonts w:cs="Times New Roman"/>
          <w:szCs w:val="24"/>
          <w:lang w:val="sr-Cyrl-CS"/>
        </w:rPr>
        <w:t>, односно</w:t>
      </w:r>
      <w:r w:rsidRPr="00471C90">
        <w:rPr>
          <w:rFonts w:cs="Times New Roman"/>
          <w:szCs w:val="24"/>
          <w:lang w:val="sr-Cyrl-CS"/>
        </w:rPr>
        <w:t xml:space="preserve"> око 752 милиона евра), од чега се 98,7% односи на дугорочне инвестиционе кредите (98,6% у 2019. години). Треба напоменути да је исправка вредности ових кредита на нивоу од 79,7% (82,3% у 2019. години). Иако </w:t>
      </w:r>
      <w:r w:rsidR="00941C96" w:rsidRPr="00471C90">
        <w:rPr>
          <w:rFonts w:cs="Times New Roman"/>
          <w:szCs w:val="24"/>
          <w:lang w:val="sr-Cyrl-CS"/>
        </w:rPr>
        <w:t xml:space="preserve">је у 2020. години постојало </w:t>
      </w:r>
      <w:r w:rsidRPr="00471C90">
        <w:rPr>
          <w:rFonts w:cs="Times New Roman"/>
          <w:szCs w:val="24"/>
          <w:lang w:val="sr-Cyrl-CS"/>
        </w:rPr>
        <w:t xml:space="preserve">незнатно побољшање у односу на </w:t>
      </w:r>
      <w:r w:rsidR="00941C96" w:rsidRPr="00471C90">
        <w:rPr>
          <w:rFonts w:cs="Times New Roman"/>
          <w:szCs w:val="24"/>
          <w:lang w:val="sr-Cyrl-CS"/>
        </w:rPr>
        <w:t>2019. годину</w:t>
      </w:r>
      <w:r w:rsidRPr="00471C90">
        <w:rPr>
          <w:rFonts w:cs="Times New Roman"/>
          <w:szCs w:val="24"/>
          <w:lang w:val="sr-Cyrl-CS"/>
        </w:rPr>
        <w:t xml:space="preserve">, велики део </w:t>
      </w:r>
      <w:r w:rsidR="00941C96" w:rsidRPr="00471C90">
        <w:rPr>
          <w:rFonts w:cs="Times New Roman"/>
          <w:szCs w:val="24"/>
          <w:lang w:val="sr-Cyrl-CS"/>
        </w:rPr>
        <w:t xml:space="preserve">кредита није се наплаћивао </w:t>
      </w:r>
      <w:r w:rsidRPr="00471C90">
        <w:rPr>
          <w:rFonts w:cs="Times New Roman"/>
          <w:szCs w:val="24"/>
          <w:lang w:val="sr-Cyrl-CS"/>
        </w:rPr>
        <w:t>благовремено, што</w:t>
      </w:r>
      <w:r w:rsidR="00941C96" w:rsidRPr="00471C90">
        <w:rPr>
          <w:rFonts w:cs="Times New Roman"/>
          <w:szCs w:val="24"/>
          <w:lang w:val="sr-Cyrl-CS"/>
        </w:rPr>
        <w:t xml:space="preserve"> је </w:t>
      </w:r>
      <w:r w:rsidRPr="00471C90">
        <w:rPr>
          <w:rFonts w:cs="Times New Roman"/>
          <w:szCs w:val="24"/>
          <w:lang w:val="sr-Cyrl-CS"/>
        </w:rPr>
        <w:t xml:space="preserve"> </w:t>
      </w:r>
      <w:r w:rsidR="00941C96" w:rsidRPr="00471C90">
        <w:rPr>
          <w:rFonts w:cs="Times New Roman"/>
          <w:szCs w:val="24"/>
          <w:lang w:val="sr-Cyrl-CS"/>
        </w:rPr>
        <w:t xml:space="preserve">оптерећивало </w:t>
      </w:r>
      <w:r w:rsidRPr="00471C90">
        <w:rPr>
          <w:rFonts w:cs="Times New Roman"/>
          <w:szCs w:val="24"/>
          <w:lang w:val="sr-Cyrl-CS"/>
        </w:rPr>
        <w:t>пословање Фонда</w:t>
      </w:r>
      <w:r w:rsidR="00EC3B91" w:rsidRPr="00471C90">
        <w:rPr>
          <w:rFonts w:cs="Times New Roman"/>
          <w:szCs w:val="24"/>
          <w:lang w:val="sr-Cyrl-CS"/>
        </w:rPr>
        <w:t xml:space="preserve"> за развој</w:t>
      </w:r>
      <w:r w:rsidRPr="00471C90">
        <w:rPr>
          <w:rFonts w:cs="Times New Roman"/>
          <w:szCs w:val="24"/>
          <w:lang w:val="sr-Cyrl-CS"/>
        </w:rPr>
        <w:t xml:space="preserve">. Ипак, приметно је да повећање бруто изложености није праћено растом исправке вредности, што говори о повећању квалитета новоодобрених финансијских инструмената. Према подацима Фонда за развој, проценат проблематичних </w:t>
      </w:r>
      <w:r w:rsidR="00641BB1" w:rsidRPr="00471C90">
        <w:rPr>
          <w:rFonts w:cs="Times New Roman"/>
          <w:szCs w:val="24"/>
          <w:lang w:val="sr-Cyrl-CS"/>
        </w:rPr>
        <w:t xml:space="preserve">кредита </w:t>
      </w:r>
      <w:r w:rsidRPr="00471C90">
        <w:rPr>
          <w:rFonts w:cs="Times New Roman"/>
          <w:szCs w:val="24"/>
          <w:lang w:val="sr-Cyrl-CS"/>
        </w:rPr>
        <w:t>за период од 1.</w:t>
      </w:r>
      <w:r w:rsidR="00F73A8A" w:rsidRPr="00471C90">
        <w:rPr>
          <w:rFonts w:cs="Times New Roman"/>
          <w:szCs w:val="24"/>
          <w:lang w:val="sr-Cyrl-CS"/>
        </w:rPr>
        <w:t xml:space="preserve"> </w:t>
      </w:r>
      <w:r w:rsidR="00941C96" w:rsidRPr="00471C90">
        <w:rPr>
          <w:rFonts w:cs="Times New Roman"/>
          <w:szCs w:val="24"/>
          <w:lang w:val="sr-Cyrl-CS"/>
        </w:rPr>
        <w:t>јануара</w:t>
      </w:r>
      <w:r w:rsidR="00641BB1" w:rsidRPr="00471C90">
        <w:rPr>
          <w:rFonts w:cs="Times New Roman"/>
          <w:szCs w:val="24"/>
          <w:lang w:val="sr-Cyrl-CS"/>
        </w:rPr>
        <w:t xml:space="preserve"> </w:t>
      </w:r>
      <w:r w:rsidRPr="00471C90">
        <w:rPr>
          <w:rFonts w:cs="Times New Roman"/>
          <w:szCs w:val="24"/>
          <w:lang w:val="sr-Cyrl-CS"/>
        </w:rPr>
        <w:t>2014.</w:t>
      </w:r>
      <w:r w:rsidR="00641BB1" w:rsidRPr="00471C90">
        <w:rPr>
          <w:rFonts w:cs="Times New Roman"/>
          <w:szCs w:val="24"/>
          <w:lang w:val="sr-Cyrl-CS"/>
        </w:rPr>
        <w:t xml:space="preserve"> године</w:t>
      </w:r>
      <w:r w:rsidRPr="00471C90">
        <w:rPr>
          <w:rFonts w:cs="Times New Roman"/>
          <w:szCs w:val="24"/>
          <w:lang w:val="sr-Cyrl-CS"/>
        </w:rPr>
        <w:t xml:space="preserve"> до 30.</w:t>
      </w:r>
      <w:r w:rsidR="00F73A8A" w:rsidRPr="00471C90">
        <w:rPr>
          <w:rFonts w:cs="Times New Roman"/>
          <w:szCs w:val="24"/>
          <w:lang w:val="sr-Cyrl-CS"/>
        </w:rPr>
        <w:t xml:space="preserve"> </w:t>
      </w:r>
      <w:r w:rsidR="00941C96" w:rsidRPr="00471C90">
        <w:rPr>
          <w:rFonts w:cs="Times New Roman"/>
          <w:szCs w:val="24"/>
          <w:lang w:val="sr-Cyrl-CS"/>
        </w:rPr>
        <w:t>новембра</w:t>
      </w:r>
      <w:r w:rsidR="00641BB1" w:rsidRPr="00471C90">
        <w:rPr>
          <w:rFonts w:cs="Times New Roman"/>
          <w:szCs w:val="24"/>
          <w:lang w:val="sr-Cyrl-CS"/>
        </w:rPr>
        <w:t xml:space="preserve"> </w:t>
      </w:r>
      <w:r w:rsidRPr="00471C90">
        <w:rPr>
          <w:rFonts w:cs="Times New Roman"/>
          <w:szCs w:val="24"/>
          <w:lang w:val="sr-Cyrl-CS"/>
        </w:rPr>
        <w:t xml:space="preserve">2020. године, за субјекте кориснике кредита у приватном власништву (укључујући и високоризичне </w:t>
      </w:r>
      <w:r w:rsidR="003A0576" w:rsidRPr="00471C90">
        <w:rPr>
          <w:rFonts w:cs="Times New Roman"/>
          <w:szCs w:val="24"/>
          <w:lang w:val="sr-Cyrl-CS"/>
        </w:rPr>
        <w:t>„</w:t>
      </w:r>
      <w:r w:rsidR="00DD72C5" w:rsidRPr="00471C90">
        <w:rPr>
          <w:rFonts w:cs="Times New Roman"/>
          <w:szCs w:val="24"/>
          <w:lang w:val="sr-Cyrl-CS"/>
        </w:rPr>
        <w:t>старт-ап</w:t>
      </w:r>
      <w:r w:rsidR="00585D07" w:rsidRPr="00471C90">
        <w:rPr>
          <w:rFonts w:cs="Times New Roman"/>
          <w:szCs w:val="24"/>
          <w:lang w:val="sr-Cyrl-CS"/>
        </w:rPr>
        <w:t>ˮ</w:t>
      </w:r>
      <w:r w:rsidRPr="00471C90">
        <w:rPr>
          <w:rFonts w:cs="Times New Roman"/>
          <w:szCs w:val="24"/>
          <w:lang w:val="sr-Cyrl-CS"/>
        </w:rPr>
        <w:t xml:space="preserve"> кредите) износи 6,23%. На основу тога, може се закључити да висок проценат ненаплаћених потраживања предузећа </w:t>
      </w:r>
      <w:r w:rsidR="00B114F2" w:rsidRPr="00471C90">
        <w:rPr>
          <w:rFonts w:cs="Times New Roman"/>
          <w:szCs w:val="24"/>
          <w:lang w:val="sr-Cyrl-CS"/>
        </w:rPr>
        <w:t xml:space="preserve">Републике Србије </w:t>
      </w:r>
      <w:r w:rsidRPr="00471C90">
        <w:rPr>
          <w:rFonts w:cs="Times New Roman"/>
          <w:szCs w:val="24"/>
          <w:lang w:val="sr-Cyrl-CS"/>
        </w:rPr>
        <w:t>у портфолију Фонда</w:t>
      </w:r>
      <w:r w:rsidR="00DD72C5" w:rsidRPr="00471C90">
        <w:rPr>
          <w:rFonts w:cs="Times New Roman"/>
          <w:szCs w:val="24"/>
          <w:lang w:val="sr-Cyrl-CS"/>
        </w:rPr>
        <w:t xml:space="preserve"> за развој</w:t>
      </w:r>
      <w:r w:rsidRPr="00471C90">
        <w:rPr>
          <w:rFonts w:cs="Times New Roman"/>
          <w:szCs w:val="24"/>
          <w:lang w:val="sr-Cyrl-CS"/>
        </w:rPr>
        <w:t xml:space="preserve"> </w:t>
      </w:r>
      <w:r w:rsidR="00DD72C5" w:rsidRPr="00471C90">
        <w:rPr>
          <w:rFonts w:cs="Times New Roman"/>
          <w:szCs w:val="24"/>
          <w:lang w:val="sr-Cyrl-CS"/>
        </w:rPr>
        <w:t xml:space="preserve">даје погрешну </w:t>
      </w:r>
      <w:r w:rsidRPr="00471C90">
        <w:rPr>
          <w:rFonts w:cs="Times New Roman"/>
          <w:szCs w:val="24"/>
          <w:lang w:val="sr-Cyrl-CS"/>
        </w:rPr>
        <w:t>слику о његовом пословању и наплативости кредита.</w:t>
      </w:r>
    </w:p>
    <w:p w14:paraId="7FF92960" w14:textId="29394C15" w:rsidR="006F27B3" w:rsidRPr="00471C90" w:rsidRDefault="006F6945" w:rsidP="00AE0CA2">
      <w:pPr>
        <w:ind w:firstLine="708"/>
        <w:jc w:val="both"/>
        <w:rPr>
          <w:rFonts w:cs="Times New Roman"/>
          <w:szCs w:val="24"/>
          <w:lang w:val="sr-Cyrl-CS"/>
        </w:rPr>
      </w:pPr>
      <w:r w:rsidRPr="00471C90">
        <w:rPr>
          <w:rFonts w:cs="Times New Roman"/>
          <w:szCs w:val="24"/>
          <w:lang w:val="sr-Cyrl-CS"/>
        </w:rPr>
        <w:t>Поред директног финансирања</w:t>
      </w:r>
      <w:r w:rsidR="00E561DA" w:rsidRPr="00471C90">
        <w:rPr>
          <w:rFonts w:cs="Times New Roman"/>
          <w:szCs w:val="24"/>
          <w:lang w:val="sr-Cyrl-CS"/>
        </w:rPr>
        <w:t xml:space="preserve">, </w:t>
      </w:r>
      <w:r w:rsidR="006F27B3" w:rsidRPr="00471C90">
        <w:rPr>
          <w:rFonts w:cs="Times New Roman"/>
          <w:szCs w:val="24"/>
          <w:lang w:val="sr-Cyrl-CS"/>
        </w:rPr>
        <w:t>Фонд за развој може пружити гаранције издате за обезбеђивање зајмова или за обезбеђивање других послова подносилаца захтева.</w:t>
      </w:r>
    </w:p>
    <w:p w14:paraId="14B54010" w14:textId="7E76809A" w:rsidR="006F27B3" w:rsidRPr="00471C90" w:rsidRDefault="006F27B3" w:rsidP="00AE0CA2">
      <w:pPr>
        <w:ind w:firstLine="708"/>
        <w:jc w:val="both"/>
        <w:rPr>
          <w:rFonts w:cs="Times New Roman"/>
          <w:szCs w:val="24"/>
          <w:lang w:val="sr-Cyrl-CS"/>
        </w:rPr>
      </w:pPr>
      <w:r w:rsidRPr="00471C90">
        <w:rPr>
          <w:rFonts w:cs="Times New Roman"/>
          <w:szCs w:val="24"/>
          <w:lang w:val="sr-Cyrl-CS"/>
        </w:rPr>
        <w:t>Општи концепт пословања Фонда за развој операционализује се кроз:</w:t>
      </w:r>
    </w:p>
    <w:p w14:paraId="086766C7" w14:textId="075D6037" w:rsidR="006F27B3" w:rsidRPr="00471C90" w:rsidRDefault="006F27B3" w:rsidP="00F73A8A">
      <w:pPr>
        <w:pStyle w:val="ListParagraph"/>
        <w:numPr>
          <w:ilvl w:val="0"/>
          <w:numId w:val="30"/>
        </w:numPr>
        <w:tabs>
          <w:tab w:val="left" w:pos="993"/>
        </w:tabs>
        <w:ind w:left="0" w:firstLine="709"/>
        <w:rPr>
          <w:rFonts w:ascii="Times New Roman" w:hAnsi="Times New Roman" w:cs="Times New Roman"/>
          <w:szCs w:val="24"/>
          <w:lang w:val="sr-Cyrl-CS"/>
        </w:rPr>
      </w:pPr>
      <w:r w:rsidRPr="00471C90">
        <w:rPr>
          <w:rFonts w:ascii="Times New Roman" w:hAnsi="Times New Roman" w:cs="Times New Roman"/>
          <w:szCs w:val="24"/>
          <w:lang w:val="sr-Cyrl-CS"/>
        </w:rPr>
        <w:t>ниже каматне стопе</w:t>
      </w:r>
      <w:r w:rsidR="00641BB1" w:rsidRPr="00471C90">
        <w:rPr>
          <w:rFonts w:ascii="Times New Roman" w:hAnsi="Times New Roman" w:cs="Times New Roman"/>
          <w:szCs w:val="24"/>
          <w:lang w:val="sr-Cyrl-CS"/>
        </w:rPr>
        <w:t>;</w:t>
      </w:r>
    </w:p>
    <w:p w14:paraId="32744560" w14:textId="2440C28C" w:rsidR="008C36B9" w:rsidRPr="00471C90" w:rsidRDefault="006F27B3" w:rsidP="00F73A8A">
      <w:pPr>
        <w:pStyle w:val="ListParagraph"/>
        <w:numPr>
          <w:ilvl w:val="0"/>
          <w:numId w:val="30"/>
        </w:numPr>
        <w:tabs>
          <w:tab w:val="left" w:pos="993"/>
        </w:tabs>
        <w:ind w:left="0" w:firstLine="709"/>
        <w:rPr>
          <w:rFonts w:ascii="Times New Roman" w:hAnsi="Times New Roman" w:cs="Times New Roman"/>
          <w:szCs w:val="24"/>
          <w:lang w:val="sr-Cyrl-CS"/>
        </w:rPr>
      </w:pPr>
      <w:r w:rsidRPr="00471C90">
        <w:rPr>
          <w:rFonts w:ascii="Times New Roman" w:hAnsi="Times New Roman" w:cs="Times New Roman"/>
          <w:szCs w:val="24"/>
          <w:lang w:val="sr-Cyrl-CS"/>
        </w:rPr>
        <w:t>ниже захтеве за обезбеђењем</w:t>
      </w:r>
      <w:r w:rsidR="00641BB1" w:rsidRPr="00471C90">
        <w:rPr>
          <w:rFonts w:ascii="Times New Roman" w:hAnsi="Times New Roman" w:cs="Times New Roman"/>
          <w:szCs w:val="24"/>
          <w:lang w:val="sr-Cyrl-CS"/>
        </w:rPr>
        <w:t>;</w:t>
      </w:r>
    </w:p>
    <w:p w14:paraId="6BDA690D" w14:textId="637440E9" w:rsidR="008C36B9" w:rsidRPr="00471C90" w:rsidRDefault="006F27B3" w:rsidP="00F73A8A">
      <w:pPr>
        <w:pStyle w:val="ListParagraph"/>
        <w:numPr>
          <w:ilvl w:val="0"/>
          <w:numId w:val="30"/>
        </w:numPr>
        <w:tabs>
          <w:tab w:val="left" w:pos="993"/>
        </w:tabs>
        <w:ind w:left="0" w:firstLine="709"/>
        <w:rPr>
          <w:rFonts w:ascii="Times New Roman" w:hAnsi="Times New Roman" w:cs="Times New Roman"/>
          <w:szCs w:val="24"/>
          <w:lang w:val="sr-Cyrl-CS"/>
        </w:rPr>
      </w:pPr>
      <w:r w:rsidRPr="00471C90">
        <w:rPr>
          <w:rFonts w:ascii="Times New Roman" w:hAnsi="Times New Roman" w:cs="Times New Roman"/>
          <w:szCs w:val="24"/>
          <w:lang w:val="sr-Cyrl-CS"/>
        </w:rPr>
        <w:t>мање захтеве за новооснована предузећа</w:t>
      </w:r>
      <w:r w:rsidR="00641BB1" w:rsidRPr="00471C90">
        <w:rPr>
          <w:rFonts w:ascii="Times New Roman" w:hAnsi="Times New Roman" w:cs="Times New Roman"/>
          <w:szCs w:val="24"/>
          <w:lang w:val="sr-Cyrl-CS"/>
        </w:rPr>
        <w:t>.</w:t>
      </w:r>
    </w:p>
    <w:p w14:paraId="1F9A2E8C" w14:textId="0684F2D8" w:rsidR="006F27B3" w:rsidRPr="00471C90" w:rsidRDefault="006F27B3" w:rsidP="00AE0CA2">
      <w:pPr>
        <w:ind w:firstLine="708"/>
        <w:jc w:val="both"/>
        <w:rPr>
          <w:rFonts w:cs="Times New Roman"/>
          <w:szCs w:val="24"/>
          <w:lang w:val="sr-Cyrl-CS"/>
        </w:rPr>
      </w:pPr>
      <w:r w:rsidRPr="00471C90">
        <w:rPr>
          <w:rFonts w:cs="Times New Roman"/>
          <w:szCs w:val="24"/>
          <w:lang w:val="sr-Cyrl-CS"/>
        </w:rPr>
        <w:t>Када је реч о изворима финансирања, Фонд</w:t>
      </w:r>
      <w:r w:rsidR="00DD72C5" w:rsidRPr="00471C90">
        <w:rPr>
          <w:rFonts w:cs="Times New Roman"/>
          <w:szCs w:val="24"/>
          <w:lang w:val="sr-Cyrl-CS"/>
        </w:rPr>
        <w:t xml:space="preserve"> за развој</w:t>
      </w:r>
      <w:r w:rsidRPr="00471C90">
        <w:rPr>
          <w:rFonts w:cs="Times New Roman"/>
          <w:szCs w:val="24"/>
          <w:lang w:val="sr-Cyrl-CS"/>
        </w:rPr>
        <w:t xml:space="preserve"> се готово у потпуности финансира из капитала - сопствена средства се углавном користе за финансирање МСП, а Влада обезбеђује средства за финансирање </w:t>
      </w:r>
      <w:r w:rsidR="00C5035B" w:rsidRPr="00471C90">
        <w:rPr>
          <w:rFonts w:cs="Times New Roman"/>
          <w:szCs w:val="24"/>
          <w:lang w:val="sr-Cyrl-CS"/>
        </w:rPr>
        <w:t xml:space="preserve">државних </w:t>
      </w:r>
      <w:r w:rsidRPr="00471C90">
        <w:rPr>
          <w:rFonts w:cs="Times New Roman"/>
          <w:szCs w:val="24"/>
          <w:lang w:val="sr-Cyrl-CS"/>
        </w:rPr>
        <w:t>предузећа.</w:t>
      </w:r>
      <w:r w:rsidR="00C75BF4" w:rsidRPr="00471C90">
        <w:rPr>
          <w:rFonts w:cs="Times New Roman"/>
          <w:szCs w:val="24"/>
          <w:lang w:val="sr-Cyrl-CS"/>
        </w:rPr>
        <w:t xml:space="preserve"> </w:t>
      </w:r>
      <w:r w:rsidR="00B74EC7" w:rsidRPr="00471C90">
        <w:rPr>
          <w:rFonts w:cs="Times New Roman"/>
          <w:szCs w:val="24"/>
          <w:lang w:val="sr-Cyrl-CS"/>
        </w:rPr>
        <w:t xml:space="preserve">Међутим, у 2021. години Фонд за развој први пут </w:t>
      </w:r>
      <w:r w:rsidR="00941C96" w:rsidRPr="00471C90">
        <w:rPr>
          <w:rFonts w:cs="Times New Roman"/>
          <w:szCs w:val="24"/>
          <w:lang w:val="sr-Cyrl-CS"/>
        </w:rPr>
        <w:t xml:space="preserve">је остварио </w:t>
      </w:r>
      <w:r w:rsidR="00B74EC7" w:rsidRPr="00471C90">
        <w:rPr>
          <w:rFonts w:cs="Times New Roman"/>
          <w:szCs w:val="24"/>
          <w:lang w:val="sr-Cyrl-CS"/>
        </w:rPr>
        <w:t>сарадњу са међународним финансијским институцијама</w:t>
      </w:r>
      <w:r w:rsidR="00626661" w:rsidRPr="00471C90">
        <w:rPr>
          <w:rFonts w:cs="Times New Roman"/>
          <w:szCs w:val="24"/>
          <w:lang w:val="sr-Cyrl-CS"/>
        </w:rPr>
        <w:t xml:space="preserve">, конкретно, </w:t>
      </w:r>
      <w:r w:rsidR="00941C96" w:rsidRPr="00471C90">
        <w:rPr>
          <w:rFonts w:cs="Times New Roman"/>
          <w:szCs w:val="24"/>
          <w:lang w:val="sr-Cyrl-CS"/>
        </w:rPr>
        <w:t xml:space="preserve">спровео је </w:t>
      </w:r>
      <w:r w:rsidR="00626661" w:rsidRPr="00471C90">
        <w:rPr>
          <w:rFonts w:cs="Times New Roman"/>
          <w:szCs w:val="24"/>
          <w:lang w:val="sr-Cyrl-CS"/>
        </w:rPr>
        <w:t>кредит Европске инвестиционе банке (</w:t>
      </w:r>
      <w:r w:rsidR="00DD72C5" w:rsidRPr="00471C90">
        <w:rPr>
          <w:rFonts w:cs="Times New Roman"/>
          <w:szCs w:val="24"/>
          <w:lang w:val="sr-Cyrl-CS"/>
        </w:rPr>
        <w:t xml:space="preserve">у даљем тексту: </w:t>
      </w:r>
      <w:r w:rsidR="00626661" w:rsidRPr="00471C90">
        <w:rPr>
          <w:rFonts w:cs="Times New Roman"/>
          <w:szCs w:val="24"/>
          <w:lang w:val="sr-Cyrl-CS"/>
        </w:rPr>
        <w:t>ЕИБ) у висини од 220 милиона евра, намењен унапређењу ликвидности и инвестиција у отежаним условима пословања изазваним пандемијом COVID-19.</w:t>
      </w:r>
    </w:p>
    <w:p w14:paraId="1AE5B578" w14:textId="35650623" w:rsidR="00D42FEC" w:rsidRPr="00471C90" w:rsidRDefault="001453C4" w:rsidP="00AE0CA2">
      <w:pPr>
        <w:ind w:firstLine="708"/>
        <w:jc w:val="both"/>
        <w:rPr>
          <w:rFonts w:cs="Times New Roman"/>
          <w:szCs w:val="24"/>
          <w:lang w:val="sr-Cyrl-CS"/>
        </w:rPr>
      </w:pPr>
      <w:r w:rsidRPr="00471C90">
        <w:rPr>
          <w:rFonts w:cs="Times New Roman"/>
          <w:szCs w:val="24"/>
          <w:lang w:val="sr-Cyrl-CS"/>
        </w:rPr>
        <w:lastRenderedPageBreak/>
        <w:t xml:space="preserve">Многи сегменти привреде погођени су неповољним променама у ланцима тражње и понуде на тржиштима роба и услуга услед пандемије COVID-19, што је довело до потребе за додатним средствима, како би се јаз у финансирању смањио. </w:t>
      </w:r>
      <w:r w:rsidR="00941C96" w:rsidRPr="00471C90">
        <w:rPr>
          <w:rFonts w:cs="Times New Roman"/>
          <w:szCs w:val="24"/>
          <w:lang w:val="sr-Cyrl-CS"/>
        </w:rPr>
        <w:t xml:space="preserve">Из тог разлога </w:t>
      </w:r>
      <w:r w:rsidRPr="00471C90">
        <w:rPr>
          <w:rFonts w:cs="Times New Roman"/>
          <w:szCs w:val="24"/>
          <w:lang w:val="sr-Cyrl-CS"/>
        </w:rPr>
        <w:t>је улога институција за развојно финансирање постала још израженија. У више земаља, ове институције су биле један од кључних актера у примени мера за ублажавање ефеката глобалне кризе, пружајући приступ финансијама онима који су највише погођени.</w:t>
      </w:r>
    </w:p>
    <w:p w14:paraId="649B83ED" w14:textId="77777777" w:rsidR="0046153B" w:rsidRPr="00471C90" w:rsidRDefault="0046153B" w:rsidP="00AE0CA2">
      <w:pPr>
        <w:ind w:firstLine="708"/>
        <w:jc w:val="both"/>
        <w:rPr>
          <w:rFonts w:cs="Times New Roman"/>
          <w:szCs w:val="24"/>
          <w:lang w:val="sr-Cyrl-CS"/>
        </w:rPr>
      </w:pPr>
    </w:p>
    <w:p w14:paraId="78F87F88" w14:textId="7FA932FE" w:rsidR="006F27B3" w:rsidRPr="00471C90" w:rsidRDefault="009433D8" w:rsidP="00AE0CA2">
      <w:pPr>
        <w:ind w:left="360"/>
        <w:rPr>
          <w:rFonts w:cs="Times New Roman"/>
          <w:szCs w:val="24"/>
          <w:lang w:val="sr-Cyrl-CS"/>
        </w:rPr>
      </w:pPr>
      <w:r w:rsidRPr="00471C90">
        <w:rPr>
          <w:rFonts w:cs="Times New Roman"/>
          <w:szCs w:val="24"/>
          <w:lang w:val="sr-Cyrl-CS"/>
        </w:rPr>
        <w:t>2</w:t>
      </w:r>
      <w:r w:rsidR="00DD72C5" w:rsidRPr="00471C90">
        <w:rPr>
          <w:rFonts w:cs="Times New Roman"/>
          <w:szCs w:val="24"/>
          <w:lang w:val="sr-Cyrl-CS"/>
        </w:rPr>
        <w:t>.1.2 АОФИ</w:t>
      </w:r>
    </w:p>
    <w:p w14:paraId="576C539C" w14:textId="04679AF5" w:rsidR="00FA29A3" w:rsidRPr="00471C90" w:rsidRDefault="006F27B3" w:rsidP="00AE0CA2">
      <w:pPr>
        <w:ind w:firstLine="708"/>
        <w:jc w:val="both"/>
        <w:rPr>
          <w:rFonts w:cs="Times New Roman"/>
          <w:szCs w:val="24"/>
          <w:lang w:val="sr-Cyrl-CS"/>
        </w:rPr>
      </w:pPr>
      <w:r w:rsidRPr="00471C90">
        <w:rPr>
          <w:rFonts w:cs="Times New Roman"/>
          <w:szCs w:val="24"/>
          <w:lang w:val="sr-Cyrl-CS"/>
        </w:rPr>
        <w:t xml:space="preserve">АОФИ, </w:t>
      </w:r>
      <w:r w:rsidR="000726C9" w:rsidRPr="00471C90">
        <w:rPr>
          <w:rFonts w:cs="Times New Roman"/>
          <w:szCs w:val="24"/>
          <w:lang w:val="sr-Cyrl-CS"/>
        </w:rPr>
        <w:t xml:space="preserve">Агенција </w:t>
      </w:r>
      <w:r w:rsidRPr="00471C90">
        <w:rPr>
          <w:rFonts w:cs="Times New Roman"/>
          <w:szCs w:val="24"/>
          <w:lang w:val="sr-Cyrl-CS"/>
        </w:rPr>
        <w:t>за</w:t>
      </w:r>
      <w:r w:rsidR="001C65C4">
        <w:rPr>
          <w:rFonts w:cs="Times New Roman"/>
          <w:szCs w:val="24"/>
          <w:lang w:val="sr-Cyrl-CS"/>
        </w:rPr>
        <w:t xml:space="preserve"> осигурање и</w:t>
      </w:r>
      <w:r w:rsidRPr="00471C90">
        <w:rPr>
          <w:rFonts w:cs="Times New Roman"/>
          <w:szCs w:val="24"/>
          <w:lang w:val="sr-Cyrl-CS"/>
        </w:rPr>
        <w:t xml:space="preserve"> финансирање извоза Републике Србије, основана је 2005. године у циљу промоције извоза и развоја спољно-економских односа. АОФИ пружа осигурање и финансирање извоза за српске извозно </w:t>
      </w:r>
      <w:r w:rsidR="00DD72C5" w:rsidRPr="00471C90">
        <w:rPr>
          <w:rFonts w:cs="Times New Roman"/>
          <w:szCs w:val="24"/>
          <w:lang w:val="sr-Cyrl-CS"/>
        </w:rPr>
        <w:t>оријентисана привредна друштва</w:t>
      </w:r>
      <w:r w:rsidRPr="00471C90">
        <w:rPr>
          <w:rFonts w:cs="Times New Roman"/>
          <w:szCs w:val="24"/>
          <w:lang w:val="sr-Cyrl-CS"/>
        </w:rPr>
        <w:t xml:space="preserve">, укључујући кредитирање, факторинг, осигурање страних потраживања и издавање гаранција за </w:t>
      </w:r>
      <w:r w:rsidR="00E316ED" w:rsidRPr="00471C90">
        <w:rPr>
          <w:rFonts w:cs="Times New Roman"/>
          <w:szCs w:val="24"/>
          <w:lang w:val="sr-Cyrl-CS"/>
        </w:rPr>
        <w:t>привредна друштва у Републици Србији</w:t>
      </w:r>
      <w:r w:rsidRPr="00471C90">
        <w:rPr>
          <w:rFonts w:cs="Times New Roman"/>
          <w:szCs w:val="24"/>
          <w:lang w:val="sr-Cyrl-CS"/>
        </w:rPr>
        <w:t xml:space="preserve">. Генерално, АОФИ има за циљ стварање повољног пословног окружења за </w:t>
      </w:r>
      <w:r w:rsidR="00DD72C5" w:rsidRPr="00471C90">
        <w:rPr>
          <w:rFonts w:cs="Times New Roman"/>
          <w:szCs w:val="24"/>
          <w:lang w:val="sr-Cyrl-CS"/>
        </w:rPr>
        <w:t xml:space="preserve">привредна друштва извознике </w:t>
      </w:r>
      <w:r w:rsidRPr="00471C90">
        <w:rPr>
          <w:rFonts w:cs="Times New Roman"/>
          <w:szCs w:val="24"/>
          <w:lang w:val="sr-Cyrl-CS"/>
        </w:rPr>
        <w:t xml:space="preserve">и побољшање извозне структуре </w:t>
      </w:r>
      <w:r w:rsidR="00DD72C5" w:rsidRPr="00471C90">
        <w:rPr>
          <w:rFonts w:cs="Times New Roman"/>
          <w:szCs w:val="24"/>
          <w:lang w:val="sr-Cyrl-CS"/>
        </w:rPr>
        <w:t xml:space="preserve">Републике </w:t>
      </w:r>
      <w:r w:rsidRPr="00471C90">
        <w:rPr>
          <w:rFonts w:cs="Times New Roman"/>
          <w:szCs w:val="24"/>
          <w:lang w:val="sr-Cyrl-CS"/>
        </w:rPr>
        <w:t xml:space="preserve">Србије. АОФИ сарађује са разним </w:t>
      </w:r>
      <w:r w:rsidR="00941C96" w:rsidRPr="00471C90">
        <w:rPr>
          <w:rFonts w:cs="Times New Roman"/>
          <w:szCs w:val="24"/>
          <w:lang w:val="sr-Cyrl-CS"/>
        </w:rPr>
        <w:t xml:space="preserve">институцијама Републике Србије </w:t>
      </w:r>
      <w:r w:rsidRPr="00471C90">
        <w:rPr>
          <w:rFonts w:cs="Times New Roman"/>
          <w:szCs w:val="24"/>
          <w:lang w:val="sr-Cyrl-CS"/>
        </w:rPr>
        <w:t>и међународним институцијама и организацијама.</w:t>
      </w:r>
      <w:r w:rsidR="00FA29A3" w:rsidRPr="00471C90">
        <w:rPr>
          <w:rFonts w:cs="Times New Roman"/>
          <w:szCs w:val="24"/>
          <w:lang w:val="sr-Cyrl-CS"/>
        </w:rPr>
        <w:t xml:space="preserve"> Око 40% укупних износа кредита и 83% појединачних кредита које је АОФИ одобрио дато је </w:t>
      </w:r>
      <w:r w:rsidR="00941C96" w:rsidRPr="00471C90">
        <w:rPr>
          <w:rFonts w:cs="Times New Roman"/>
          <w:szCs w:val="24"/>
          <w:lang w:val="sr-Cyrl-CS"/>
        </w:rPr>
        <w:t>МСП</w:t>
      </w:r>
      <w:r w:rsidR="00FA29A3" w:rsidRPr="00471C90">
        <w:rPr>
          <w:rFonts w:cs="Times New Roman"/>
          <w:szCs w:val="24"/>
          <w:lang w:val="sr-Cyrl-CS"/>
        </w:rPr>
        <w:t xml:space="preserve"> у 2020. години. Активност осигурања потраживања такође је усмерена на МСП. С друге стране, гаранције које даје АОФИ углавном су у корист великих предузећа (77% укупног износа). Мала и микро предузећа чине већину факторинг клијената. Међутим, средња предузећа имају највећи удео у вредности факторинга, због веће просечне вредности потраживања у факторингу.</w:t>
      </w:r>
    </w:p>
    <w:p w14:paraId="1D2CC2B0" w14:textId="545EE4B7" w:rsidR="007626C2" w:rsidRPr="00471C90" w:rsidRDefault="00C874C8" w:rsidP="00AE0CA2">
      <w:pPr>
        <w:ind w:firstLine="708"/>
        <w:jc w:val="both"/>
        <w:rPr>
          <w:rFonts w:cs="Times New Roman"/>
          <w:szCs w:val="24"/>
          <w:lang w:val="sr-Cyrl-CS"/>
        </w:rPr>
      </w:pPr>
      <w:r w:rsidRPr="00471C90">
        <w:rPr>
          <w:rFonts w:cs="Times New Roman"/>
          <w:szCs w:val="24"/>
          <w:lang w:val="sr-Cyrl-CS"/>
        </w:rPr>
        <w:t>Бруто вредност к</w:t>
      </w:r>
      <w:r w:rsidR="00F334C6" w:rsidRPr="00471C90">
        <w:rPr>
          <w:rFonts w:cs="Times New Roman"/>
          <w:szCs w:val="24"/>
          <w:lang w:val="sr-Cyrl-CS"/>
        </w:rPr>
        <w:t>редит</w:t>
      </w:r>
      <w:r w:rsidRPr="00471C90">
        <w:rPr>
          <w:rFonts w:cs="Times New Roman"/>
          <w:szCs w:val="24"/>
          <w:lang w:val="sr-Cyrl-CS"/>
        </w:rPr>
        <w:t>а</w:t>
      </w:r>
      <w:r w:rsidR="00F334C6" w:rsidRPr="00471C90">
        <w:rPr>
          <w:rFonts w:cs="Times New Roman"/>
          <w:szCs w:val="24"/>
          <w:lang w:val="sr-Cyrl-CS"/>
        </w:rPr>
        <w:t xml:space="preserve"> и потраживања у билансној евиденцији АОФИ износ</w:t>
      </w:r>
      <w:r w:rsidRPr="00471C90">
        <w:rPr>
          <w:rFonts w:cs="Times New Roman"/>
          <w:szCs w:val="24"/>
          <w:lang w:val="sr-Cyrl-CS"/>
        </w:rPr>
        <w:t>и</w:t>
      </w:r>
      <w:r w:rsidR="00786EA0" w:rsidRPr="00471C90">
        <w:rPr>
          <w:rFonts w:cs="Times New Roman"/>
          <w:szCs w:val="24"/>
          <w:lang w:val="sr-Cyrl-CS"/>
        </w:rPr>
        <w:t>ла</w:t>
      </w:r>
      <w:r w:rsidR="00514A5D" w:rsidRPr="00471C90">
        <w:rPr>
          <w:rFonts w:cs="Times New Roman"/>
          <w:szCs w:val="24"/>
          <w:lang w:val="sr-Cyrl-CS"/>
        </w:rPr>
        <w:t xml:space="preserve"> је</w:t>
      </w:r>
      <w:r w:rsidRPr="00471C90">
        <w:rPr>
          <w:rFonts w:cs="Times New Roman"/>
          <w:szCs w:val="24"/>
          <w:lang w:val="sr-Cyrl-CS"/>
        </w:rPr>
        <w:t xml:space="preserve"> </w:t>
      </w:r>
      <w:r w:rsidR="003A3D9D" w:rsidRPr="00471C90">
        <w:rPr>
          <w:rFonts w:cs="Times New Roman"/>
          <w:szCs w:val="24"/>
          <w:lang w:val="sr-Cyrl-CS"/>
        </w:rPr>
        <w:t>13,8 милијарди динара</w:t>
      </w:r>
      <w:r w:rsidR="00514A5D" w:rsidRPr="00471C90">
        <w:rPr>
          <w:rFonts w:cs="Times New Roman"/>
          <w:szCs w:val="24"/>
          <w:lang w:val="sr-Cyrl-CS"/>
        </w:rPr>
        <w:t xml:space="preserve"> 2020. године</w:t>
      </w:r>
      <w:r w:rsidR="00B145A0" w:rsidRPr="00471C90">
        <w:rPr>
          <w:rFonts w:cs="Times New Roman"/>
          <w:szCs w:val="24"/>
          <w:lang w:val="sr-Cyrl-CS"/>
        </w:rPr>
        <w:t>, односно, око</w:t>
      </w:r>
      <w:r w:rsidR="00864D20" w:rsidRPr="00471C90">
        <w:rPr>
          <w:rFonts w:cs="Times New Roman"/>
          <w:szCs w:val="24"/>
          <w:lang w:val="sr-Cyrl-CS"/>
        </w:rPr>
        <w:t xml:space="preserve"> 117,6 милиона евра</w:t>
      </w:r>
      <w:r w:rsidR="008F2AC9" w:rsidRPr="00471C90">
        <w:rPr>
          <w:rFonts w:cs="Times New Roman"/>
          <w:szCs w:val="24"/>
          <w:lang w:val="sr-Cyrl-CS"/>
        </w:rPr>
        <w:t xml:space="preserve"> (</w:t>
      </w:r>
      <w:r w:rsidR="00381958" w:rsidRPr="00471C90">
        <w:rPr>
          <w:rFonts w:cs="Times New Roman"/>
          <w:szCs w:val="24"/>
          <w:lang w:val="sr-Cyrl-CS"/>
        </w:rPr>
        <w:t>13,7 милијарди динара, односно</w:t>
      </w:r>
      <w:r w:rsidR="0086124A" w:rsidRPr="00471C90">
        <w:rPr>
          <w:rFonts w:cs="Times New Roman"/>
          <w:szCs w:val="24"/>
          <w:lang w:val="sr-Cyrl-CS"/>
        </w:rPr>
        <w:t xml:space="preserve">, 116,5 милиона евра </w:t>
      </w:r>
      <w:r w:rsidR="00514A5D" w:rsidRPr="00471C90">
        <w:rPr>
          <w:rFonts w:cs="Times New Roman"/>
          <w:szCs w:val="24"/>
          <w:lang w:val="sr-Cyrl-CS"/>
        </w:rPr>
        <w:t>2019</w:t>
      </w:r>
      <w:r w:rsidR="0086124A" w:rsidRPr="00471C90">
        <w:rPr>
          <w:rFonts w:cs="Times New Roman"/>
          <w:szCs w:val="24"/>
          <w:lang w:val="sr-Cyrl-CS"/>
        </w:rPr>
        <w:t>.</w:t>
      </w:r>
      <w:r w:rsidR="00514A5D" w:rsidRPr="00471C90">
        <w:rPr>
          <w:rFonts w:cs="Times New Roman"/>
          <w:szCs w:val="24"/>
          <w:lang w:val="sr-Cyrl-CS"/>
        </w:rPr>
        <w:t xml:space="preserve"> године</w:t>
      </w:r>
      <w:r w:rsidR="0086124A" w:rsidRPr="00471C90">
        <w:rPr>
          <w:rFonts w:cs="Times New Roman"/>
          <w:szCs w:val="24"/>
          <w:lang w:val="sr-Cyrl-CS"/>
        </w:rPr>
        <w:t xml:space="preserve">). Од тога се </w:t>
      </w:r>
      <w:r w:rsidR="00DD0E2D" w:rsidRPr="00471C90">
        <w:rPr>
          <w:rFonts w:cs="Times New Roman"/>
          <w:szCs w:val="24"/>
          <w:lang w:val="sr-Cyrl-CS"/>
        </w:rPr>
        <w:t>62% односи</w:t>
      </w:r>
      <w:r w:rsidR="00514A5D" w:rsidRPr="00471C90">
        <w:rPr>
          <w:rFonts w:cs="Times New Roman"/>
          <w:szCs w:val="24"/>
          <w:lang w:val="sr-Cyrl-CS"/>
        </w:rPr>
        <w:t>ло</w:t>
      </w:r>
      <w:r w:rsidR="00DD0E2D" w:rsidRPr="00471C90">
        <w:rPr>
          <w:rFonts w:cs="Times New Roman"/>
          <w:szCs w:val="24"/>
          <w:lang w:val="sr-Cyrl-CS"/>
        </w:rPr>
        <w:t xml:space="preserve"> на краткорочне пласмане</w:t>
      </w:r>
      <w:r w:rsidR="0043417D" w:rsidRPr="00471C90">
        <w:rPr>
          <w:rFonts w:cs="Times New Roman"/>
          <w:szCs w:val="24"/>
          <w:lang w:val="sr-Cyrl-CS"/>
        </w:rPr>
        <w:t xml:space="preserve">, који </w:t>
      </w:r>
      <w:r w:rsidR="00514A5D" w:rsidRPr="00471C90">
        <w:rPr>
          <w:rFonts w:cs="Times New Roman"/>
          <w:szCs w:val="24"/>
          <w:lang w:val="sr-Cyrl-CS"/>
        </w:rPr>
        <w:t xml:space="preserve">су </w:t>
      </w:r>
      <w:r w:rsidR="0043417D" w:rsidRPr="00471C90">
        <w:rPr>
          <w:rFonts w:cs="Times New Roman"/>
          <w:szCs w:val="24"/>
          <w:lang w:val="sr-Cyrl-CS"/>
        </w:rPr>
        <w:t xml:space="preserve">уједно </w:t>
      </w:r>
      <w:r w:rsidR="00514A5D" w:rsidRPr="00471C90">
        <w:rPr>
          <w:rFonts w:cs="Times New Roman"/>
          <w:szCs w:val="24"/>
          <w:lang w:val="sr-Cyrl-CS"/>
        </w:rPr>
        <w:t xml:space="preserve">имали </w:t>
      </w:r>
      <w:r w:rsidR="00746F1D" w:rsidRPr="00471C90">
        <w:rPr>
          <w:rFonts w:cs="Times New Roman"/>
          <w:szCs w:val="24"/>
          <w:lang w:val="sr-Cyrl-CS"/>
        </w:rPr>
        <w:t>и највећи проценат исправке вредности</w:t>
      </w:r>
      <w:r w:rsidR="003F463E" w:rsidRPr="00471C90">
        <w:rPr>
          <w:rFonts w:cs="Times New Roman"/>
          <w:szCs w:val="24"/>
          <w:lang w:val="sr-Cyrl-CS"/>
        </w:rPr>
        <w:t>, од 38,5%. За њима</w:t>
      </w:r>
      <w:r w:rsidR="00514A5D" w:rsidRPr="00471C90">
        <w:rPr>
          <w:rFonts w:cs="Times New Roman"/>
          <w:szCs w:val="24"/>
          <w:lang w:val="sr-Cyrl-CS"/>
        </w:rPr>
        <w:t xml:space="preserve"> су</w:t>
      </w:r>
      <w:r w:rsidR="003F463E" w:rsidRPr="00471C90">
        <w:rPr>
          <w:rFonts w:cs="Times New Roman"/>
          <w:szCs w:val="24"/>
          <w:lang w:val="sr-Cyrl-CS"/>
        </w:rPr>
        <w:t xml:space="preserve"> </w:t>
      </w:r>
      <w:r w:rsidR="00514A5D" w:rsidRPr="00471C90">
        <w:rPr>
          <w:rFonts w:cs="Times New Roman"/>
          <w:szCs w:val="24"/>
          <w:lang w:val="sr-Cyrl-CS"/>
        </w:rPr>
        <w:t xml:space="preserve">следили дугорочни </w:t>
      </w:r>
      <w:r w:rsidR="003F463E" w:rsidRPr="00471C90">
        <w:rPr>
          <w:rFonts w:cs="Times New Roman"/>
          <w:szCs w:val="24"/>
          <w:lang w:val="sr-Cyrl-CS"/>
        </w:rPr>
        <w:t xml:space="preserve">пласмани са учешћем од </w:t>
      </w:r>
      <w:r w:rsidR="007813D8" w:rsidRPr="00471C90">
        <w:rPr>
          <w:rFonts w:cs="Times New Roman"/>
          <w:szCs w:val="24"/>
          <w:lang w:val="sr-Cyrl-CS"/>
        </w:rPr>
        <w:t>27,6%</w:t>
      </w:r>
      <w:r w:rsidR="00A234C3" w:rsidRPr="00471C90">
        <w:rPr>
          <w:rFonts w:cs="Times New Roman"/>
          <w:szCs w:val="24"/>
          <w:lang w:val="sr-Cyrl-CS"/>
        </w:rPr>
        <w:t xml:space="preserve">, </w:t>
      </w:r>
      <w:r w:rsidR="00941C96" w:rsidRPr="00471C90">
        <w:rPr>
          <w:rFonts w:cs="Times New Roman"/>
          <w:szCs w:val="24"/>
          <w:lang w:val="sr-Cyrl-CS"/>
        </w:rPr>
        <w:t>у ком</w:t>
      </w:r>
      <w:r w:rsidR="00A234C3" w:rsidRPr="00471C90">
        <w:rPr>
          <w:rFonts w:cs="Times New Roman"/>
          <w:szCs w:val="24"/>
          <w:lang w:val="sr-Cyrl-CS"/>
        </w:rPr>
        <w:t xml:space="preserve"> </w:t>
      </w:r>
      <w:r w:rsidR="00514A5D" w:rsidRPr="00471C90">
        <w:rPr>
          <w:rFonts w:cs="Times New Roman"/>
          <w:szCs w:val="24"/>
          <w:lang w:val="sr-Cyrl-CS"/>
        </w:rPr>
        <w:t xml:space="preserve">су </w:t>
      </w:r>
      <w:r w:rsidR="0024500E" w:rsidRPr="00471C90">
        <w:rPr>
          <w:rFonts w:cs="Times New Roman"/>
          <w:szCs w:val="24"/>
          <w:lang w:val="sr-Cyrl-CS"/>
        </w:rPr>
        <w:t xml:space="preserve">приближно две трећине </w:t>
      </w:r>
      <w:r w:rsidR="00514A5D" w:rsidRPr="00471C90">
        <w:rPr>
          <w:rFonts w:cs="Times New Roman"/>
          <w:szCs w:val="24"/>
          <w:lang w:val="sr-Cyrl-CS"/>
        </w:rPr>
        <w:t xml:space="preserve">чинила </w:t>
      </w:r>
      <w:r w:rsidR="0024500E" w:rsidRPr="00471C90">
        <w:rPr>
          <w:rFonts w:cs="Times New Roman"/>
          <w:szCs w:val="24"/>
          <w:lang w:val="sr-Cyrl-CS"/>
        </w:rPr>
        <w:t>улагања у обвезнице Републике Србије</w:t>
      </w:r>
      <w:r w:rsidR="00433B12" w:rsidRPr="00471C90">
        <w:rPr>
          <w:rFonts w:cs="Times New Roman"/>
          <w:szCs w:val="24"/>
          <w:lang w:val="sr-Cyrl-CS"/>
        </w:rPr>
        <w:t xml:space="preserve"> (услед делатности осигурања коју АОФИ такође обавља и потребе за покрићем техничких резерви)</w:t>
      </w:r>
      <w:r w:rsidR="0024500E" w:rsidRPr="00471C90">
        <w:rPr>
          <w:rFonts w:cs="Times New Roman"/>
          <w:szCs w:val="24"/>
          <w:lang w:val="sr-Cyrl-CS"/>
        </w:rPr>
        <w:t>, док се остатак односи</w:t>
      </w:r>
      <w:r w:rsidR="00514A5D" w:rsidRPr="00471C90">
        <w:rPr>
          <w:rFonts w:cs="Times New Roman"/>
          <w:szCs w:val="24"/>
          <w:lang w:val="sr-Cyrl-CS"/>
        </w:rPr>
        <w:t>о</w:t>
      </w:r>
      <w:r w:rsidR="0024500E" w:rsidRPr="00471C90">
        <w:rPr>
          <w:rFonts w:cs="Times New Roman"/>
          <w:szCs w:val="24"/>
          <w:lang w:val="sr-Cyrl-CS"/>
        </w:rPr>
        <w:t xml:space="preserve"> на дугорочне кредите.</w:t>
      </w:r>
      <w:r w:rsidR="006D5EE0" w:rsidRPr="00471C90">
        <w:rPr>
          <w:rFonts w:cs="Times New Roman"/>
          <w:szCs w:val="24"/>
          <w:lang w:val="sr-Cyrl-CS"/>
        </w:rPr>
        <w:t xml:space="preserve"> Исправка вредности овог дела портфолија је на нивоу од 9%. </w:t>
      </w:r>
      <w:r w:rsidR="003928DA" w:rsidRPr="00471C90">
        <w:rPr>
          <w:rFonts w:cs="Times New Roman"/>
          <w:szCs w:val="24"/>
          <w:lang w:val="sr-Cyrl-CS"/>
        </w:rPr>
        <w:t>Остатак изложености се у највећој мери односи</w:t>
      </w:r>
      <w:r w:rsidR="00514A5D" w:rsidRPr="00471C90">
        <w:rPr>
          <w:rFonts w:cs="Times New Roman"/>
          <w:szCs w:val="24"/>
          <w:lang w:val="sr-Cyrl-CS"/>
        </w:rPr>
        <w:t>о</w:t>
      </w:r>
      <w:r w:rsidR="003928DA" w:rsidRPr="00471C90">
        <w:rPr>
          <w:rFonts w:cs="Times New Roman"/>
          <w:szCs w:val="24"/>
          <w:lang w:val="sr-Cyrl-CS"/>
        </w:rPr>
        <w:t xml:space="preserve"> на потраживања из факторинг послова.</w:t>
      </w:r>
    </w:p>
    <w:p w14:paraId="71D073DE" w14:textId="77777777" w:rsidR="00FA29A3" w:rsidRPr="00471C90" w:rsidRDefault="00FA29A3" w:rsidP="00AE0CA2">
      <w:pPr>
        <w:ind w:firstLine="708"/>
        <w:jc w:val="both"/>
        <w:rPr>
          <w:rFonts w:cs="Times New Roman"/>
          <w:szCs w:val="24"/>
          <w:lang w:val="sr-Cyrl-CS"/>
        </w:rPr>
      </w:pPr>
      <w:r w:rsidRPr="00471C90">
        <w:rPr>
          <w:rFonts w:cs="Times New Roman"/>
          <w:szCs w:val="24"/>
          <w:lang w:val="sr-Cyrl-CS"/>
        </w:rPr>
        <w:t>АОФИ се углавном финансира из капитала и прихода остварених од пословања, кроз наплату накнада, главнице и камата. Повремено се користе и позајмице од страних финансијских институција.</w:t>
      </w:r>
    </w:p>
    <w:p w14:paraId="64F9F093" w14:textId="31033468" w:rsidR="00FA29A3" w:rsidRPr="00471C90" w:rsidRDefault="00FA29A3" w:rsidP="00AE0CA2">
      <w:pPr>
        <w:ind w:firstLine="708"/>
        <w:jc w:val="both"/>
        <w:rPr>
          <w:rFonts w:cs="Times New Roman"/>
          <w:szCs w:val="24"/>
          <w:lang w:val="sr-Cyrl-CS"/>
        </w:rPr>
      </w:pPr>
      <w:r w:rsidRPr="00471C90">
        <w:rPr>
          <w:rFonts w:cs="Times New Roman"/>
          <w:szCs w:val="24"/>
          <w:lang w:val="sr-Cyrl-CS"/>
        </w:rPr>
        <w:t xml:space="preserve">Треба напоменути да </w:t>
      </w:r>
      <w:r w:rsidR="009433D8" w:rsidRPr="00471C90">
        <w:rPr>
          <w:rFonts w:cs="Times New Roman"/>
          <w:szCs w:val="24"/>
          <w:lang w:val="sr-Cyrl-CS"/>
        </w:rPr>
        <w:t>је</w:t>
      </w:r>
      <w:r w:rsidR="00D55F6C" w:rsidRPr="00471C90">
        <w:rPr>
          <w:rFonts w:cs="Times New Roman"/>
          <w:szCs w:val="24"/>
          <w:lang w:val="sr-Cyrl-CS"/>
        </w:rPr>
        <w:t xml:space="preserve"> </w:t>
      </w:r>
      <w:r w:rsidR="00941C96" w:rsidRPr="00471C90">
        <w:rPr>
          <w:rFonts w:cs="Times New Roman"/>
          <w:szCs w:val="24"/>
          <w:lang w:val="sr-Cyrl-CS"/>
        </w:rPr>
        <w:t>АОФИ направила кораке</w:t>
      </w:r>
      <w:r w:rsidRPr="00471C90">
        <w:rPr>
          <w:rFonts w:cs="Times New Roman"/>
          <w:szCs w:val="24"/>
          <w:lang w:val="sr-Cyrl-CS"/>
        </w:rPr>
        <w:t xml:space="preserve"> ка унапређењу интерних процеса и пословања. </w:t>
      </w:r>
      <w:r w:rsidR="00DA5655" w:rsidRPr="00471C90">
        <w:rPr>
          <w:rFonts w:cs="Times New Roman"/>
          <w:szCs w:val="24"/>
          <w:lang w:val="sr-Cyrl-CS"/>
        </w:rPr>
        <w:t>У октобру 2021. године п</w:t>
      </w:r>
      <w:r w:rsidRPr="00471C90">
        <w:rPr>
          <w:rFonts w:cs="Times New Roman"/>
          <w:szCs w:val="24"/>
          <w:lang w:val="sr-Cyrl-CS"/>
        </w:rPr>
        <w:t xml:space="preserve">окренути су пројекти израде </w:t>
      </w:r>
      <w:r w:rsidR="003A0576" w:rsidRPr="00471C90">
        <w:rPr>
          <w:rFonts w:cs="Times New Roman"/>
          <w:szCs w:val="24"/>
          <w:lang w:val="sr-Cyrl-CS"/>
        </w:rPr>
        <w:t>„</w:t>
      </w:r>
      <w:r w:rsidR="003A0576" w:rsidRPr="00471C90">
        <w:rPr>
          <w:rFonts w:cs="Times New Roman"/>
          <w:i/>
          <w:szCs w:val="24"/>
          <w:lang w:val="sr-Cyrl-CS"/>
        </w:rPr>
        <w:t>go-to</w:t>
      </w:r>
      <w:r w:rsidR="00585D07" w:rsidRPr="00471C90">
        <w:rPr>
          <w:rFonts w:cs="Times New Roman"/>
          <w:szCs w:val="24"/>
          <w:lang w:val="sr-Cyrl-CS"/>
        </w:rPr>
        <w:t>ˮ</w:t>
      </w:r>
      <w:r w:rsidR="00585D07" w:rsidRPr="00471C90" w:rsidDel="00585D07">
        <w:rPr>
          <w:rFonts w:cs="Times New Roman"/>
          <w:szCs w:val="24"/>
          <w:lang w:val="sr-Cyrl-CS"/>
        </w:rPr>
        <w:t xml:space="preserve"> </w:t>
      </w:r>
      <w:r w:rsidRPr="00471C90">
        <w:rPr>
          <w:rFonts w:cs="Times New Roman"/>
          <w:szCs w:val="24"/>
          <w:lang w:val="sr-Cyrl-CS"/>
        </w:rPr>
        <w:t xml:space="preserve">тржишне стратегије, унапређења кредитних процеса, као и успостављања функције управљања ризицима и система интерних контрола. </w:t>
      </w:r>
      <w:r w:rsidR="00DA5655" w:rsidRPr="00471C90">
        <w:rPr>
          <w:rFonts w:cs="Times New Roman"/>
          <w:szCs w:val="24"/>
          <w:lang w:val="sr-Cyrl-CS"/>
        </w:rPr>
        <w:t>У</w:t>
      </w:r>
      <w:r w:rsidRPr="00471C90">
        <w:rPr>
          <w:rFonts w:cs="Times New Roman"/>
          <w:szCs w:val="24"/>
          <w:lang w:val="sr-Cyrl-CS"/>
        </w:rPr>
        <w:t xml:space="preserve"> наредном периоду</w:t>
      </w:r>
      <w:r w:rsidR="00DA5655" w:rsidRPr="00471C90">
        <w:rPr>
          <w:rFonts w:cs="Times New Roman"/>
          <w:szCs w:val="24"/>
          <w:lang w:val="sr-Cyrl-CS"/>
        </w:rPr>
        <w:t xml:space="preserve"> су у плану измене и допуне </w:t>
      </w:r>
      <w:r w:rsidRPr="00471C90">
        <w:rPr>
          <w:rFonts w:cs="Times New Roman"/>
          <w:szCs w:val="24"/>
          <w:lang w:val="sr-Cyrl-CS"/>
        </w:rPr>
        <w:t xml:space="preserve"> Закона о </w:t>
      </w:r>
      <w:r w:rsidR="00514A5D" w:rsidRPr="00471C90">
        <w:rPr>
          <w:rFonts w:cs="Times New Roman"/>
          <w:szCs w:val="24"/>
          <w:lang w:val="sr-Cyrl-CS"/>
        </w:rPr>
        <w:t>Агенцији за осигурање и финансирање извоза Републике Србије („Службени гласник РС</w:t>
      </w:r>
      <w:r w:rsidR="001757D5" w:rsidRPr="00471C90">
        <w:rPr>
          <w:rFonts w:cs="Times New Roman"/>
          <w:szCs w:val="24"/>
          <w:lang w:val="sr-Cyrl-CS"/>
        </w:rPr>
        <w:t>ˮ</w:t>
      </w:r>
      <w:r w:rsidR="00514A5D" w:rsidRPr="00471C90">
        <w:rPr>
          <w:rFonts w:cs="Times New Roman"/>
          <w:szCs w:val="24"/>
          <w:lang w:val="sr-Cyrl-CS"/>
        </w:rPr>
        <w:t>, бр. 61/05 и 88/10)</w:t>
      </w:r>
      <w:r w:rsidRPr="00471C90">
        <w:rPr>
          <w:rFonts w:cs="Times New Roman"/>
          <w:szCs w:val="24"/>
          <w:lang w:val="sr-Cyrl-CS"/>
        </w:rPr>
        <w:t xml:space="preserve">, што ће допринети усаглашавању са добром праксом коју спроводе </w:t>
      </w:r>
      <w:r w:rsidR="00DA5655" w:rsidRPr="00471C90">
        <w:rPr>
          <w:rFonts w:cs="Times New Roman"/>
          <w:szCs w:val="24"/>
          <w:lang w:val="sr-Cyrl-CS"/>
        </w:rPr>
        <w:t>сличне институције</w:t>
      </w:r>
      <w:r w:rsidRPr="00471C90">
        <w:rPr>
          <w:rFonts w:cs="Times New Roman"/>
          <w:szCs w:val="24"/>
          <w:lang w:val="sr-Cyrl-CS"/>
        </w:rPr>
        <w:t xml:space="preserve"> у </w:t>
      </w:r>
      <w:r w:rsidR="00DA5655" w:rsidRPr="00471C90">
        <w:rPr>
          <w:rFonts w:cs="Times New Roman"/>
          <w:szCs w:val="24"/>
          <w:lang w:val="sr-Cyrl-CS"/>
        </w:rPr>
        <w:t>државама</w:t>
      </w:r>
      <w:r w:rsidRPr="00471C90">
        <w:rPr>
          <w:rFonts w:cs="Times New Roman"/>
          <w:szCs w:val="24"/>
          <w:lang w:val="sr-Cyrl-CS"/>
        </w:rPr>
        <w:t xml:space="preserve"> региона као и централне и источне Европе</w:t>
      </w:r>
      <w:r w:rsidR="00DD75B7" w:rsidRPr="00471C90">
        <w:rPr>
          <w:rFonts w:cs="Times New Roman"/>
          <w:szCs w:val="24"/>
          <w:lang w:val="sr-Cyrl-CS"/>
        </w:rPr>
        <w:t>.</w:t>
      </w:r>
      <w:r w:rsidRPr="00471C90">
        <w:rPr>
          <w:rFonts w:cs="Times New Roman"/>
          <w:szCs w:val="24"/>
          <w:lang w:val="sr-Cyrl-CS"/>
        </w:rPr>
        <w:t xml:space="preserve"> </w:t>
      </w:r>
    </w:p>
    <w:p w14:paraId="7465074F" w14:textId="3E316289" w:rsidR="008E585E" w:rsidRPr="00471C90" w:rsidRDefault="008E585E" w:rsidP="00AE0CA2">
      <w:pPr>
        <w:ind w:firstLine="708"/>
        <w:jc w:val="both"/>
        <w:rPr>
          <w:rFonts w:cs="Times New Roman"/>
          <w:szCs w:val="24"/>
          <w:lang w:val="sr-Cyrl-CS"/>
        </w:rPr>
      </w:pPr>
      <w:r w:rsidRPr="00471C90">
        <w:rPr>
          <w:rFonts w:cs="Times New Roman"/>
          <w:szCs w:val="24"/>
          <w:lang w:val="sr-Cyrl-CS"/>
        </w:rPr>
        <w:lastRenderedPageBreak/>
        <w:t>Такође,</w:t>
      </w:r>
      <w:r w:rsidR="000A095C" w:rsidRPr="00471C90">
        <w:rPr>
          <w:rFonts w:cs="Times New Roman"/>
          <w:szCs w:val="24"/>
          <w:lang w:val="sr-Cyrl-CS"/>
        </w:rPr>
        <w:t xml:space="preserve"> АОФИ је</w:t>
      </w:r>
      <w:r w:rsidR="00466DB7" w:rsidRPr="00471C90">
        <w:rPr>
          <w:rFonts w:cs="Times New Roman"/>
          <w:szCs w:val="24"/>
          <w:lang w:val="sr-Cyrl-CS"/>
        </w:rPr>
        <w:t xml:space="preserve"> током 2020. године</w:t>
      </w:r>
      <w:r w:rsidR="000A095C" w:rsidRPr="00471C90">
        <w:rPr>
          <w:rFonts w:cs="Times New Roman"/>
          <w:szCs w:val="24"/>
          <w:lang w:val="sr-Cyrl-CS"/>
        </w:rPr>
        <w:t xml:space="preserve"> </w:t>
      </w:r>
      <w:r w:rsidR="00514A5D" w:rsidRPr="00471C90">
        <w:rPr>
          <w:rFonts w:cs="Times New Roman"/>
          <w:szCs w:val="24"/>
          <w:lang w:val="sr-Cyrl-CS"/>
        </w:rPr>
        <w:t xml:space="preserve">пружила </w:t>
      </w:r>
      <w:r w:rsidR="00342654" w:rsidRPr="00471C90">
        <w:rPr>
          <w:rFonts w:cs="Times New Roman"/>
          <w:szCs w:val="24"/>
          <w:lang w:val="sr-Cyrl-CS"/>
        </w:rPr>
        <w:t xml:space="preserve">Министарству финансија </w:t>
      </w:r>
      <w:r w:rsidR="00291BE2" w:rsidRPr="00471C90">
        <w:rPr>
          <w:rFonts w:cs="Times New Roman"/>
          <w:szCs w:val="24"/>
          <w:lang w:val="sr-Cyrl-CS"/>
        </w:rPr>
        <w:t xml:space="preserve">стручно-техничку подршку </w:t>
      </w:r>
      <w:r w:rsidR="008B7DD9" w:rsidRPr="00471C90">
        <w:rPr>
          <w:rFonts w:cs="Times New Roman"/>
          <w:szCs w:val="24"/>
          <w:lang w:val="sr-Cyrl-CS"/>
        </w:rPr>
        <w:t xml:space="preserve">у реализацији гарантне шеме </w:t>
      </w:r>
      <w:r w:rsidR="00DF3EB4" w:rsidRPr="00471C90">
        <w:rPr>
          <w:rFonts w:cs="Times New Roman"/>
          <w:szCs w:val="24"/>
          <w:lang w:val="sr-Cyrl-CS"/>
        </w:rPr>
        <w:t xml:space="preserve">за подршку привреди у </w:t>
      </w:r>
      <w:r w:rsidR="00F9796C" w:rsidRPr="00471C90">
        <w:rPr>
          <w:rFonts w:cs="Times New Roman"/>
          <w:szCs w:val="24"/>
          <w:lang w:val="sr-Cyrl-CS"/>
        </w:rPr>
        <w:t>условима COVID-19</w:t>
      </w:r>
      <w:r w:rsidR="00E01767" w:rsidRPr="00471C90">
        <w:rPr>
          <w:rFonts w:cs="Times New Roman"/>
          <w:szCs w:val="24"/>
          <w:lang w:val="sr-Cyrl-CS"/>
        </w:rPr>
        <w:t xml:space="preserve"> кризе</w:t>
      </w:r>
      <w:r w:rsidR="00641BB1" w:rsidRPr="00471C90">
        <w:rPr>
          <w:rFonts w:cs="Times New Roman"/>
          <w:szCs w:val="24"/>
          <w:lang w:val="sr-Cyrl-CS"/>
        </w:rPr>
        <w:t>.</w:t>
      </w:r>
    </w:p>
    <w:p w14:paraId="5D58666C" w14:textId="7C8D66CF" w:rsidR="00B351EA" w:rsidRPr="00471C90" w:rsidRDefault="009433D8" w:rsidP="00AE0CA2">
      <w:pPr>
        <w:ind w:left="360"/>
        <w:rPr>
          <w:rFonts w:cs="Times New Roman"/>
          <w:szCs w:val="24"/>
          <w:lang w:val="sr-Cyrl-CS"/>
        </w:rPr>
      </w:pPr>
      <w:r w:rsidRPr="00471C90">
        <w:rPr>
          <w:rFonts w:cs="Times New Roman"/>
          <w:szCs w:val="24"/>
          <w:lang w:val="sr-Cyrl-CS"/>
        </w:rPr>
        <w:t>2</w:t>
      </w:r>
      <w:r w:rsidR="00DA5655" w:rsidRPr="00471C90">
        <w:rPr>
          <w:rFonts w:cs="Times New Roman"/>
          <w:szCs w:val="24"/>
          <w:lang w:val="sr-Cyrl-CS"/>
        </w:rPr>
        <w:t>.</w:t>
      </w:r>
      <w:r w:rsidR="00514A5D" w:rsidRPr="00471C90">
        <w:rPr>
          <w:rFonts w:cs="Times New Roman"/>
          <w:szCs w:val="24"/>
          <w:lang w:val="sr-Cyrl-CS"/>
        </w:rPr>
        <w:t>1.</w:t>
      </w:r>
      <w:r w:rsidR="00DA5655" w:rsidRPr="00471C90">
        <w:rPr>
          <w:rFonts w:cs="Times New Roman"/>
          <w:szCs w:val="24"/>
          <w:lang w:val="sr-Cyrl-CS"/>
        </w:rPr>
        <w:t xml:space="preserve">3 </w:t>
      </w:r>
      <w:r w:rsidR="00A03C72" w:rsidRPr="00471C90">
        <w:rPr>
          <w:rFonts w:cs="Times New Roman"/>
          <w:szCs w:val="24"/>
          <w:lang w:val="sr-Cyrl-CS"/>
        </w:rPr>
        <w:t>Важећи релевантни плански документи</w:t>
      </w:r>
    </w:p>
    <w:p w14:paraId="4280213F" w14:textId="079DF7DE" w:rsidR="00274F60" w:rsidRPr="00471C90" w:rsidRDefault="001216DC" w:rsidP="00C84EAF">
      <w:pPr>
        <w:ind w:firstLine="709"/>
        <w:jc w:val="both"/>
        <w:rPr>
          <w:rFonts w:cs="Times New Roman"/>
          <w:szCs w:val="24"/>
          <w:lang w:val="sr-Cyrl-CS"/>
        </w:rPr>
      </w:pPr>
      <w:r w:rsidRPr="00471C90">
        <w:rPr>
          <w:rFonts w:cs="Times New Roman"/>
          <w:szCs w:val="24"/>
          <w:lang w:val="sr-Cyrl-CS"/>
        </w:rPr>
        <w:t xml:space="preserve">Приликом </w:t>
      </w:r>
      <w:r w:rsidR="00DA5655" w:rsidRPr="00471C90">
        <w:rPr>
          <w:rFonts w:cs="Times New Roman"/>
          <w:szCs w:val="24"/>
          <w:lang w:val="sr-Cyrl-CS"/>
        </w:rPr>
        <w:t>израде Концепта</w:t>
      </w:r>
      <w:r w:rsidR="00F83FB7" w:rsidRPr="00471C90">
        <w:rPr>
          <w:rFonts w:cs="Times New Roman"/>
          <w:szCs w:val="24"/>
          <w:lang w:val="sr-Cyrl-CS"/>
        </w:rPr>
        <w:t>,</w:t>
      </w:r>
      <w:r w:rsidR="00A435CF" w:rsidRPr="00471C90">
        <w:rPr>
          <w:rFonts w:cs="Times New Roman"/>
          <w:szCs w:val="24"/>
          <w:lang w:val="sr-Cyrl-CS"/>
        </w:rPr>
        <w:t xml:space="preserve"> </w:t>
      </w:r>
      <w:r w:rsidR="00274F60" w:rsidRPr="00471C90">
        <w:rPr>
          <w:rFonts w:cs="Times New Roman"/>
          <w:szCs w:val="24"/>
          <w:lang w:val="sr-Cyrl-CS"/>
        </w:rPr>
        <w:t>узети су у обзир</w:t>
      </w:r>
      <w:r w:rsidR="00641BB1" w:rsidRPr="00471C90">
        <w:rPr>
          <w:rFonts w:cs="Times New Roman"/>
          <w:szCs w:val="24"/>
          <w:lang w:val="sr-Cyrl-CS"/>
        </w:rPr>
        <w:t xml:space="preserve"> </w:t>
      </w:r>
      <w:r w:rsidR="00274F60" w:rsidRPr="00471C90">
        <w:rPr>
          <w:rFonts w:cs="Times New Roman"/>
          <w:szCs w:val="24"/>
          <w:lang w:val="sr-Cyrl-CS"/>
        </w:rPr>
        <w:t>принципи постављени другим релевантним планским документима, укључујући:</w:t>
      </w:r>
    </w:p>
    <w:p w14:paraId="2DD3BD97" w14:textId="19062A5E" w:rsidR="00403E15" w:rsidRPr="00471C90" w:rsidRDefault="00DA5655" w:rsidP="00C84EAF">
      <w:pPr>
        <w:pStyle w:val="ListParagraph"/>
        <w:ind w:left="0" w:firstLine="720"/>
        <w:rPr>
          <w:rFonts w:ascii="Times New Roman" w:hAnsi="Times New Roman" w:cs="Times New Roman"/>
          <w:szCs w:val="24"/>
          <w:lang w:val="sr-Cyrl-CS"/>
        </w:rPr>
      </w:pPr>
      <w:r w:rsidRPr="00471C90">
        <w:rPr>
          <w:rFonts w:ascii="Times New Roman" w:hAnsi="Times New Roman" w:cs="Times New Roman"/>
          <w:szCs w:val="24"/>
          <w:lang w:val="sr-Cyrl-CS"/>
        </w:rPr>
        <w:t>-</w:t>
      </w:r>
      <w:r w:rsidR="00641BB1" w:rsidRPr="00471C90">
        <w:rPr>
          <w:rFonts w:ascii="Times New Roman" w:hAnsi="Times New Roman" w:cs="Times New Roman"/>
          <w:szCs w:val="24"/>
          <w:lang w:val="sr-Cyrl-CS"/>
        </w:rPr>
        <w:t xml:space="preserve"> </w:t>
      </w:r>
      <w:r w:rsidR="00403E15" w:rsidRPr="00471C90">
        <w:rPr>
          <w:rFonts w:ascii="Times New Roman" w:hAnsi="Times New Roman" w:cs="Times New Roman"/>
          <w:szCs w:val="24"/>
          <w:lang w:val="sr-Cyrl-CS"/>
        </w:rPr>
        <w:t>Стратегиј</w:t>
      </w:r>
      <w:r w:rsidR="004E4259" w:rsidRPr="00471C90">
        <w:rPr>
          <w:rFonts w:ascii="Times New Roman" w:hAnsi="Times New Roman" w:cs="Times New Roman"/>
          <w:szCs w:val="24"/>
          <w:lang w:val="sr-Cyrl-CS"/>
        </w:rPr>
        <w:t>у индустријске политике Републике Србије од 2021. до 2030. године („Службени гласник РС</w:t>
      </w:r>
      <w:r w:rsidR="001757D5" w:rsidRPr="00471C90">
        <w:rPr>
          <w:rFonts w:ascii="Times New Roman" w:hAnsi="Times New Roman" w:cs="Times New Roman"/>
          <w:szCs w:val="24"/>
          <w:lang w:val="sr-Cyrl-CS"/>
        </w:rPr>
        <w:t>ˮ</w:t>
      </w:r>
      <w:r w:rsidR="00904DC3" w:rsidRPr="00471C90">
        <w:rPr>
          <w:rFonts w:ascii="Times New Roman" w:hAnsi="Times New Roman" w:cs="Times New Roman"/>
          <w:szCs w:val="24"/>
          <w:lang w:val="sr-Cyrl-CS"/>
        </w:rPr>
        <w:t>, број 35/20)</w:t>
      </w:r>
      <w:r w:rsidR="00C84EAF" w:rsidRPr="00471C90">
        <w:rPr>
          <w:rFonts w:ascii="Times New Roman" w:hAnsi="Times New Roman" w:cs="Times New Roman"/>
          <w:szCs w:val="24"/>
          <w:lang w:val="sr-Cyrl-CS"/>
        </w:rPr>
        <w:t>;</w:t>
      </w:r>
    </w:p>
    <w:p w14:paraId="063922D8" w14:textId="1C941A8A" w:rsidR="0077330A" w:rsidRPr="00471C90" w:rsidRDefault="00DA5655" w:rsidP="00C84EAF">
      <w:pPr>
        <w:pStyle w:val="ListParagraph"/>
        <w:ind w:left="0" w:firstLine="720"/>
        <w:rPr>
          <w:rFonts w:ascii="Times New Roman" w:hAnsi="Times New Roman" w:cs="Times New Roman"/>
          <w:szCs w:val="24"/>
          <w:lang w:val="sr-Cyrl-CS"/>
        </w:rPr>
      </w:pPr>
      <w:r w:rsidRPr="00471C90">
        <w:rPr>
          <w:rFonts w:ascii="Times New Roman" w:hAnsi="Times New Roman" w:cs="Times New Roman"/>
          <w:szCs w:val="24"/>
          <w:lang w:val="sr-Cyrl-CS"/>
        </w:rPr>
        <w:t>-</w:t>
      </w:r>
      <w:r w:rsidR="00641BB1" w:rsidRPr="00471C90">
        <w:rPr>
          <w:rFonts w:ascii="Times New Roman" w:hAnsi="Times New Roman" w:cs="Times New Roman"/>
          <w:szCs w:val="24"/>
          <w:lang w:val="sr-Cyrl-CS"/>
        </w:rPr>
        <w:t xml:space="preserve"> </w:t>
      </w:r>
      <w:r w:rsidR="0077330A" w:rsidRPr="00471C90">
        <w:rPr>
          <w:rFonts w:ascii="Times New Roman" w:hAnsi="Times New Roman" w:cs="Times New Roman"/>
          <w:szCs w:val="24"/>
          <w:lang w:val="sr-Cyrl-CS"/>
        </w:rPr>
        <w:t>Стратегиј</w:t>
      </w:r>
      <w:r w:rsidR="00904DC3" w:rsidRPr="00471C90">
        <w:rPr>
          <w:rFonts w:ascii="Times New Roman" w:hAnsi="Times New Roman" w:cs="Times New Roman"/>
          <w:szCs w:val="24"/>
          <w:lang w:val="sr-Cyrl-CS"/>
        </w:rPr>
        <w:t>у</w:t>
      </w:r>
      <w:r w:rsidR="00B35B6F" w:rsidRPr="00471C90">
        <w:rPr>
          <w:rFonts w:ascii="Times New Roman" w:hAnsi="Times New Roman" w:cs="Times New Roman"/>
          <w:szCs w:val="24"/>
          <w:lang w:val="sr-Cyrl-CS"/>
        </w:rPr>
        <w:t xml:space="preserve"> државног власништва</w:t>
      </w:r>
      <w:r w:rsidR="00D253C0" w:rsidRPr="00471C90">
        <w:rPr>
          <w:rFonts w:ascii="Times New Roman" w:hAnsi="Times New Roman" w:cs="Times New Roman"/>
          <w:szCs w:val="24"/>
          <w:lang w:val="sr-Cyrl-CS"/>
        </w:rPr>
        <w:t xml:space="preserve"> и управљања привредним субјектима који су у власништву Републике Србије за период од 2021. до 2027. године (</w:t>
      </w:r>
      <w:r w:rsidR="00687081" w:rsidRPr="00471C90">
        <w:rPr>
          <w:rFonts w:ascii="Times New Roman" w:hAnsi="Times New Roman" w:cs="Times New Roman"/>
          <w:szCs w:val="24"/>
          <w:lang w:val="sr-Cyrl-CS"/>
        </w:rPr>
        <w:t>„Службени гласник РС</w:t>
      </w:r>
      <w:r w:rsidR="001757D5" w:rsidRPr="00471C90">
        <w:rPr>
          <w:rFonts w:ascii="Times New Roman" w:hAnsi="Times New Roman" w:cs="Times New Roman"/>
          <w:szCs w:val="24"/>
          <w:lang w:val="sr-Cyrl-CS"/>
        </w:rPr>
        <w:t>ˮ</w:t>
      </w:r>
      <w:r w:rsidR="00687081" w:rsidRPr="00471C90">
        <w:rPr>
          <w:rFonts w:ascii="Times New Roman" w:hAnsi="Times New Roman" w:cs="Times New Roman"/>
          <w:szCs w:val="24"/>
          <w:lang w:val="sr-Cyrl-CS"/>
        </w:rPr>
        <w:t xml:space="preserve">, број </w:t>
      </w:r>
      <w:r w:rsidR="00D7011D" w:rsidRPr="00471C90">
        <w:rPr>
          <w:rFonts w:ascii="Times New Roman" w:hAnsi="Times New Roman" w:cs="Times New Roman"/>
          <w:szCs w:val="24"/>
          <w:lang w:val="sr-Cyrl-CS"/>
        </w:rPr>
        <w:t>36/21).</w:t>
      </w:r>
    </w:p>
    <w:p w14:paraId="0F259E3F" w14:textId="1CCA71BF" w:rsidR="0046153B" w:rsidRPr="00471C90" w:rsidRDefault="008D3296">
      <w:pPr>
        <w:ind w:firstLine="708"/>
        <w:jc w:val="both"/>
        <w:rPr>
          <w:rFonts w:cs="Times New Roman"/>
          <w:szCs w:val="24"/>
          <w:lang w:val="sr-Cyrl-CS"/>
        </w:rPr>
      </w:pPr>
      <w:r w:rsidRPr="00471C90">
        <w:rPr>
          <w:rFonts w:cs="Times New Roman"/>
          <w:szCs w:val="24"/>
          <w:lang w:val="sr-Cyrl-CS"/>
        </w:rPr>
        <w:t>Осим тога, водило се рачуна да се у обзир узму и правци који ће бити дефинисани стратешким документима</w:t>
      </w:r>
      <w:r w:rsidR="00D42FEC" w:rsidRPr="00471C90">
        <w:rPr>
          <w:rFonts w:cs="Times New Roman"/>
          <w:szCs w:val="24"/>
          <w:lang w:val="sr-Cyrl-CS"/>
        </w:rPr>
        <w:t xml:space="preserve"> у припремној фази</w:t>
      </w:r>
      <w:r w:rsidR="00C22FA6" w:rsidRPr="00471C90">
        <w:rPr>
          <w:rFonts w:cs="Times New Roman"/>
          <w:szCs w:val="24"/>
          <w:lang w:val="sr-Cyrl-CS"/>
        </w:rPr>
        <w:t xml:space="preserve"> који се тичу развоја </w:t>
      </w:r>
      <w:r w:rsidR="00514A5D" w:rsidRPr="00471C90">
        <w:rPr>
          <w:rFonts w:cs="Times New Roman"/>
          <w:szCs w:val="24"/>
          <w:lang w:val="sr-Cyrl-CS"/>
        </w:rPr>
        <w:t>„</w:t>
      </w:r>
      <w:r w:rsidR="00C22FA6" w:rsidRPr="00471C90">
        <w:rPr>
          <w:rFonts w:cs="Times New Roman"/>
          <w:szCs w:val="24"/>
          <w:lang w:val="sr-Cyrl-CS"/>
        </w:rPr>
        <w:t>старт</w:t>
      </w:r>
      <w:r w:rsidR="00514A5D" w:rsidRPr="00471C90">
        <w:rPr>
          <w:rFonts w:cs="Times New Roman"/>
          <w:szCs w:val="24"/>
          <w:lang w:val="sr-Cyrl-CS"/>
        </w:rPr>
        <w:t>-</w:t>
      </w:r>
      <w:r w:rsidR="00C22FA6" w:rsidRPr="00471C90">
        <w:rPr>
          <w:rFonts w:cs="Times New Roman"/>
          <w:szCs w:val="24"/>
          <w:lang w:val="sr-Cyrl-CS"/>
        </w:rPr>
        <w:t>ап</w:t>
      </w:r>
      <w:r w:rsidR="001757D5" w:rsidRPr="00471C90">
        <w:rPr>
          <w:rFonts w:cs="Times New Roman"/>
          <w:szCs w:val="24"/>
          <w:lang w:val="sr-Cyrl-CS"/>
        </w:rPr>
        <w:t>ˮ</w:t>
      </w:r>
      <w:r w:rsidR="00C22FA6" w:rsidRPr="00471C90">
        <w:rPr>
          <w:rFonts w:cs="Times New Roman"/>
          <w:szCs w:val="24"/>
          <w:lang w:val="sr-Cyrl-CS"/>
        </w:rPr>
        <w:t xml:space="preserve"> екосистема у </w:t>
      </w:r>
      <w:r w:rsidR="00514A5D" w:rsidRPr="00471C90">
        <w:rPr>
          <w:rFonts w:cs="Times New Roman"/>
          <w:szCs w:val="24"/>
          <w:lang w:val="sr-Cyrl-CS"/>
        </w:rPr>
        <w:t xml:space="preserve">Републици </w:t>
      </w:r>
      <w:r w:rsidR="00C22FA6" w:rsidRPr="00471C90">
        <w:rPr>
          <w:rFonts w:cs="Times New Roman"/>
          <w:szCs w:val="24"/>
          <w:lang w:val="sr-Cyrl-CS"/>
        </w:rPr>
        <w:t xml:space="preserve">Србији и </w:t>
      </w:r>
      <w:r w:rsidR="00E41724" w:rsidRPr="00471C90">
        <w:rPr>
          <w:rFonts w:cs="Times New Roman"/>
          <w:szCs w:val="24"/>
          <w:lang w:val="sr-Cyrl-CS"/>
        </w:rPr>
        <w:t>развоја МСП</w:t>
      </w:r>
      <w:r w:rsidR="00257F0E" w:rsidRPr="00471C90">
        <w:rPr>
          <w:rFonts w:cs="Times New Roman"/>
          <w:szCs w:val="24"/>
          <w:lang w:val="sr-Cyrl-CS"/>
        </w:rPr>
        <w:t>.</w:t>
      </w:r>
    </w:p>
    <w:p w14:paraId="35D15C4E" w14:textId="0E502195" w:rsidR="0046153B" w:rsidRPr="00471C90" w:rsidRDefault="0046153B">
      <w:pPr>
        <w:ind w:firstLine="708"/>
        <w:jc w:val="both"/>
        <w:rPr>
          <w:rFonts w:cs="Times New Roman"/>
          <w:szCs w:val="24"/>
          <w:lang w:val="sr-Cyrl-CS"/>
        </w:rPr>
      </w:pPr>
    </w:p>
    <w:p w14:paraId="638F2B04" w14:textId="4E27126E" w:rsidR="00FA29A3" w:rsidRPr="00471C90" w:rsidRDefault="009433D8" w:rsidP="00FA29A3">
      <w:pPr>
        <w:jc w:val="both"/>
        <w:rPr>
          <w:rFonts w:cs="Times New Roman"/>
          <w:szCs w:val="24"/>
          <w:lang w:val="sr-Cyrl-CS"/>
        </w:rPr>
      </w:pPr>
      <w:r w:rsidRPr="00471C90">
        <w:rPr>
          <w:rFonts w:cs="Times New Roman"/>
          <w:szCs w:val="24"/>
          <w:lang w:val="sr-Cyrl-CS"/>
        </w:rPr>
        <w:t>2</w:t>
      </w:r>
      <w:r w:rsidR="00CC7089" w:rsidRPr="00471C90">
        <w:rPr>
          <w:rFonts w:cs="Times New Roman"/>
          <w:szCs w:val="24"/>
          <w:lang w:val="sr-Cyrl-CS"/>
        </w:rPr>
        <w:t>.2</w:t>
      </w:r>
      <w:r w:rsidR="00AE0CA2" w:rsidRPr="00471C90">
        <w:rPr>
          <w:rFonts w:cs="Times New Roman"/>
          <w:szCs w:val="24"/>
          <w:lang w:val="sr-Cyrl-CS"/>
        </w:rPr>
        <w:t xml:space="preserve">  </w:t>
      </w:r>
      <w:r w:rsidR="00FA29A3" w:rsidRPr="00471C90">
        <w:rPr>
          <w:rFonts w:cs="Times New Roman"/>
          <w:szCs w:val="24"/>
          <w:lang w:val="sr-Cyrl-CS"/>
        </w:rPr>
        <w:t>Јаз у финансирању код МСП</w:t>
      </w:r>
    </w:p>
    <w:p w14:paraId="06721CB6" w14:textId="7EA06C9B" w:rsidR="00FA29A3" w:rsidRPr="00471C90" w:rsidRDefault="00514A5D" w:rsidP="00FA29A3">
      <w:pPr>
        <w:jc w:val="both"/>
        <w:rPr>
          <w:rFonts w:cs="Times New Roman"/>
          <w:szCs w:val="24"/>
          <w:lang w:val="sr-Cyrl-CS"/>
        </w:rPr>
      </w:pPr>
      <w:r w:rsidRPr="00471C90">
        <w:rPr>
          <w:rFonts w:cs="Times New Roman"/>
          <w:szCs w:val="24"/>
          <w:lang w:val="sr-Cyrl-CS"/>
        </w:rPr>
        <w:tab/>
      </w:r>
      <w:r w:rsidR="00DA5655" w:rsidRPr="00471C90">
        <w:rPr>
          <w:rFonts w:cs="Times New Roman"/>
          <w:szCs w:val="24"/>
          <w:lang w:val="sr-Cyrl-CS"/>
        </w:rPr>
        <w:t>Према</w:t>
      </w:r>
      <w:r w:rsidR="00581EC2" w:rsidRPr="00471C90">
        <w:rPr>
          <w:rFonts w:cs="Times New Roman"/>
          <w:szCs w:val="24"/>
          <w:lang w:val="sr-Cyrl-CS"/>
        </w:rPr>
        <w:t xml:space="preserve"> истраживању које спроводе Европска комисија и Европска централна банка</w:t>
      </w:r>
      <w:r w:rsidR="00581EC2" w:rsidRPr="00471C90">
        <w:rPr>
          <w:rStyle w:val="FootnoteReference"/>
          <w:rFonts w:cs="Times New Roman"/>
          <w:szCs w:val="24"/>
          <w:lang w:val="sr-Cyrl-CS"/>
        </w:rPr>
        <w:footnoteReference w:id="2"/>
      </w:r>
      <w:r w:rsidR="00581EC2" w:rsidRPr="00471C90">
        <w:rPr>
          <w:rFonts w:cs="Times New Roman"/>
          <w:szCs w:val="24"/>
          <w:lang w:val="sr-Cyrl-CS"/>
        </w:rPr>
        <w:t xml:space="preserve">, </w:t>
      </w:r>
      <w:r w:rsidR="00FA29A3" w:rsidRPr="00471C90">
        <w:rPr>
          <w:rFonts w:cs="Times New Roman"/>
          <w:szCs w:val="24"/>
          <w:lang w:val="sr-Cyrl-CS"/>
        </w:rPr>
        <w:t xml:space="preserve">МСП у </w:t>
      </w:r>
      <w:r w:rsidRPr="00471C90">
        <w:rPr>
          <w:rFonts w:cs="Times New Roman"/>
          <w:szCs w:val="24"/>
          <w:lang w:val="sr-Cyrl-CS"/>
        </w:rPr>
        <w:t xml:space="preserve">Републици </w:t>
      </w:r>
      <w:r w:rsidR="00FA29A3" w:rsidRPr="00471C90">
        <w:rPr>
          <w:rFonts w:cs="Times New Roman"/>
          <w:szCs w:val="24"/>
          <w:lang w:val="sr-Cyrl-CS"/>
        </w:rPr>
        <w:t>Србији сматрају да</w:t>
      </w:r>
      <w:r w:rsidR="00265147" w:rsidRPr="00471C90">
        <w:rPr>
          <w:rFonts w:cs="Times New Roman"/>
          <w:szCs w:val="24"/>
          <w:lang w:val="sr-Cyrl-CS"/>
        </w:rPr>
        <w:t xml:space="preserve">, када су у питању спољни извори финансирања, њиховим потребама највише одговарају </w:t>
      </w:r>
      <w:r w:rsidR="00FA29A3" w:rsidRPr="00471C90">
        <w:rPr>
          <w:rFonts w:cs="Times New Roman"/>
          <w:szCs w:val="24"/>
          <w:lang w:val="sr-Cyrl-CS"/>
        </w:rPr>
        <w:t xml:space="preserve">банкарски финансијски производи, као што су кредитне линије, прекорачења по рачунима (дозвољени минуси), кредитне картице, кредити и грантови. </w:t>
      </w:r>
      <w:r w:rsidR="007F0FE3" w:rsidRPr="00471C90">
        <w:rPr>
          <w:rFonts w:cs="Times New Roman"/>
          <w:szCs w:val="24"/>
          <w:lang w:val="sr-Cyrl-CS"/>
        </w:rPr>
        <w:t>Према истом истраживању, у</w:t>
      </w:r>
      <w:r w:rsidR="00FA29A3" w:rsidRPr="00471C90">
        <w:rPr>
          <w:rFonts w:cs="Times New Roman"/>
          <w:szCs w:val="24"/>
          <w:lang w:val="sr-Cyrl-CS"/>
        </w:rPr>
        <w:t xml:space="preserve"> поређењу са </w:t>
      </w:r>
      <w:r w:rsidR="00DA5655" w:rsidRPr="00471C90">
        <w:rPr>
          <w:rFonts w:cs="Times New Roman"/>
          <w:szCs w:val="24"/>
          <w:lang w:val="sr-Cyrl-CS"/>
        </w:rPr>
        <w:t>Европском унијом</w:t>
      </w:r>
      <w:r w:rsidR="00FA29A3" w:rsidRPr="00471C90">
        <w:rPr>
          <w:rFonts w:cs="Times New Roman"/>
          <w:szCs w:val="24"/>
          <w:lang w:val="sr-Cyrl-CS"/>
        </w:rPr>
        <w:t xml:space="preserve">, </w:t>
      </w:r>
      <w:r w:rsidR="00DA5655" w:rsidRPr="00471C90">
        <w:rPr>
          <w:rFonts w:cs="Times New Roman"/>
          <w:szCs w:val="24"/>
          <w:lang w:val="sr-Cyrl-CS"/>
        </w:rPr>
        <w:t>привредна друштва у Републици Србији</w:t>
      </w:r>
      <w:r w:rsidR="00641BB1" w:rsidRPr="00471C90">
        <w:rPr>
          <w:rFonts w:cs="Times New Roman"/>
          <w:szCs w:val="24"/>
          <w:lang w:val="sr-Cyrl-CS"/>
        </w:rPr>
        <w:t xml:space="preserve"> </w:t>
      </w:r>
      <w:r w:rsidR="00FA29A3" w:rsidRPr="00471C90">
        <w:rPr>
          <w:rFonts w:cs="Times New Roman"/>
          <w:szCs w:val="24"/>
          <w:lang w:val="sr-Cyrl-CS"/>
        </w:rPr>
        <w:t>значајно заостају у коришћењу факторинга, трговинских кредита (енг</w:t>
      </w:r>
      <w:r w:rsidR="003A0576" w:rsidRPr="00471C90">
        <w:rPr>
          <w:rFonts w:cs="Times New Roman"/>
          <w:szCs w:val="24"/>
          <w:lang w:val="sr-Cyrl-CS"/>
        </w:rPr>
        <w:t>л</w:t>
      </w:r>
      <w:r w:rsidR="00FA29A3" w:rsidRPr="00471C90">
        <w:rPr>
          <w:rFonts w:cs="Times New Roman"/>
          <w:szCs w:val="24"/>
          <w:lang w:val="sr-Cyrl-CS"/>
        </w:rPr>
        <w:t xml:space="preserve">. </w:t>
      </w:r>
      <w:r w:rsidR="002E4D0A" w:rsidRPr="00471C90">
        <w:rPr>
          <w:rFonts w:cs="Times New Roman"/>
          <w:i/>
          <w:szCs w:val="24"/>
          <w:lang w:val="sr-Cyrl-CS"/>
        </w:rPr>
        <w:t>trade</w:t>
      </w:r>
      <w:r w:rsidR="00FA29A3" w:rsidRPr="00471C90">
        <w:rPr>
          <w:rFonts w:cs="Times New Roman"/>
          <w:i/>
          <w:szCs w:val="24"/>
          <w:lang w:val="sr-Cyrl-CS"/>
        </w:rPr>
        <w:t xml:space="preserve"> </w:t>
      </w:r>
      <w:r w:rsidR="002E4D0A" w:rsidRPr="00471C90">
        <w:rPr>
          <w:rFonts w:cs="Times New Roman"/>
          <w:i/>
          <w:szCs w:val="24"/>
          <w:lang w:val="sr-Cyrl-CS"/>
        </w:rPr>
        <w:t>cred</w:t>
      </w:r>
      <w:r w:rsidR="00DD6D97" w:rsidRPr="00471C90">
        <w:rPr>
          <w:rFonts w:cs="Times New Roman"/>
          <w:i/>
          <w:szCs w:val="24"/>
          <w:lang w:val="sr-Cyrl-CS"/>
        </w:rPr>
        <w:t>it</w:t>
      </w:r>
      <w:r w:rsidR="00FA29A3" w:rsidRPr="00471C90">
        <w:rPr>
          <w:rFonts w:cs="Times New Roman"/>
          <w:szCs w:val="24"/>
          <w:lang w:val="sr-Cyrl-CS"/>
        </w:rPr>
        <w:t>), групног финансирања (енг</w:t>
      </w:r>
      <w:r w:rsidR="003A0576" w:rsidRPr="00471C90">
        <w:rPr>
          <w:rFonts w:cs="Times New Roman"/>
          <w:szCs w:val="24"/>
          <w:lang w:val="sr-Cyrl-CS"/>
        </w:rPr>
        <w:t>л</w:t>
      </w:r>
      <w:r w:rsidR="00FA29A3" w:rsidRPr="00471C90">
        <w:rPr>
          <w:rFonts w:cs="Times New Roman"/>
          <w:szCs w:val="24"/>
          <w:lang w:val="sr-Cyrl-CS"/>
        </w:rPr>
        <w:t xml:space="preserve">. </w:t>
      </w:r>
      <w:r w:rsidR="00DD6D97" w:rsidRPr="00471C90">
        <w:rPr>
          <w:rFonts w:cs="Times New Roman"/>
          <w:i/>
          <w:szCs w:val="24"/>
          <w:lang w:val="sr-Cyrl-CS"/>
        </w:rPr>
        <w:t>crowdfunding</w:t>
      </w:r>
      <w:r w:rsidR="00FA29A3" w:rsidRPr="00471C90">
        <w:rPr>
          <w:rFonts w:cs="Times New Roman"/>
          <w:szCs w:val="24"/>
          <w:lang w:val="sr-Cyrl-CS"/>
        </w:rPr>
        <w:t xml:space="preserve">), док екстерно финансирање капиталом у </w:t>
      </w:r>
      <w:r w:rsidRPr="00471C90">
        <w:rPr>
          <w:rFonts w:cs="Times New Roman"/>
          <w:szCs w:val="24"/>
          <w:lang w:val="sr-Cyrl-CS"/>
        </w:rPr>
        <w:t xml:space="preserve">Републици </w:t>
      </w:r>
      <w:r w:rsidR="00FA29A3" w:rsidRPr="00471C90">
        <w:rPr>
          <w:rFonts w:cs="Times New Roman"/>
          <w:szCs w:val="24"/>
          <w:lang w:val="sr-Cyrl-CS"/>
        </w:rPr>
        <w:t>Србији готово и не постоји.</w:t>
      </w:r>
    </w:p>
    <w:p w14:paraId="57113BD7" w14:textId="78CAD10F" w:rsidR="00300B53" w:rsidRPr="00471C90" w:rsidRDefault="00FA29A3" w:rsidP="00AE0CA2">
      <w:pPr>
        <w:ind w:firstLine="708"/>
        <w:jc w:val="both"/>
        <w:rPr>
          <w:rFonts w:cs="Times New Roman"/>
          <w:szCs w:val="24"/>
          <w:lang w:val="sr-Cyrl-CS"/>
        </w:rPr>
      </w:pPr>
      <w:r w:rsidRPr="00471C90">
        <w:rPr>
          <w:rFonts w:cs="Times New Roman"/>
          <w:szCs w:val="24"/>
          <w:lang w:val="sr-Cyrl-CS"/>
        </w:rPr>
        <w:t>Финансирање развоја у предузећима</w:t>
      </w:r>
      <w:r w:rsidR="00DA5655" w:rsidRPr="00471C90">
        <w:rPr>
          <w:rFonts w:cs="Times New Roman"/>
          <w:szCs w:val="24"/>
          <w:lang w:val="sr-Cyrl-CS"/>
        </w:rPr>
        <w:t xml:space="preserve"> у Републици Србији</w:t>
      </w:r>
      <w:r w:rsidRPr="00471C90">
        <w:rPr>
          <w:rFonts w:cs="Times New Roman"/>
          <w:szCs w:val="24"/>
          <w:lang w:val="sr-Cyrl-CS"/>
        </w:rPr>
        <w:t xml:space="preserve"> претежно се заснива на сопственим изворима. Други највећи извор финансирања за МСП су комерцијалне банке. Међутим, приступ редовним банкарским производима за МСП је обично ограничен у односу на велика предузећа, јер банке захтевају добру кредитну историју, довољан капитал, низак ниво дуга и слично. Предузећа која не могу да испуне ове захтеве често траже финансирање из неформалних извора, попут породице и пријатеља. Поред задуживања путем различитих врста зајмова</w:t>
      </w:r>
      <w:r w:rsidR="0004579B" w:rsidRPr="00471C90">
        <w:rPr>
          <w:rFonts w:cs="Times New Roman"/>
          <w:szCs w:val="24"/>
          <w:lang w:val="sr-Cyrl-CS"/>
        </w:rPr>
        <w:t xml:space="preserve"> и кредитних линија</w:t>
      </w:r>
      <w:r w:rsidRPr="00471C90">
        <w:rPr>
          <w:rFonts w:cs="Times New Roman"/>
          <w:szCs w:val="24"/>
          <w:lang w:val="sr-Cyrl-CS"/>
        </w:rPr>
        <w:t xml:space="preserve">, постоји одређени степен ослањања на друге начине финансирања у облику финансирања трговине </w:t>
      </w:r>
      <w:r w:rsidR="00295E2B" w:rsidRPr="00471C90">
        <w:rPr>
          <w:rFonts w:cs="Times New Roman"/>
          <w:szCs w:val="24"/>
          <w:lang w:val="sr-Cyrl-CS"/>
        </w:rPr>
        <w:t xml:space="preserve">(односно, </w:t>
      </w:r>
      <w:r w:rsidR="008B42D0" w:rsidRPr="00471C90">
        <w:rPr>
          <w:rFonts w:cs="Times New Roman"/>
          <w:szCs w:val="24"/>
          <w:lang w:val="sr-Cyrl-CS"/>
        </w:rPr>
        <w:t xml:space="preserve">финансирања у периоду до наплате потраживања од купаца) </w:t>
      </w:r>
      <w:r w:rsidRPr="00471C90">
        <w:rPr>
          <w:rFonts w:cs="Times New Roman"/>
          <w:szCs w:val="24"/>
          <w:lang w:val="sr-Cyrl-CS"/>
        </w:rPr>
        <w:t xml:space="preserve">и, у мањој мери, факторинга. Алтернатива банкарском финансирању је лизинг, посебно за МСП која желе да купе основна средства веће вредности, као што су опрема, машине и возила. Гаранције, иако индиректни извор финансирања, могу помоћи </w:t>
      </w:r>
      <w:r w:rsidR="00F73BAB" w:rsidRPr="00471C90">
        <w:rPr>
          <w:rFonts w:cs="Times New Roman"/>
          <w:szCs w:val="24"/>
          <w:lang w:val="sr-Cyrl-CS"/>
        </w:rPr>
        <w:t xml:space="preserve">привредним друштвима </w:t>
      </w:r>
      <w:r w:rsidRPr="00471C90">
        <w:rPr>
          <w:rFonts w:cs="Times New Roman"/>
          <w:szCs w:val="24"/>
          <w:lang w:val="sr-Cyrl-CS"/>
        </w:rPr>
        <w:t>да прибаве додатна средства. Мање коришћене опције финансирања су</w:t>
      </w:r>
      <w:r w:rsidR="0085767F" w:rsidRPr="00471C90">
        <w:rPr>
          <w:rFonts w:cs="Times New Roman"/>
          <w:szCs w:val="24"/>
          <w:lang w:val="sr-Cyrl-CS"/>
        </w:rPr>
        <w:t xml:space="preserve"> </w:t>
      </w:r>
      <w:r w:rsidRPr="00471C90">
        <w:rPr>
          <w:rFonts w:cs="Times New Roman"/>
          <w:szCs w:val="24"/>
          <w:lang w:val="sr-Cyrl-CS"/>
        </w:rPr>
        <w:t>обвезнице</w:t>
      </w:r>
      <w:r w:rsidR="00BA3932" w:rsidRPr="00471C90">
        <w:rPr>
          <w:rFonts w:cs="Times New Roman"/>
          <w:szCs w:val="24"/>
          <w:lang w:val="sr-Cyrl-CS"/>
        </w:rPr>
        <w:t xml:space="preserve"> привредних субјеката</w:t>
      </w:r>
      <w:r w:rsidRPr="00471C90">
        <w:rPr>
          <w:rFonts w:cs="Times New Roman"/>
          <w:szCs w:val="24"/>
          <w:lang w:val="sr-Cyrl-CS"/>
        </w:rPr>
        <w:t>, као и финансирање ризичног капитала (енг</w:t>
      </w:r>
      <w:r w:rsidR="003A0576" w:rsidRPr="00471C90">
        <w:rPr>
          <w:rFonts w:cs="Times New Roman"/>
          <w:szCs w:val="24"/>
          <w:lang w:val="sr-Cyrl-CS"/>
        </w:rPr>
        <w:t>л</w:t>
      </w:r>
      <w:r w:rsidRPr="00471C90">
        <w:rPr>
          <w:rFonts w:cs="Times New Roman"/>
          <w:szCs w:val="24"/>
          <w:lang w:val="sr-Cyrl-CS"/>
        </w:rPr>
        <w:t xml:space="preserve">. </w:t>
      </w:r>
      <w:r w:rsidR="004B580D" w:rsidRPr="00471C90">
        <w:rPr>
          <w:rFonts w:cs="Times New Roman"/>
          <w:i/>
          <w:szCs w:val="24"/>
          <w:lang w:val="sr-Cyrl-CS"/>
        </w:rPr>
        <w:t>v</w:t>
      </w:r>
      <w:r w:rsidR="00D16F5E" w:rsidRPr="00471C90">
        <w:rPr>
          <w:rFonts w:cs="Times New Roman"/>
          <w:i/>
          <w:szCs w:val="24"/>
          <w:lang w:val="sr-Cyrl-CS"/>
        </w:rPr>
        <w:t>enture capital funding</w:t>
      </w:r>
      <w:r w:rsidRPr="00471C90">
        <w:rPr>
          <w:rFonts w:cs="Times New Roman"/>
          <w:szCs w:val="24"/>
          <w:lang w:val="sr-Cyrl-CS"/>
        </w:rPr>
        <w:t xml:space="preserve">) или </w:t>
      </w:r>
      <w:r w:rsidR="00D16F5E" w:rsidRPr="00471C90">
        <w:rPr>
          <w:rFonts w:cs="Times New Roman"/>
          <w:i/>
          <w:szCs w:val="24"/>
          <w:lang w:val="sr-Cyrl-CS"/>
        </w:rPr>
        <w:t>cro</w:t>
      </w:r>
      <w:r w:rsidR="000E1B3A" w:rsidRPr="00471C90">
        <w:rPr>
          <w:rFonts w:cs="Times New Roman"/>
          <w:i/>
          <w:szCs w:val="24"/>
          <w:lang w:val="sr-Cyrl-CS"/>
        </w:rPr>
        <w:t>wfunding</w:t>
      </w:r>
      <w:r w:rsidRPr="00471C90">
        <w:rPr>
          <w:rFonts w:cs="Times New Roman"/>
          <w:szCs w:val="24"/>
          <w:lang w:val="sr-Cyrl-CS"/>
        </w:rPr>
        <w:t xml:space="preserve">-а. </w:t>
      </w:r>
    </w:p>
    <w:p w14:paraId="33330190" w14:textId="17C31DBE" w:rsidR="00FA29A3" w:rsidRPr="00471C90" w:rsidRDefault="00514A5D" w:rsidP="00FA29A3">
      <w:pPr>
        <w:jc w:val="both"/>
        <w:rPr>
          <w:rFonts w:cs="Times New Roman"/>
          <w:szCs w:val="24"/>
          <w:lang w:val="sr-Cyrl-CS"/>
        </w:rPr>
      </w:pPr>
      <w:r w:rsidRPr="00471C90">
        <w:rPr>
          <w:rFonts w:cs="Times New Roman"/>
          <w:szCs w:val="24"/>
          <w:lang w:val="sr-Cyrl-CS"/>
        </w:rPr>
        <w:lastRenderedPageBreak/>
        <w:tab/>
      </w:r>
      <w:r w:rsidR="00DA5655" w:rsidRPr="00471C90">
        <w:rPr>
          <w:rFonts w:cs="Times New Roman"/>
          <w:szCs w:val="24"/>
          <w:lang w:val="sr-Cyrl-CS"/>
        </w:rPr>
        <w:t xml:space="preserve">Постојеће </w:t>
      </w:r>
      <w:r w:rsidR="00FA29A3" w:rsidRPr="00471C90">
        <w:rPr>
          <w:rFonts w:cs="Times New Roman"/>
          <w:szCs w:val="24"/>
          <w:lang w:val="sr-Cyrl-CS"/>
        </w:rPr>
        <w:t>развојне</w:t>
      </w:r>
      <w:r w:rsidR="009433D8" w:rsidRPr="00471C90">
        <w:rPr>
          <w:rFonts w:cs="Times New Roman"/>
          <w:szCs w:val="24"/>
          <w:lang w:val="sr-Cyrl-CS"/>
        </w:rPr>
        <w:t xml:space="preserve"> финансијске</w:t>
      </w:r>
      <w:r w:rsidR="00FA29A3" w:rsidRPr="00471C90">
        <w:rPr>
          <w:rFonts w:cs="Times New Roman"/>
          <w:szCs w:val="24"/>
          <w:lang w:val="sr-Cyrl-CS"/>
        </w:rPr>
        <w:t xml:space="preserve"> институције у </w:t>
      </w:r>
      <w:r w:rsidR="00E05281" w:rsidRPr="00471C90">
        <w:rPr>
          <w:rFonts w:cs="Times New Roman"/>
          <w:szCs w:val="24"/>
          <w:lang w:val="sr-Cyrl-CS"/>
        </w:rPr>
        <w:t xml:space="preserve">Републици </w:t>
      </w:r>
      <w:r w:rsidR="00FA29A3" w:rsidRPr="00471C90">
        <w:rPr>
          <w:rFonts w:cs="Times New Roman"/>
          <w:szCs w:val="24"/>
          <w:lang w:val="sr-Cyrl-CS"/>
        </w:rPr>
        <w:t xml:space="preserve">Србији (Фонд за развој и АОФИ) нуде </w:t>
      </w:r>
      <w:r w:rsidR="001A1286" w:rsidRPr="00471C90">
        <w:rPr>
          <w:rFonts w:cs="Times New Roman"/>
          <w:szCs w:val="24"/>
          <w:lang w:val="sr-Cyrl-CS"/>
        </w:rPr>
        <w:t>кредите</w:t>
      </w:r>
      <w:r w:rsidR="00FA29A3" w:rsidRPr="00471C90">
        <w:rPr>
          <w:rFonts w:cs="Times New Roman"/>
          <w:szCs w:val="24"/>
          <w:lang w:val="sr-Cyrl-CS"/>
        </w:rPr>
        <w:t>, гаранције, факторинг и осигурање потраживања под повољнијим</w:t>
      </w:r>
      <w:r w:rsidR="003427FD" w:rsidRPr="00471C90">
        <w:rPr>
          <w:rFonts w:cs="Times New Roman"/>
          <w:szCs w:val="24"/>
          <w:lang w:val="sr-Cyrl-CS"/>
        </w:rPr>
        <w:t xml:space="preserve"> </w:t>
      </w:r>
      <w:r w:rsidR="00FA29A3" w:rsidRPr="00471C90">
        <w:rPr>
          <w:rFonts w:cs="Times New Roman"/>
          <w:szCs w:val="24"/>
          <w:lang w:val="sr-Cyrl-CS"/>
        </w:rPr>
        <w:t xml:space="preserve">условима са основним циљем побољшања конкурентности и ликвидности </w:t>
      </w:r>
      <w:r w:rsidR="009433D8" w:rsidRPr="00471C90">
        <w:rPr>
          <w:rFonts w:cs="Times New Roman"/>
          <w:szCs w:val="24"/>
          <w:lang w:val="sr-Cyrl-CS"/>
        </w:rPr>
        <w:t>привреде Републике Србије</w:t>
      </w:r>
      <w:r w:rsidR="00FA29A3" w:rsidRPr="00471C90">
        <w:rPr>
          <w:rFonts w:cs="Times New Roman"/>
          <w:szCs w:val="24"/>
          <w:lang w:val="sr-Cyrl-CS"/>
        </w:rPr>
        <w:t xml:space="preserve">. </w:t>
      </w:r>
      <w:r w:rsidR="00300B53" w:rsidRPr="00471C90">
        <w:rPr>
          <w:rFonts w:cs="Times New Roman"/>
          <w:szCs w:val="24"/>
          <w:lang w:val="sr-Cyrl-CS"/>
        </w:rPr>
        <w:t xml:space="preserve">Неки од </w:t>
      </w:r>
      <w:r w:rsidR="00DA5655" w:rsidRPr="00471C90">
        <w:rPr>
          <w:rFonts w:cs="Times New Roman"/>
          <w:szCs w:val="24"/>
          <w:lang w:val="sr-Cyrl-CS"/>
        </w:rPr>
        <w:t>о</w:t>
      </w:r>
      <w:r w:rsidR="00FA29A3" w:rsidRPr="00471C90">
        <w:rPr>
          <w:rFonts w:cs="Times New Roman"/>
          <w:szCs w:val="24"/>
          <w:lang w:val="sr-Cyrl-CS"/>
        </w:rPr>
        <w:t>ви</w:t>
      </w:r>
      <w:r w:rsidR="00300B53" w:rsidRPr="00471C90">
        <w:rPr>
          <w:rFonts w:cs="Times New Roman"/>
          <w:szCs w:val="24"/>
          <w:lang w:val="sr-Cyrl-CS"/>
        </w:rPr>
        <w:t>х</w:t>
      </w:r>
      <w:r w:rsidR="00FA29A3" w:rsidRPr="00471C90">
        <w:rPr>
          <w:rFonts w:cs="Times New Roman"/>
          <w:szCs w:val="24"/>
          <w:lang w:val="sr-Cyrl-CS"/>
        </w:rPr>
        <w:t xml:space="preserve"> финансијски</w:t>
      </w:r>
      <w:r w:rsidR="00300B53" w:rsidRPr="00471C90">
        <w:rPr>
          <w:rFonts w:cs="Times New Roman"/>
          <w:szCs w:val="24"/>
          <w:lang w:val="sr-Cyrl-CS"/>
        </w:rPr>
        <w:t>х</w:t>
      </w:r>
      <w:r w:rsidR="00FA29A3" w:rsidRPr="00471C90">
        <w:rPr>
          <w:rFonts w:cs="Times New Roman"/>
          <w:szCs w:val="24"/>
          <w:lang w:val="sr-Cyrl-CS"/>
        </w:rPr>
        <w:t xml:space="preserve"> производ</w:t>
      </w:r>
      <w:r w:rsidR="00300B53" w:rsidRPr="00471C90">
        <w:rPr>
          <w:rFonts w:cs="Times New Roman"/>
          <w:szCs w:val="24"/>
          <w:lang w:val="sr-Cyrl-CS"/>
        </w:rPr>
        <w:t>а</w:t>
      </w:r>
      <w:r w:rsidR="00FA29A3" w:rsidRPr="00471C90">
        <w:rPr>
          <w:rFonts w:cs="Times New Roman"/>
          <w:szCs w:val="24"/>
          <w:lang w:val="sr-Cyrl-CS"/>
        </w:rPr>
        <w:t xml:space="preserve"> </w:t>
      </w:r>
      <w:r w:rsidR="00300B53" w:rsidRPr="00471C90">
        <w:rPr>
          <w:rFonts w:cs="Times New Roman"/>
          <w:szCs w:val="24"/>
          <w:lang w:val="sr-Cyrl-CS"/>
        </w:rPr>
        <w:t xml:space="preserve"> доступни су</w:t>
      </w:r>
      <w:r w:rsidR="00FA29A3" w:rsidRPr="00471C90">
        <w:rPr>
          <w:rFonts w:cs="Times New Roman"/>
          <w:szCs w:val="24"/>
          <w:lang w:val="sr-Cyrl-CS"/>
        </w:rPr>
        <w:t xml:space="preserve"> и </w:t>
      </w:r>
      <w:r w:rsidRPr="00471C90">
        <w:rPr>
          <w:rFonts w:cs="Times New Roman"/>
          <w:szCs w:val="24"/>
          <w:lang w:val="sr-Cyrl-CS"/>
        </w:rPr>
        <w:t xml:space="preserve">привредним друштвима </w:t>
      </w:r>
      <w:r w:rsidR="00FA29A3" w:rsidRPr="00471C90">
        <w:rPr>
          <w:rFonts w:cs="Times New Roman"/>
          <w:szCs w:val="24"/>
          <w:lang w:val="sr-Cyrl-CS"/>
        </w:rPr>
        <w:t xml:space="preserve">са мало или нимало кредитне историје, </w:t>
      </w:r>
      <w:r w:rsidRPr="00471C90">
        <w:rPr>
          <w:rFonts w:cs="Times New Roman"/>
          <w:szCs w:val="24"/>
          <w:lang w:val="sr-Cyrl-CS"/>
        </w:rPr>
        <w:t xml:space="preserve">привредним друштвима </w:t>
      </w:r>
      <w:r w:rsidR="00FA29A3" w:rsidRPr="00471C90">
        <w:rPr>
          <w:rFonts w:cs="Times New Roman"/>
          <w:szCs w:val="24"/>
          <w:lang w:val="sr-Cyrl-CS"/>
        </w:rPr>
        <w:t xml:space="preserve">са недостатком </w:t>
      </w:r>
      <w:r w:rsidRPr="00471C90">
        <w:rPr>
          <w:rFonts w:cs="Times New Roman"/>
          <w:szCs w:val="24"/>
          <w:lang w:val="sr-Cyrl-CS"/>
        </w:rPr>
        <w:t xml:space="preserve">средстава обезбеђења </w:t>
      </w:r>
      <w:r w:rsidR="00FA29A3" w:rsidRPr="00471C90">
        <w:rPr>
          <w:rFonts w:cs="Times New Roman"/>
          <w:szCs w:val="24"/>
          <w:lang w:val="sr-Cyrl-CS"/>
        </w:rPr>
        <w:t xml:space="preserve">и </w:t>
      </w:r>
      <w:r w:rsidR="00DA5655" w:rsidRPr="00471C90">
        <w:rPr>
          <w:rFonts w:cs="Times New Roman"/>
          <w:szCs w:val="24"/>
          <w:lang w:val="sr-Cyrl-CS"/>
        </w:rPr>
        <w:t xml:space="preserve">привредним друштвима </w:t>
      </w:r>
      <w:r w:rsidR="00FA29A3" w:rsidRPr="00471C90">
        <w:rPr>
          <w:rFonts w:cs="Times New Roman"/>
          <w:szCs w:val="24"/>
          <w:lang w:val="sr-Cyrl-CS"/>
        </w:rPr>
        <w:t xml:space="preserve">у неразвијеним областима, </w:t>
      </w:r>
      <w:r w:rsidR="00DA5655" w:rsidRPr="00471C90">
        <w:rPr>
          <w:rFonts w:cs="Times New Roman"/>
          <w:szCs w:val="24"/>
          <w:lang w:val="sr-Cyrl-CS"/>
        </w:rPr>
        <w:t xml:space="preserve">која </w:t>
      </w:r>
      <w:r w:rsidR="00FA29A3" w:rsidRPr="00471C90">
        <w:rPr>
          <w:rFonts w:cs="Times New Roman"/>
          <w:szCs w:val="24"/>
          <w:lang w:val="sr-Cyrl-CS"/>
        </w:rPr>
        <w:t xml:space="preserve">имају потешкоће да прибаве средства кроз </w:t>
      </w:r>
      <w:r w:rsidR="00DA5655" w:rsidRPr="00471C90">
        <w:rPr>
          <w:rFonts w:cs="Times New Roman"/>
          <w:szCs w:val="24"/>
          <w:lang w:val="sr-Cyrl-CS"/>
        </w:rPr>
        <w:t xml:space="preserve">наведене </w:t>
      </w:r>
      <w:r w:rsidR="00FA29A3" w:rsidRPr="00471C90">
        <w:rPr>
          <w:rFonts w:cs="Times New Roman"/>
          <w:szCs w:val="24"/>
          <w:lang w:val="sr-Cyrl-CS"/>
        </w:rPr>
        <w:t xml:space="preserve">облике екстерног финансирања. Бесповратна средства и субвенције су такође </w:t>
      </w:r>
      <w:r w:rsidR="00CC7089" w:rsidRPr="00471C90">
        <w:rPr>
          <w:rFonts w:cs="Times New Roman"/>
          <w:szCs w:val="24"/>
          <w:lang w:val="sr-Cyrl-CS"/>
        </w:rPr>
        <w:t xml:space="preserve">доступни </w:t>
      </w:r>
      <w:r w:rsidR="00FA29A3" w:rsidRPr="00471C90">
        <w:rPr>
          <w:rFonts w:cs="Times New Roman"/>
          <w:szCs w:val="24"/>
          <w:lang w:val="sr-Cyrl-CS"/>
        </w:rPr>
        <w:t xml:space="preserve">из других </w:t>
      </w:r>
      <w:r w:rsidR="00300B53" w:rsidRPr="00471C90">
        <w:rPr>
          <w:rFonts w:cs="Times New Roman"/>
          <w:szCs w:val="24"/>
          <w:lang w:val="sr-Cyrl-CS"/>
        </w:rPr>
        <w:t xml:space="preserve">програма финансираних јавним средствима </w:t>
      </w:r>
      <w:r w:rsidR="00FA29A3" w:rsidRPr="00471C90">
        <w:rPr>
          <w:rFonts w:cs="Times New Roman"/>
          <w:szCs w:val="24"/>
          <w:lang w:val="sr-Cyrl-CS"/>
        </w:rPr>
        <w:t>и фондова</w:t>
      </w:r>
      <w:r w:rsidR="00CC7089" w:rsidRPr="00471C90">
        <w:rPr>
          <w:rFonts w:cs="Times New Roman"/>
          <w:szCs w:val="24"/>
          <w:lang w:val="sr-Cyrl-CS"/>
        </w:rPr>
        <w:t xml:space="preserve"> Европске уније</w:t>
      </w:r>
      <w:r w:rsidR="00FA29A3" w:rsidRPr="00471C90">
        <w:rPr>
          <w:rFonts w:cs="Times New Roman"/>
          <w:szCs w:val="24"/>
          <w:lang w:val="sr-Cyrl-CS"/>
        </w:rPr>
        <w:t xml:space="preserve">, </w:t>
      </w:r>
      <w:r w:rsidR="00300B53" w:rsidRPr="00471C90">
        <w:rPr>
          <w:rFonts w:cs="Times New Roman"/>
          <w:szCs w:val="24"/>
          <w:lang w:val="sr-Cyrl-CS"/>
        </w:rPr>
        <w:t xml:space="preserve">и све чешће се </w:t>
      </w:r>
      <w:r w:rsidR="00FA29A3" w:rsidRPr="00471C90">
        <w:rPr>
          <w:rFonts w:cs="Times New Roman"/>
          <w:szCs w:val="24"/>
          <w:lang w:val="sr-Cyrl-CS"/>
        </w:rPr>
        <w:t>комбинују</w:t>
      </w:r>
      <w:r w:rsidR="009433D8" w:rsidRPr="00471C90">
        <w:rPr>
          <w:rFonts w:cs="Times New Roman"/>
          <w:szCs w:val="24"/>
          <w:lang w:val="sr-Cyrl-CS"/>
        </w:rPr>
        <w:t xml:space="preserve"> </w:t>
      </w:r>
      <w:r w:rsidR="00300B53" w:rsidRPr="00471C90">
        <w:rPr>
          <w:rFonts w:cs="Times New Roman"/>
          <w:szCs w:val="24"/>
          <w:lang w:val="sr-Cyrl-CS"/>
        </w:rPr>
        <w:t xml:space="preserve">са кредитним средствима </w:t>
      </w:r>
      <w:r w:rsidR="001A1286" w:rsidRPr="00471C90">
        <w:rPr>
          <w:rFonts w:cs="Times New Roman"/>
          <w:szCs w:val="24"/>
          <w:lang w:val="sr-Cyrl-CS"/>
        </w:rPr>
        <w:t xml:space="preserve">комерцијалних банака, развојних финансијских институција и међународних финансијских институција </w:t>
      </w:r>
      <w:r w:rsidR="00300B53" w:rsidRPr="00471C90">
        <w:rPr>
          <w:rFonts w:cs="Times New Roman"/>
          <w:szCs w:val="24"/>
          <w:lang w:val="sr-Cyrl-CS"/>
        </w:rPr>
        <w:t>(блендинг). Кроз програме</w:t>
      </w:r>
      <w:r w:rsidR="00DA5655" w:rsidRPr="00471C90">
        <w:rPr>
          <w:rFonts w:cs="Times New Roman"/>
          <w:szCs w:val="24"/>
          <w:lang w:val="sr-Cyrl-CS"/>
        </w:rPr>
        <w:t xml:space="preserve"> Европске Уније</w:t>
      </w:r>
      <w:r w:rsidR="00300B53" w:rsidRPr="00471C90">
        <w:rPr>
          <w:rFonts w:cs="Times New Roman"/>
          <w:szCs w:val="24"/>
          <w:lang w:val="sr-Cyrl-CS"/>
        </w:rPr>
        <w:t xml:space="preserve"> у којима је Република Србија учествовала (</w:t>
      </w:r>
      <w:r w:rsidR="00CC7089" w:rsidRPr="00471C90">
        <w:rPr>
          <w:rFonts w:cs="Times New Roman"/>
          <w:szCs w:val="24"/>
          <w:lang w:val="sr-Cyrl-CS"/>
        </w:rPr>
        <w:t>COSME</w:t>
      </w:r>
      <w:r w:rsidR="00300B53" w:rsidRPr="00471C90">
        <w:rPr>
          <w:rFonts w:cs="Times New Roman"/>
          <w:szCs w:val="24"/>
          <w:lang w:val="sr-Cyrl-CS"/>
        </w:rPr>
        <w:t xml:space="preserve">, </w:t>
      </w:r>
      <w:r w:rsidR="00CC7089" w:rsidRPr="00471C90">
        <w:rPr>
          <w:rFonts w:cs="Times New Roman"/>
          <w:szCs w:val="24"/>
          <w:lang w:val="sr-Cyrl-CS"/>
        </w:rPr>
        <w:t xml:space="preserve">HORIZON </w:t>
      </w:r>
      <w:r w:rsidR="00300B53" w:rsidRPr="00471C90">
        <w:rPr>
          <w:rFonts w:cs="Times New Roman"/>
          <w:szCs w:val="24"/>
          <w:lang w:val="sr-Cyrl-CS"/>
        </w:rPr>
        <w:t>2020</w:t>
      </w:r>
      <w:r w:rsidR="001A1286" w:rsidRPr="00471C90">
        <w:rPr>
          <w:rFonts w:cs="Times New Roman"/>
          <w:szCs w:val="24"/>
          <w:lang w:val="sr-Cyrl-CS"/>
        </w:rPr>
        <w:t xml:space="preserve">, </w:t>
      </w:r>
      <w:r w:rsidR="00CC7089" w:rsidRPr="00471C90">
        <w:rPr>
          <w:rFonts w:cs="Times New Roman"/>
          <w:szCs w:val="24"/>
          <w:lang w:val="sr-Cyrl-CS"/>
        </w:rPr>
        <w:t>EDIF</w:t>
      </w:r>
      <w:r w:rsidR="00300B53" w:rsidRPr="00471C90">
        <w:rPr>
          <w:rFonts w:cs="Times New Roman"/>
          <w:szCs w:val="24"/>
          <w:lang w:val="sr-Cyrl-CS"/>
        </w:rPr>
        <w:t xml:space="preserve">), банкама у </w:t>
      </w:r>
      <w:r w:rsidR="00CC7089" w:rsidRPr="00471C90">
        <w:rPr>
          <w:rFonts w:cs="Times New Roman"/>
          <w:szCs w:val="24"/>
          <w:lang w:val="sr-Cyrl-CS"/>
        </w:rPr>
        <w:t xml:space="preserve">Републици </w:t>
      </w:r>
      <w:r w:rsidR="00300B53" w:rsidRPr="00471C90">
        <w:rPr>
          <w:rFonts w:cs="Times New Roman"/>
          <w:szCs w:val="24"/>
          <w:lang w:val="sr-Cyrl-CS"/>
        </w:rPr>
        <w:t xml:space="preserve">Србији постале су доступне портфолио </w:t>
      </w:r>
      <w:r w:rsidR="001A1286" w:rsidRPr="00471C90">
        <w:rPr>
          <w:rFonts w:cs="Times New Roman"/>
          <w:szCs w:val="24"/>
          <w:lang w:val="sr-Cyrl-CS"/>
        </w:rPr>
        <w:t>гаранцијске</w:t>
      </w:r>
      <w:r w:rsidR="00300B53" w:rsidRPr="00471C90">
        <w:rPr>
          <w:rFonts w:cs="Times New Roman"/>
          <w:szCs w:val="24"/>
          <w:lang w:val="sr-Cyrl-CS"/>
        </w:rPr>
        <w:t xml:space="preserve"> шеме, које се све више користе у циљу побољшања услова кредитирања МСП.</w:t>
      </w:r>
    </w:p>
    <w:p w14:paraId="46CFB86B" w14:textId="19265DC6" w:rsidR="00FA29A3" w:rsidRPr="00471C90" w:rsidRDefault="00081698" w:rsidP="00AE0CA2">
      <w:pPr>
        <w:ind w:firstLine="708"/>
        <w:jc w:val="both"/>
        <w:rPr>
          <w:rFonts w:cs="Times New Roman"/>
          <w:szCs w:val="24"/>
          <w:lang w:val="sr-Cyrl-CS"/>
        </w:rPr>
      </w:pPr>
      <w:r w:rsidRPr="00471C90">
        <w:rPr>
          <w:rFonts w:cs="Times New Roman"/>
          <w:szCs w:val="24"/>
          <w:lang w:val="sr-Cyrl-CS"/>
        </w:rPr>
        <w:t xml:space="preserve">Процењен </w:t>
      </w:r>
      <w:r w:rsidR="00FA29A3" w:rsidRPr="00471C90">
        <w:rPr>
          <w:rFonts w:cs="Times New Roman"/>
          <w:szCs w:val="24"/>
          <w:lang w:val="sr-Cyrl-CS"/>
        </w:rPr>
        <w:t xml:space="preserve">је износ јаза у финансирању. Укупан јаз у финансирању је обрачунат током петогодишњег периода у три различита сценарија (пре пандемије </w:t>
      </w:r>
      <w:r w:rsidR="003A0576" w:rsidRPr="00471C90">
        <w:rPr>
          <w:rFonts w:cs="Times New Roman"/>
          <w:szCs w:val="24"/>
          <w:lang w:val="sr-Cyrl-CS"/>
        </w:rPr>
        <w:t>COVID</w:t>
      </w:r>
      <w:r w:rsidR="00FA29A3" w:rsidRPr="00471C90">
        <w:rPr>
          <w:rFonts w:cs="Times New Roman"/>
          <w:szCs w:val="24"/>
          <w:lang w:val="sr-Cyrl-CS"/>
        </w:rPr>
        <w:t>-19), као збир јаза у финансирању МСП и јаза у финансирању „</w:t>
      </w:r>
      <w:r w:rsidR="00CC7089" w:rsidRPr="00471C90">
        <w:rPr>
          <w:rFonts w:cs="Times New Roman"/>
          <w:szCs w:val="24"/>
          <w:lang w:val="sr-Cyrl-CS"/>
        </w:rPr>
        <w:t>старт-ап</w:t>
      </w:r>
      <w:r w:rsidR="001757D5" w:rsidRPr="00471C90">
        <w:rPr>
          <w:rFonts w:cs="Times New Roman"/>
          <w:szCs w:val="24"/>
          <w:lang w:val="sr-Cyrl-CS"/>
        </w:rPr>
        <w:t>ˮ</w:t>
      </w:r>
      <w:r w:rsidR="001757D5" w:rsidRPr="00471C90" w:rsidDel="001757D5">
        <w:rPr>
          <w:rFonts w:cs="Times New Roman"/>
          <w:szCs w:val="24"/>
          <w:lang w:val="sr-Cyrl-CS"/>
        </w:rPr>
        <w:t xml:space="preserve"> </w:t>
      </w:r>
      <w:r w:rsidR="00FA29A3" w:rsidRPr="00471C90">
        <w:rPr>
          <w:rFonts w:cs="Times New Roman"/>
          <w:szCs w:val="24"/>
          <w:lang w:val="sr-Cyrl-CS"/>
        </w:rPr>
        <w:t xml:space="preserve">предузећа. Јаз у финансирању МСП изведен је на основу удела МСП </w:t>
      </w:r>
      <w:r w:rsidRPr="00471C90">
        <w:rPr>
          <w:rFonts w:cs="Times New Roman"/>
          <w:szCs w:val="24"/>
          <w:lang w:val="sr-Cyrl-CS"/>
        </w:rPr>
        <w:t xml:space="preserve">која се превасходно нису пријављивала </w:t>
      </w:r>
      <w:r w:rsidR="00FA29A3" w:rsidRPr="00471C90">
        <w:rPr>
          <w:rFonts w:cs="Times New Roman"/>
          <w:szCs w:val="24"/>
          <w:lang w:val="sr-Cyrl-CS"/>
        </w:rPr>
        <w:t xml:space="preserve">за банкарски кредит </w:t>
      </w:r>
      <w:r w:rsidRPr="00471C90">
        <w:rPr>
          <w:rFonts w:cs="Times New Roman"/>
          <w:szCs w:val="24"/>
          <w:lang w:val="sr-Cyrl-CS"/>
        </w:rPr>
        <w:t xml:space="preserve">због недостатка </w:t>
      </w:r>
      <w:r w:rsidR="00CC7089" w:rsidRPr="00471C90">
        <w:rPr>
          <w:rFonts w:cs="Times New Roman"/>
          <w:szCs w:val="24"/>
          <w:lang w:val="sr-Cyrl-CS"/>
        </w:rPr>
        <w:t>сред</w:t>
      </w:r>
      <w:r w:rsidR="00F86437" w:rsidRPr="00471C90">
        <w:rPr>
          <w:rFonts w:cs="Times New Roman"/>
          <w:szCs w:val="24"/>
          <w:lang w:val="sr-Cyrl-CS"/>
        </w:rPr>
        <w:t>с</w:t>
      </w:r>
      <w:r w:rsidR="00CC7089" w:rsidRPr="00471C90">
        <w:rPr>
          <w:rFonts w:cs="Times New Roman"/>
          <w:szCs w:val="24"/>
          <w:lang w:val="sr-Cyrl-CS"/>
        </w:rPr>
        <w:t>т</w:t>
      </w:r>
      <w:r w:rsidR="000929C4" w:rsidRPr="00471C90">
        <w:rPr>
          <w:rFonts w:cs="Times New Roman"/>
          <w:szCs w:val="24"/>
          <w:lang w:val="sr-Cyrl-CS"/>
        </w:rPr>
        <w:t>а</w:t>
      </w:r>
      <w:r w:rsidR="00CC7089" w:rsidRPr="00471C90">
        <w:rPr>
          <w:rFonts w:cs="Times New Roman"/>
          <w:szCs w:val="24"/>
          <w:lang w:val="sr-Cyrl-CS"/>
        </w:rPr>
        <w:t>ва обезбеђења</w:t>
      </w:r>
      <w:r w:rsidR="00FA29A3" w:rsidRPr="00471C90">
        <w:rPr>
          <w:rFonts w:cs="Times New Roman"/>
          <w:szCs w:val="24"/>
          <w:lang w:val="sr-Cyrl-CS"/>
        </w:rPr>
        <w:t xml:space="preserve">, удела МСП чији је захтев за кредит у потпуности или делимично одбијен и удела </w:t>
      </w:r>
      <w:r w:rsidRPr="00471C90">
        <w:rPr>
          <w:rFonts w:cs="Times New Roman"/>
          <w:szCs w:val="24"/>
          <w:lang w:val="sr-Cyrl-CS"/>
        </w:rPr>
        <w:t xml:space="preserve">МСП која </w:t>
      </w:r>
      <w:r w:rsidR="00FA29A3" w:rsidRPr="00471C90">
        <w:rPr>
          <w:rFonts w:cs="Times New Roman"/>
          <w:szCs w:val="24"/>
          <w:lang w:val="sr-Cyrl-CS"/>
        </w:rPr>
        <w:t xml:space="preserve">су </w:t>
      </w:r>
      <w:r w:rsidRPr="00471C90">
        <w:rPr>
          <w:rFonts w:cs="Times New Roman"/>
          <w:szCs w:val="24"/>
          <w:lang w:val="sr-Cyrl-CS"/>
        </w:rPr>
        <w:t>одбила</w:t>
      </w:r>
      <w:r w:rsidR="00C478B4" w:rsidRPr="00471C90">
        <w:rPr>
          <w:rFonts w:cs="Times New Roman"/>
          <w:szCs w:val="24"/>
          <w:lang w:val="sr-Cyrl-CS"/>
        </w:rPr>
        <w:t xml:space="preserve"> </w:t>
      </w:r>
      <w:r w:rsidR="00FA29A3" w:rsidRPr="00471C90">
        <w:rPr>
          <w:rFonts w:cs="Times New Roman"/>
          <w:szCs w:val="24"/>
          <w:lang w:val="sr-Cyrl-CS"/>
        </w:rPr>
        <w:t>кредит чак и ако је захтев био прихваћен. Калкулација укључује само МСП која се сматрају „финансијски одрживим</w:t>
      </w:r>
      <w:r w:rsidR="001757D5" w:rsidRPr="00471C90">
        <w:rPr>
          <w:rFonts w:cs="Times New Roman"/>
          <w:szCs w:val="24"/>
          <w:lang w:val="sr-Cyrl-CS"/>
        </w:rPr>
        <w:t>ˮ</w:t>
      </w:r>
      <w:r w:rsidR="00FA29A3" w:rsidRPr="00471C90">
        <w:rPr>
          <w:rFonts w:cs="Times New Roman"/>
          <w:szCs w:val="24"/>
          <w:lang w:val="sr-Cyrl-CS"/>
        </w:rPr>
        <w:t>. Добијен је износ у распону од 875 милиона до 1.166,9 милиона евра (103,2 милијарде и 137,6 милијарди динара). Јаз у финансирању „</w:t>
      </w:r>
      <w:r w:rsidR="00CC7089" w:rsidRPr="00471C90">
        <w:rPr>
          <w:rFonts w:cs="Times New Roman"/>
          <w:szCs w:val="24"/>
          <w:lang w:val="sr-Cyrl-CS"/>
        </w:rPr>
        <w:t>старт-ап</w:t>
      </w:r>
      <w:r w:rsidR="001757D5" w:rsidRPr="00471C90">
        <w:rPr>
          <w:rFonts w:cs="Times New Roman"/>
          <w:szCs w:val="24"/>
          <w:lang w:val="sr-Cyrl-CS"/>
        </w:rPr>
        <w:t>ˮ</w:t>
      </w:r>
      <w:r w:rsidR="00FA29A3" w:rsidRPr="00471C90">
        <w:rPr>
          <w:rFonts w:cs="Times New Roman"/>
          <w:szCs w:val="24"/>
          <w:lang w:val="sr-Cyrl-CS"/>
        </w:rPr>
        <w:t xml:space="preserve"> предузећа изведен је на сличан начин где је утврђен износ у распону од 25 до 72 милиона евра (3-8,5 милијарди динара)</w:t>
      </w:r>
      <w:r w:rsidR="0039793A" w:rsidRPr="00471C90">
        <w:rPr>
          <w:rStyle w:val="FootnoteReference"/>
          <w:rFonts w:cs="Times New Roman"/>
          <w:szCs w:val="24"/>
          <w:lang w:val="sr-Cyrl-CS"/>
        </w:rPr>
        <w:footnoteReference w:id="3"/>
      </w:r>
      <w:r w:rsidR="00FA29A3" w:rsidRPr="00471C90">
        <w:rPr>
          <w:rFonts w:cs="Times New Roman"/>
          <w:szCs w:val="24"/>
          <w:lang w:val="sr-Cyrl-CS"/>
        </w:rPr>
        <w:t>.</w:t>
      </w:r>
    </w:p>
    <w:p w14:paraId="29E2C92C" w14:textId="1E7A42A7" w:rsidR="00FA29A3" w:rsidRPr="00471C90" w:rsidRDefault="00081698" w:rsidP="00AE0CA2">
      <w:pPr>
        <w:ind w:firstLine="708"/>
        <w:jc w:val="both"/>
        <w:rPr>
          <w:rFonts w:cs="Times New Roman"/>
          <w:szCs w:val="24"/>
          <w:lang w:val="sr-Cyrl-CS"/>
        </w:rPr>
      </w:pPr>
      <w:r w:rsidRPr="00471C90">
        <w:rPr>
          <w:rFonts w:cs="Times New Roman"/>
          <w:szCs w:val="24"/>
          <w:lang w:val="sr-Cyrl-CS"/>
        </w:rPr>
        <w:t>П</w:t>
      </w:r>
      <w:r w:rsidR="00FA29A3" w:rsidRPr="00471C90">
        <w:rPr>
          <w:rFonts w:cs="Times New Roman"/>
          <w:szCs w:val="24"/>
          <w:lang w:val="sr-Cyrl-CS"/>
        </w:rPr>
        <w:t xml:space="preserve">роцењено је да је укупан јаз у финансирању </w:t>
      </w:r>
      <w:r w:rsidR="00924AF1" w:rsidRPr="00471C90">
        <w:rPr>
          <w:rFonts w:cs="Times New Roman"/>
          <w:szCs w:val="24"/>
          <w:lang w:val="sr-Cyrl-CS"/>
        </w:rPr>
        <w:t xml:space="preserve">на петогодишњем нивоу </w:t>
      </w:r>
      <w:r w:rsidR="00FA29A3" w:rsidRPr="00471C90">
        <w:rPr>
          <w:rFonts w:cs="Times New Roman"/>
          <w:szCs w:val="24"/>
          <w:lang w:val="sr-Cyrl-CS"/>
        </w:rPr>
        <w:t xml:space="preserve">износио између 0,90 и 1,24 милијарде </w:t>
      </w:r>
      <w:r w:rsidRPr="00471C90">
        <w:rPr>
          <w:rFonts w:cs="Times New Roman"/>
          <w:szCs w:val="24"/>
          <w:lang w:val="sr-Cyrl-CS"/>
        </w:rPr>
        <w:t>евра</w:t>
      </w:r>
      <w:r w:rsidR="00FA29A3" w:rsidRPr="00471C90">
        <w:rPr>
          <w:rFonts w:cs="Times New Roman"/>
          <w:szCs w:val="24"/>
          <w:lang w:val="sr-Cyrl-CS"/>
        </w:rPr>
        <w:t xml:space="preserve"> (106-146 милијарди </w:t>
      </w:r>
      <w:r w:rsidRPr="00471C90">
        <w:rPr>
          <w:rFonts w:cs="Times New Roman"/>
          <w:szCs w:val="24"/>
          <w:lang w:val="sr-Cyrl-CS"/>
        </w:rPr>
        <w:t>динара</w:t>
      </w:r>
      <w:r w:rsidR="00FA29A3" w:rsidRPr="00471C90">
        <w:rPr>
          <w:rFonts w:cs="Times New Roman"/>
          <w:szCs w:val="24"/>
          <w:lang w:val="sr-Cyrl-CS"/>
        </w:rPr>
        <w:t xml:space="preserve">). На основу номиналног </w:t>
      </w:r>
      <w:r w:rsidR="00C478B4" w:rsidRPr="00471C90">
        <w:rPr>
          <w:rFonts w:cs="Times New Roman"/>
          <w:szCs w:val="24"/>
          <w:lang w:val="sr-Cyrl-CS"/>
        </w:rPr>
        <w:t>бруто домаћег производа (у даљем тексту: БДП)</w:t>
      </w:r>
      <w:r w:rsidR="00FA29A3" w:rsidRPr="00471C90">
        <w:rPr>
          <w:rFonts w:cs="Times New Roman"/>
          <w:szCs w:val="24"/>
          <w:lang w:val="sr-Cyrl-CS"/>
        </w:rPr>
        <w:t xml:space="preserve"> за 2019. годину</w:t>
      </w:r>
      <w:r w:rsidR="00DD75B7" w:rsidRPr="00471C90">
        <w:rPr>
          <w:rStyle w:val="FootnoteReference"/>
          <w:rFonts w:cs="Times New Roman"/>
          <w:szCs w:val="24"/>
          <w:lang w:val="sr-Cyrl-CS"/>
        </w:rPr>
        <w:footnoteReference w:id="4"/>
      </w:r>
      <w:r w:rsidR="00FA29A3" w:rsidRPr="00471C90">
        <w:rPr>
          <w:rFonts w:cs="Times New Roman"/>
          <w:szCs w:val="24"/>
          <w:lang w:val="sr-Cyrl-CS"/>
        </w:rPr>
        <w:t>, ово износи између 1,96% и 2,70% БДП-а.</w:t>
      </w:r>
    </w:p>
    <w:p w14:paraId="3DFCBD48" w14:textId="44838D72" w:rsidR="00FA29A3" w:rsidRPr="00471C90" w:rsidRDefault="00FA29A3" w:rsidP="00AE0CA2">
      <w:pPr>
        <w:ind w:firstLine="576"/>
        <w:jc w:val="both"/>
        <w:rPr>
          <w:rFonts w:cs="Times New Roman"/>
          <w:szCs w:val="24"/>
          <w:lang w:val="sr-Cyrl-CS"/>
        </w:rPr>
      </w:pPr>
      <w:r w:rsidRPr="00471C90">
        <w:rPr>
          <w:rFonts w:cs="Times New Roman"/>
          <w:szCs w:val="24"/>
          <w:lang w:val="sr-Cyrl-CS"/>
        </w:rPr>
        <w:t xml:space="preserve">Имајући у виду да пандемија </w:t>
      </w:r>
      <w:r w:rsidR="000E1B3A" w:rsidRPr="00471C90">
        <w:rPr>
          <w:rFonts w:cs="Times New Roman"/>
          <w:szCs w:val="24"/>
          <w:lang w:val="sr-Cyrl-CS"/>
        </w:rPr>
        <w:t>COVID</w:t>
      </w:r>
      <w:r w:rsidRPr="00471C90">
        <w:rPr>
          <w:rFonts w:cs="Times New Roman"/>
          <w:szCs w:val="24"/>
          <w:lang w:val="sr-Cyrl-CS"/>
        </w:rPr>
        <w:t xml:space="preserve">-19 још увек траје, њени ефекти нису коначни. </w:t>
      </w:r>
      <w:r w:rsidR="00EF421F" w:rsidRPr="00471C90">
        <w:rPr>
          <w:rFonts w:cs="Times New Roman"/>
          <w:szCs w:val="24"/>
          <w:lang w:val="sr-Cyrl-CS"/>
        </w:rPr>
        <w:t>Према томе</w:t>
      </w:r>
      <w:r w:rsidRPr="00471C90">
        <w:rPr>
          <w:rFonts w:cs="Times New Roman"/>
          <w:szCs w:val="24"/>
          <w:lang w:val="sr-Cyrl-CS"/>
        </w:rPr>
        <w:t>, извесно је да је одређеним МСП потребна даља подршка, поред до сада предузетих антикризних фискалних и монетарних мера</w:t>
      </w:r>
      <w:r w:rsidR="001A1286" w:rsidRPr="00471C90">
        <w:rPr>
          <w:rFonts w:cs="Times New Roman"/>
          <w:szCs w:val="24"/>
          <w:lang w:val="sr-Cyrl-CS"/>
        </w:rPr>
        <w:t>, тако да се може очекивати да ће у наредним годинама овај јаз имати тенденцију раста.</w:t>
      </w:r>
    </w:p>
    <w:p w14:paraId="72373693" w14:textId="6649A8C9" w:rsidR="001025A3" w:rsidRPr="00471C90" w:rsidRDefault="009433D8" w:rsidP="00AE0CA2">
      <w:pPr>
        <w:pStyle w:val="Heading2"/>
        <w:numPr>
          <w:ilvl w:val="0"/>
          <w:numId w:val="0"/>
        </w:numPr>
        <w:rPr>
          <w:rFonts w:cs="Times New Roman"/>
          <w:sz w:val="24"/>
          <w:szCs w:val="24"/>
          <w:lang w:val="sr-Cyrl-CS"/>
        </w:rPr>
      </w:pPr>
      <w:bookmarkStart w:id="3" w:name="_Toc86450213"/>
      <w:r w:rsidRPr="00471C90">
        <w:rPr>
          <w:rFonts w:cs="Times New Roman"/>
          <w:sz w:val="24"/>
          <w:szCs w:val="24"/>
          <w:lang w:val="sr-Cyrl-CS"/>
        </w:rPr>
        <w:t>2</w:t>
      </w:r>
      <w:r w:rsidR="00CC7089" w:rsidRPr="00471C90">
        <w:rPr>
          <w:rFonts w:cs="Times New Roman"/>
          <w:sz w:val="24"/>
          <w:szCs w:val="24"/>
          <w:lang w:val="sr-Cyrl-CS"/>
        </w:rPr>
        <w:t xml:space="preserve">.3 </w:t>
      </w:r>
      <w:r w:rsidR="00C54625" w:rsidRPr="00471C90">
        <w:rPr>
          <w:rFonts w:cs="Times New Roman"/>
          <w:sz w:val="24"/>
          <w:szCs w:val="24"/>
          <w:lang w:val="sr-Cyrl-CS"/>
        </w:rPr>
        <w:t>Упоредна међународна пракса</w:t>
      </w:r>
      <w:bookmarkEnd w:id="3"/>
    </w:p>
    <w:p w14:paraId="5808B07B" w14:textId="70E696C0" w:rsidR="00C54625" w:rsidRPr="00471C90" w:rsidRDefault="00720C01" w:rsidP="00AE0CA2">
      <w:pPr>
        <w:ind w:firstLine="708"/>
        <w:jc w:val="both"/>
        <w:rPr>
          <w:rFonts w:cs="Times New Roman"/>
          <w:szCs w:val="24"/>
          <w:lang w:val="sr-Cyrl-CS"/>
        </w:rPr>
      </w:pPr>
      <w:r w:rsidRPr="00471C90">
        <w:rPr>
          <w:rFonts w:cs="Times New Roman"/>
          <w:szCs w:val="24"/>
          <w:lang w:val="sr-Cyrl-CS"/>
        </w:rPr>
        <w:t>Анализа која је спроведена за потребе Концепта,</w:t>
      </w:r>
      <w:r w:rsidR="00C54625" w:rsidRPr="00471C90">
        <w:rPr>
          <w:rFonts w:cs="Times New Roman"/>
          <w:szCs w:val="24"/>
          <w:lang w:val="sr-Cyrl-CS"/>
        </w:rPr>
        <w:t xml:space="preserve"> поткрепље</w:t>
      </w:r>
      <w:r w:rsidR="00EF421F" w:rsidRPr="00471C90">
        <w:rPr>
          <w:rFonts w:cs="Times New Roman"/>
          <w:szCs w:val="24"/>
          <w:lang w:val="sr-Cyrl-CS"/>
        </w:rPr>
        <w:t>н</w:t>
      </w:r>
      <w:r w:rsidR="00C54625" w:rsidRPr="00471C90">
        <w:rPr>
          <w:rFonts w:cs="Times New Roman"/>
          <w:szCs w:val="24"/>
          <w:lang w:val="sr-Cyrl-CS"/>
        </w:rPr>
        <w:t xml:space="preserve">а </w:t>
      </w:r>
      <w:r w:rsidRPr="00471C90">
        <w:rPr>
          <w:rFonts w:cs="Times New Roman"/>
          <w:szCs w:val="24"/>
          <w:lang w:val="sr-Cyrl-CS"/>
        </w:rPr>
        <w:t xml:space="preserve">је </w:t>
      </w:r>
      <w:r w:rsidR="00C54625" w:rsidRPr="00471C90">
        <w:rPr>
          <w:rFonts w:cs="Times New Roman"/>
          <w:szCs w:val="24"/>
          <w:lang w:val="sr-Cyrl-CS"/>
        </w:rPr>
        <w:t xml:space="preserve">свеобухватном упоредном анализом </w:t>
      </w:r>
      <w:r w:rsidR="009433D8" w:rsidRPr="00471C90">
        <w:rPr>
          <w:rFonts w:cs="Times New Roman"/>
          <w:szCs w:val="24"/>
          <w:lang w:val="sr-Cyrl-CS"/>
        </w:rPr>
        <w:t>развојних финансијских</w:t>
      </w:r>
      <w:r w:rsidR="00C54625" w:rsidRPr="00471C90">
        <w:rPr>
          <w:rFonts w:cs="Times New Roman"/>
          <w:szCs w:val="24"/>
          <w:lang w:val="sr-Cyrl-CS"/>
        </w:rPr>
        <w:t xml:space="preserve"> институција и њихових пословних модела у ширем региону како би се дефинисао циљни институционални оквир у </w:t>
      </w:r>
      <w:r w:rsidR="00E05281" w:rsidRPr="00471C90">
        <w:rPr>
          <w:rFonts w:cs="Times New Roman"/>
          <w:szCs w:val="24"/>
          <w:lang w:val="sr-Cyrl-CS"/>
        </w:rPr>
        <w:t xml:space="preserve">Републици </w:t>
      </w:r>
      <w:r w:rsidR="00C54625" w:rsidRPr="00471C90">
        <w:rPr>
          <w:rFonts w:cs="Times New Roman"/>
          <w:szCs w:val="24"/>
          <w:lang w:val="sr-Cyrl-CS"/>
        </w:rPr>
        <w:t xml:space="preserve">Србији. Иако су током анализе испитиване и добре праксе на светском нивоу (нпр. Finnvera у Финској; AVS и ОеKB у </w:t>
      </w:r>
      <w:r w:rsidR="009F0EC6" w:rsidRPr="00471C90">
        <w:rPr>
          <w:rFonts w:cs="Times New Roman"/>
          <w:szCs w:val="24"/>
          <w:lang w:val="sr-Cyrl-CS"/>
        </w:rPr>
        <w:t xml:space="preserve">Републици </w:t>
      </w:r>
      <w:r w:rsidR="00C54625" w:rsidRPr="00471C90">
        <w:rPr>
          <w:rFonts w:cs="Times New Roman"/>
          <w:szCs w:val="24"/>
          <w:lang w:val="sr-Cyrl-CS"/>
        </w:rPr>
        <w:t xml:space="preserve">Аустрији), </w:t>
      </w:r>
      <w:r w:rsidR="00081698" w:rsidRPr="00471C90">
        <w:rPr>
          <w:rFonts w:cs="Times New Roman"/>
          <w:szCs w:val="24"/>
          <w:lang w:val="sr-Cyrl-CS"/>
        </w:rPr>
        <w:t xml:space="preserve">нарочито су </w:t>
      </w:r>
      <w:r w:rsidR="001757D5" w:rsidRPr="00471C90">
        <w:rPr>
          <w:rFonts w:cs="Times New Roman"/>
          <w:szCs w:val="24"/>
          <w:lang w:val="sr-Cyrl-CS"/>
        </w:rPr>
        <w:t xml:space="preserve">анализиране </w:t>
      </w:r>
      <w:r w:rsidR="00081698" w:rsidRPr="00471C90">
        <w:rPr>
          <w:rFonts w:cs="Times New Roman"/>
          <w:szCs w:val="24"/>
          <w:lang w:val="sr-Cyrl-CS"/>
        </w:rPr>
        <w:t xml:space="preserve">развојне институције </w:t>
      </w:r>
      <w:r w:rsidR="00C54625" w:rsidRPr="00471C90">
        <w:rPr>
          <w:rFonts w:cs="Times New Roman"/>
          <w:szCs w:val="24"/>
          <w:lang w:val="sr-Cyrl-CS"/>
        </w:rPr>
        <w:t xml:space="preserve">и институционални оквири у упоредивим земљама (регионални </w:t>
      </w:r>
      <w:r w:rsidR="00C54625" w:rsidRPr="00471C90">
        <w:rPr>
          <w:rFonts w:cs="Times New Roman"/>
          <w:szCs w:val="24"/>
          <w:lang w:val="sr-Cyrl-CS"/>
        </w:rPr>
        <w:lastRenderedPageBreak/>
        <w:t>приступ)</w:t>
      </w:r>
      <w:r w:rsidR="009F0EC6" w:rsidRPr="00471C90">
        <w:rPr>
          <w:rFonts w:cs="Times New Roman"/>
          <w:szCs w:val="24"/>
          <w:lang w:val="sr-Cyrl-CS"/>
        </w:rPr>
        <w:t>,</w:t>
      </w:r>
      <w:r w:rsidR="00C54625" w:rsidRPr="00471C90">
        <w:rPr>
          <w:rFonts w:cs="Times New Roman"/>
          <w:szCs w:val="24"/>
          <w:lang w:val="sr-Cyrl-CS"/>
        </w:rPr>
        <w:t xml:space="preserve"> као што су: Словачка</w:t>
      </w:r>
      <w:r w:rsidR="009433D8" w:rsidRPr="00471C90">
        <w:rPr>
          <w:rFonts w:cs="Times New Roman"/>
          <w:szCs w:val="24"/>
          <w:lang w:val="sr-Cyrl-CS"/>
        </w:rPr>
        <w:t xml:space="preserve"> </w:t>
      </w:r>
      <w:r w:rsidR="009F0EC6" w:rsidRPr="00471C90">
        <w:rPr>
          <w:rFonts w:cs="Times New Roman"/>
          <w:szCs w:val="24"/>
          <w:lang w:val="sr-Cyrl-CS"/>
        </w:rPr>
        <w:t>Р</w:t>
      </w:r>
      <w:r w:rsidR="009433D8" w:rsidRPr="00471C90">
        <w:rPr>
          <w:rFonts w:cs="Times New Roman"/>
          <w:szCs w:val="24"/>
          <w:lang w:val="sr-Cyrl-CS"/>
        </w:rPr>
        <w:t>епублика</w:t>
      </w:r>
      <w:r w:rsidR="00C54625" w:rsidRPr="00471C90">
        <w:rPr>
          <w:rFonts w:cs="Times New Roman"/>
          <w:szCs w:val="24"/>
          <w:lang w:val="sr-Cyrl-CS"/>
        </w:rPr>
        <w:t>, Чешка</w:t>
      </w:r>
      <w:r w:rsidR="009433D8" w:rsidRPr="00471C90">
        <w:rPr>
          <w:rFonts w:cs="Times New Roman"/>
          <w:szCs w:val="24"/>
          <w:lang w:val="sr-Cyrl-CS"/>
        </w:rPr>
        <w:t xml:space="preserve"> </w:t>
      </w:r>
      <w:r w:rsidR="009F5F8C" w:rsidRPr="00471C90">
        <w:rPr>
          <w:rFonts w:cs="Times New Roman"/>
          <w:szCs w:val="24"/>
          <w:lang w:val="sr-Cyrl-CS"/>
        </w:rPr>
        <w:t>Р</w:t>
      </w:r>
      <w:r w:rsidR="009433D8" w:rsidRPr="00471C90">
        <w:rPr>
          <w:rFonts w:cs="Times New Roman"/>
          <w:szCs w:val="24"/>
          <w:lang w:val="sr-Cyrl-CS"/>
        </w:rPr>
        <w:t>епублика</w:t>
      </w:r>
      <w:r w:rsidR="00C54625" w:rsidRPr="00471C90">
        <w:rPr>
          <w:rFonts w:cs="Times New Roman"/>
          <w:szCs w:val="24"/>
          <w:lang w:val="sr-Cyrl-CS"/>
        </w:rPr>
        <w:t xml:space="preserve">, </w:t>
      </w:r>
      <w:r w:rsidR="009F0EC6" w:rsidRPr="00471C90">
        <w:rPr>
          <w:rFonts w:cs="Times New Roman"/>
          <w:szCs w:val="24"/>
          <w:lang w:val="sr-Cyrl-CS"/>
        </w:rPr>
        <w:t xml:space="preserve">Република </w:t>
      </w:r>
      <w:r w:rsidR="00C54625" w:rsidRPr="00471C90">
        <w:rPr>
          <w:rFonts w:cs="Times New Roman"/>
          <w:szCs w:val="24"/>
          <w:lang w:val="sr-Cyrl-CS"/>
        </w:rPr>
        <w:t xml:space="preserve">Пољска, Мађарска, </w:t>
      </w:r>
      <w:r w:rsidR="00077468" w:rsidRPr="00471C90">
        <w:rPr>
          <w:rFonts w:cs="Times New Roman"/>
          <w:szCs w:val="24"/>
          <w:lang w:val="sr-Cyrl-CS"/>
        </w:rPr>
        <w:t xml:space="preserve">Република </w:t>
      </w:r>
      <w:r w:rsidR="00C54625" w:rsidRPr="00471C90">
        <w:rPr>
          <w:rFonts w:cs="Times New Roman"/>
          <w:szCs w:val="24"/>
          <w:lang w:val="sr-Cyrl-CS"/>
        </w:rPr>
        <w:t xml:space="preserve">Словенија, </w:t>
      </w:r>
      <w:r w:rsidR="00077468" w:rsidRPr="00471C90">
        <w:rPr>
          <w:rFonts w:cs="Times New Roman"/>
          <w:szCs w:val="24"/>
          <w:lang w:val="sr-Cyrl-CS"/>
        </w:rPr>
        <w:t xml:space="preserve">Република </w:t>
      </w:r>
      <w:r w:rsidR="00C54625" w:rsidRPr="00471C90">
        <w:rPr>
          <w:rFonts w:cs="Times New Roman"/>
          <w:szCs w:val="24"/>
          <w:lang w:val="sr-Cyrl-CS"/>
        </w:rPr>
        <w:t xml:space="preserve">Хрватска и </w:t>
      </w:r>
      <w:r w:rsidR="00077468" w:rsidRPr="00471C90">
        <w:rPr>
          <w:rFonts w:cs="Times New Roman"/>
          <w:szCs w:val="24"/>
          <w:lang w:val="sr-Cyrl-CS"/>
        </w:rPr>
        <w:t xml:space="preserve">Република </w:t>
      </w:r>
      <w:r w:rsidR="00C54625" w:rsidRPr="00471C90">
        <w:rPr>
          <w:rFonts w:cs="Times New Roman"/>
          <w:szCs w:val="24"/>
          <w:lang w:val="sr-Cyrl-CS"/>
        </w:rPr>
        <w:t>Малта.</w:t>
      </w:r>
    </w:p>
    <w:p w14:paraId="60673586" w14:textId="33315BB2" w:rsidR="00C54625" w:rsidRPr="00471C90" w:rsidRDefault="00C54625" w:rsidP="00587627">
      <w:pPr>
        <w:ind w:firstLine="708"/>
        <w:jc w:val="both"/>
        <w:rPr>
          <w:rFonts w:cs="Times New Roman"/>
          <w:szCs w:val="24"/>
          <w:lang w:val="sr-Cyrl-CS"/>
        </w:rPr>
      </w:pPr>
      <w:r w:rsidRPr="00471C90">
        <w:rPr>
          <w:rFonts w:cs="Times New Roman"/>
          <w:szCs w:val="24"/>
          <w:lang w:val="sr-Cyrl-CS"/>
        </w:rPr>
        <w:t xml:space="preserve">Општи закључак је да се институционални оквири разликују међу </w:t>
      </w:r>
      <w:r w:rsidR="00081698" w:rsidRPr="00471C90">
        <w:rPr>
          <w:rFonts w:cs="Times New Roman"/>
          <w:szCs w:val="24"/>
          <w:lang w:val="sr-Cyrl-CS"/>
        </w:rPr>
        <w:t>државама</w:t>
      </w:r>
      <w:r w:rsidRPr="00471C90">
        <w:rPr>
          <w:rFonts w:cs="Times New Roman"/>
          <w:szCs w:val="24"/>
          <w:lang w:val="sr-Cyrl-CS"/>
        </w:rPr>
        <w:t xml:space="preserve">. Такве разлике могу се најбоље представити кроз следеће кључне карактеристике које треба узети у обзир приликом редефинисања институционалног оквира у </w:t>
      </w:r>
      <w:r w:rsidR="00CC7089" w:rsidRPr="00471C90">
        <w:rPr>
          <w:rFonts w:cs="Times New Roman"/>
          <w:szCs w:val="24"/>
          <w:lang w:val="sr-Cyrl-CS"/>
        </w:rPr>
        <w:t xml:space="preserve">Републици </w:t>
      </w:r>
      <w:r w:rsidRPr="00471C90">
        <w:rPr>
          <w:rFonts w:cs="Times New Roman"/>
          <w:szCs w:val="24"/>
          <w:lang w:val="sr-Cyrl-CS"/>
        </w:rPr>
        <w:t>Србији:</w:t>
      </w:r>
    </w:p>
    <w:p w14:paraId="2F879259" w14:textId="59323A83" w:rsidR="001E665C" w:rsidRPr="00471C90" w:rsidRDefault="00C478B4" w:rsidP="00A62168">
      <w:pPr>
        <w:pStyle w:val="ListParagraph"/>
        <w:numPr>
          <w:ilvl w:val="0"/>
          <w:numId w:val="36"/>
        </w:numPr>
        <w:tabs>
          <w:tab w:val="left" w:pos="1134"/>
        </w:tabs>
        <w:ind w:left="0" w:firstLine="851"/>
        <w:rPr>
          <w:rFonts w:ascii="Times New Roman" w:hAnsi="Times New Roman" w:cs="Times New Roman"/>
          <w:szCs w:val="24"/>
          <w:lang w:val="sr-Cyrl-CS"/>
        </w:rPr>
      </w:pPr>
      <w:r w:rsidRPr="00471C90">
        <w:rPr>
          <w:rFonts w:ascii="Times New Roman" w:hAnsi="Times New Roman" w:cs="Times New Roman"/>
          <w:bCs/>
          <w:szCs w:val="24"/>
          <w:lang w:val="sr-Cyrl-CS"/>
        </w:rPr>
        <w:t>Број развојних финансијских институција</w:t>
      </w:r>
      <w:r w:rsidR="00C54625" w:rsidRPr="00471C90">
        <w:rPr>
          <w:rFonts w:ascii="Times New Roman" w:hAnsi="Times New Roman" w:cs="Times New Roman"/>
          <w:szCs w:val="24"/>
          <w:lang w:val="sr-Cyrl-CS"/>
        </w:rPr>
        <w:t xml:space="preserve">: </w:t>
      </w:r>
      <w:r w:rsidR="00A62168" w:rsidRPr="00471C90">
        <w:rPr>
          <w:rFonts w:ascii="Times New Roman" w:hAnsi="Times New Roman" w:cs="Times New Roman"/>
          <w:szCs w:val="24"/>
          <w:lang w:val="sr-Cyrl-CS"/>
        </w:rPr>
        <w:t>о</w:t>
      </w:r>
      <w:r w:rsidR="00C54625" w:rsidRPr="00471C90">
        <w:rPr>
          <w:rFonts w:ascii="Times New Roman" w:hAnsi="Times New Roman" w:cs="Times New Roman"/>
          <w:szCs w:val="24"/>
          <w:lang w:val="sr-Cyrl-CS"/>
        </w:rPr>
        <w:t>бично једна или две главне институције (ретко више од две) уз специјализована зависна предузећа. Могу постојати и сателитске институције, фондови ризичног капитала и остали фондови. Генерално, спроведена анализа није показала да број субјеката у великој мери утиче на укупне резултате (пре свега из перспективе ефикасности/трошкова</w:t>
      </w:r>
      <w:r w:rsidR="00081698" w:rsidRPr="00471C90">
        <w:rPr>
          <w:rFonts w:ascii="Times New Roman" w:hAnsi="Times New Roman" w:cs="Times New Roman"/>
          <w:szCs w:val="24"/>
          <w:lang w:val="sr-Cyrl-CS"/>
        </w:rPr>
        <w:t xml:space="preserve">, јер </w:t>
      </w:r>
      <w:r w:rsidR="00C54625" w:rsidRPr="00471C90">
        <w:rPr>
          <w:rFonts w:ascii="Times New Roman" w:hAnsi="Times New Roman" w:cs="Times New Roman"/>
          <w:szCs w:val="24"/>
          <w:lang w:val="sr-Cyrl-CS"/>
        </w:rPr>
        <w:t>је стварне перформансе тешко измерити, а још теже упоредити)</w:t>
      </w:r>
      <w:r w:rsidR="00CC7089" w:rsidRPr="00471C90">
        <w:rPr>
          <w:rFonts w:ascii="Times New Roman" w:hAnsi="Times New Roman" w:cs="Times New Roman"/>
          <w:szCs w:val="24"/>
          <w:lang w:val="sr-Cyrl-CS"/>
        </w:rPr>
        <w:t>.</w:t>
      </w:r>
      <w:r w:rsidRPr="00471C90">
        <w:rPr>
          <w:rFonts w:ascii="Times New Roman" w:hAnsi="Times New Roman" w:cs="Times New Roman"/>
          <w:szCs w:val="24"/>
          <w:lang w:val="sr-Cyrl-CS"/>
        </w:rPr>
        <w:t xml:space="preserve"> </w:t>
      </w:r>
    </w:p>
    <w:p w14:paraId="21C03361" w14:textId="3CACA4B7" w:rsidR="00C478B4" w:rsidRPr="00471C90" w:rsidRDefault="00C54625" w:rsidP="00A62168">
      <w:pPr>
        <w:pStyle w:val="ListParagraph"/>
        <w:numPr>
          <w:ilvl w:val="0"/>
          <w:numId w:val="36"/>
        </w:numPr>
        <w:tabs>
          <w:tab w:val="left" w:pos="1134"/>
        </w:tabs>
        <w:ind w:left="0" w:firstLine="851"/>
        <w:rPr>
          <w:rFonts w:ascii="Times New Roman" w:hAnsi="Times New Roman" w:cs="Times New Roman"/>
          <w:szCs w:val="24"/>
          <w:lang w:val="sr-Cyrl-CS"/>
        </w:rPr>
      </w:pPr>
      <w:r w:rsidRPr="00471C90">
        <w:rPr>
          <w:rFonts w:ascii="Times New Roman" w:hAnsi="Times New Roman" w:cs="Times New Roman"/>
          <w:bCs/>
          <w:szCs w:val="24"/>
          <w:lang w:val="sr-Cyrl-CS"/>
        </w:rPr>
        <w:t>Пословни модел</w:t>
      </w:r>
      <w:r w:rsidRPr="00471C90">
        <w:rPr>
          <w:rFonts w:ascii="Times New Roman" w:hAnsi="Times New Roman" w:cs="Times New Roman"/>
          <w:szCs w:val="24"/>
          <w:lang w:val="sr-Cyrl-CS"/>
        </w:rPr>
        <w:t xml:space="preserve"> (може укључивати пословање са кредитима, осигурањем, гаранцијама итд.): </w:t>
      </w:r>
      <w:r w:rsidR="00896016" w:rsidRPr="00471C90">
        <w:rPr>
          <w:rFonts w:ascii="Times New Roman" w:hAnsi="Times New Roman" w:cs="Times New Roman"/>
          <w:szCs w:val="24"/>
          <w:lang w:val="sr-Cyrl-CS"/>
        </w:rPr>
        <w:t>у</w:t>
      </w:r>
      <w:r w:rsidRPr="00471C90">
        <w:rPr>
          <w:rFonts w:ascii="Times New Roman" w:hAnsi="Times New Roman" w:cs="Times New Roman"/>
          <w:szCs w:val="24"/>
          <w:lang w:val="sr-Cyrl-CS"/>
        </w:rPr>
        <w:t>очене су следеће опције: (</w:t>
      </w:r>
      <w:r w:rsidR="00C478B4" w:rsidRPr="00471C90">
        <w:rPr>
          <w:rFonts w:ascii="Times New Roman" w:hAnsi="Times New Roman" w:cs="Times New Roman"/>
          <w:szCs w:val="24"/>
          <w:lang w:val="sr-Cyrl-CS"/>
        </w:rPr>
        <w:t>1</w:t>
      </w:r>
      <w:r w:rsidRPr="00471C90">
        <w:rPr>
          <w:rFonts w:ascii="Times New Roman" w:hAnsi="Times New Roman" w:cs="Times New Roman"/>
          <w:szCs w:val="24"/>
          <w:lang w:val="sr-Cyrl-CS"/>
        </w:rPr>
        <w:t>) све у једно</w:t>
      </w:r>
      <w:r w:rsidR="00896016" w:rsidRPr="00471C90">
        <w:rPr>
          <w:rFonts w:ascii="Times New Roman" w:hAnsi="Times New Roman" w:cs="Times New Roman"/>
          <w:szCs w:val="24"/>
          <w:lang w:val="sr-Cyrl-CS"/>
        </w:rPr>
        <w:t xml:space="preserve">ј </w:t>
      </w:r>
      <w:r w:rsidR="00896016" w:rsidRPr="00471C90">
        <w:rPr>
          <w:rFonts w:ascii="Times New Roman" w:hAnsi="Times New Roman" w:cs="Times New Roman"/>
          <w:bCs/>
          <w:szCs w:val="24"/>
          <w:lang w:val="sr-Cyrl-CS"/>
        </w:rPr>
        <w:t>развојној финансијској институцији</w:t>
      </w:r>
      <w:r w:rsidRPr="00471C90">
        <w:rPr>
          <w:rFonts w:ascii="Times New Roman" w:hAnsi="Times New Roman" w:cs="Times New Roman"/>
          <w:szCs w:val="24"/>
          <w:lang w:val="sr-Cyrl-CS"/>
        </w:rPr>
        <w:t>; (</w:t>
      </w:r>
      <w:r w:rsidR="00C478B4" w:rsidRPr="00471C90">
        <w:rPr>
          <w:rFonts w:ascii="Times New Roman" w:hAnsi="Times New Roman" w:cs="Times New Roman"/>
          <w:szCs w:val="24"/>
          <w:lang w:val="sr-Cyrl-CS"/>
        </w:rPr>
        <w:t>2</w:t>
      </w:r>
      <w:r w:rsidRPr="00471C90">
        <w:rPr>
          <w:rFonts w:ascii="Times New Roman" w:hAnsi="Times New Roman" w:cs="Times New Roman"/>
          <w:szCs w:val="24"/>
          <w:lang w:val="sr-Cyrl-CS"/>
        </w:rPr>
        <w:t>) дв</w:t>
      </w:r>
      <w:r w:rsidR="00896016" w:rsidRPr="00471C90">
        <w:rPr>
          <w:rFonts w:ascii="Times New Roman" w:hAnsi="Times New Roman" w:cs="Times New Roman"/>
          <w:szCs w:val="24"/>
          <w:lang w:val="sr-Cyrl-CS"/>
        </w:rPr>
        <w:t>е</w:t>
      </w:r>
      <w:r w:rsidRPr="00471C90">
        <w:rPr>
          <w:rFonts w:ascii="Times New Roman" w:hAnsi="Times New Roman" w:cs="Times New Roman"/>
          <w:szCs w:val="24"/>
          <w:lang w:val="sr-Cyrl-CS"/>
        </w:rPr>
        <w:t xml:space="preserve"> одвојен</w:t>
      </w:r>
      <w:r w:rsidR="00896016" w:rsidRPr="00471C90">
        <w:rPr>
          <w:rFonts w:ascii="Times New Roman" w:hAnsi="Times New Roman" w:cs="Times New Roman"/>
          <w:szCs w:val="24"/>
          <w:lang w:val="sr-Cyrl-CS"/>
        </w:rPr>
        <w:t>е</w:t>
      </w:r>
      <w:r w:rsidRPr="00471C90">
        <w:rPr>
          <w:rFonts w:ascii="Times New Roman" w:hAnsi="Times New Roman" w:cs="Times New Roman"/>
          <w:szCs w:val="24"/>
          <w:lang w:val="sr-Cyrl-CS"/>
        </w:rPr>
        <w:t xml:space="preserve"> </w:t>
      </w:r>
      <w:r w:rsidR="00896016" w:rsidRPr="00471C90">
        <w:rPr>
          <w:rFonts w:ascii="Times New Roman" w:hAnsi="Times New Roman" w:cs="Times New Roman"/>
          <w:bCs/>
          <w:szCs w:val="24"/>
          <w:lang w:val="sr-Cyrl-CS"/>
        </w:rPr>
        <w:t>развојне финансијске институције</w:t>
      </w:r>
      <w:r w:rsidRPr="00471C90">
        <w:rPr>
          <w:rFonts w:ascii="Times New Roman" w:hAnsi="Times New Roman" w:cs="Times New Roman"/>
          <w:szCs w:val="24"/>
          <w:lang w:val="sr-Cyrl-CS"/>
        </w:rPr>
        <w:t xml:space="preserve"> и (</w:t>
      </w:r>
      <w:r w:rsidR="00C478B4" w:rsidRPr="00471C90">
        <w:rPr>
          <w:rFonts w:ascii="Times New Roman" w:hAnsi="Times New Roman" w:cs="Times New Roman"/>
          <w:szCs w:val="24"/>
          <w:lang w:val="sr-Cyrl-CS"/>
        </w:rPr>
        <w:t>3</w:t>
      </w:r>
      <w:r w:rsidRPr="00471C90">
        <w:rPr>
          <w:rFonts w:ascii="Times New Roman" w:hAnsi="Times New Roman" w:cs="Times New Roman"/>
          <w:szCs w:val="24"/>
          <w:lang w:val="sr-Cyrl-CS"/>
        </w:rPr>
        <w:t>) дв</w:t>
      </w:r>
      <w:r w:rsidR="00896016" w:rsidRPr="00471C90">
        <w:rPr>
          <w:rFonts w:ascii="Times New Roman" w:hAnsi="Times New Roman" w:cs="Times New Roman"/>
          <w:szCs w:val="24"/>
          <w:lang w:val="sr-Cyrl-CS"/>
        </w:rPr>
        <w:t>е</w:t>
      </w:r>
      <w:r w:rsidRPr="00471C90">
        <w:rPr>
          <w:rFonts w:ascii="Times New Roman" w:hAnsi="Times New Roman" w:cs="Times New Roman"/>
          <w:szCs w:val="24"/>
          <w:lang w:val="sr-Cyrl-CS"/>
        </w:rPr>
        <w:t xml:space="preserve"> повезан</w:t>
      </w:r>
      <w:r w:rsidR="00896016" w:rsidRPr="00471C90">
        <w:rPr>
          <w:rFonts w:ascii="Times New Roman" w:hAnsi="Times New Roman" w:cs="Times New Roman"/>
          <w:szCs w:val="24"/>
          <w:lang w:val="sr-Cyrl-CS"/>
        </w:rPr>
        <w:t>е</w:t>
      </w:r>
      <w:r w:rsidRPr="00471C90">
        <w:rPr>
          <w:rFonts w:ascii="Times New Roman" w:hAnsi="Times New Roman" w:cs="Times New Roman"/>
          <w:szCs w:val="24"/>
          <w:lang w:val="sr-Cyrl-CS"/>
        </w:rPr>
        <w:t xml:space="preserve"> </w:t>
      </w:r>
      <w:r w:rsidR="00896016" w:rsidRPr="00471C90">
        <w:rPr>
          <w:rFonts w:ascii="Times New Roman" w:hAnsi="Times New Roman" w:cs="Times New Roman"/>
          <w:bCs/>
          <w:szCs w:val="24"/>
          <w:lang w:val="sr-Cyrl-CS"/>
        </w:rPr>
        <w:t>развојне финансијске институције</w:t>
      </w:r>
      <w:r w:rsidRPr="00471C90">
        <w:rPr>
          <w:rFonts w:ascii="Times New Roman" w:hAnsi="Times New Roman" w:cs="Times New Roman"/>
          <w:szCs w:val="24"/>
          <w:lang w:val="sr-Cyrl-CS"/>
        </w:rPr>
        <w:t>.</w:t>
      </w:r>
    </w:p>
    <w:p w14:paraId="163A9B13" w14:textId="4637C39E" w:rsidR="00C478B4" w:rsidRPr="00471C90" w:rsidRDefault="00C54625" w:rsidP="00A62168">
      <w:pPr>
        <w:pStyle w:val="ListParagraph"/>
        <w:numPr>
          <w:ilvl w:val="0"/>
          <w:numId w:val="36"/>
        </w:numPr>
        <w:tabs>
          <w:tab w:val="left" w:pos="1134"/>
        </w:tabs>
        <w:ind w:left="0" w:firstLine="851"/>
        <w:rPr>
          <w:rFonts w:ascii="Times New Roman" w:hAnsi="Times New Roman" w:cs="Times New Roman"/>
          <w:szCs w:val="24"/>
          <w:lang w:val="sr-Cyrl-CS"/>
        </w:rPr>
      </w:pPr>
      <w:r w:rsidRPr="00471C90">
        <w:rPr>
          <w:rFonts w:ascii="Times New Roman" w:hAnsi="Times New Roman" w:cs="Times New Roman"/>
          <w:bCs/>
          <w:szCs w:val="24"/>
          <w:lang w:val="sr-Cyrl-CS"/>
        </w:rPr>
        <w:t>Директан или индиректан приступ</w:t>
      </w:r>
      <w:r w:rsidRPr="00471C90">
        <w:rPr>
          <w:rFonts w:ascii="Times New Roman" w:hAnsi="Times New Roman" w:cs="Times New Roman"/>
          <w:szCs w:val="24"/>
          <w:lang w:val="sr-Cyrl-CS"/>
        </w:rPr>
        <w:t xml:space="preserve">: </w:t>
      </w:r>
      <w:r w:rsidR="00A62168" w:rsidRPr="00471C90">
        <w:rPr>
          <w:rFonts w:ascii="Times New Roman" w:hAnsi="Times New Roman" w:cs="Times New Roman"/>
          <w:szCs w:val="24"/>
          <w:lang w:val="sr-Cyrl-CS"/>
        </w:rPr>
        <w:t>к</w:t>
      </w:r>
      <w:r w:rsidRPr="00471C90">
        <w:rPr>
          <w:rFonts w:ascii="Times New Roman" w:hAnsi="Times New Roman" w:cs="Times New Roman"/>
          <w:szCs w:val="24"/>
          <w:lang w:val="sr-Cyrl-CS"/>
        </w:rPr>
        <w:t>омерцијални/продајни модел и организација су такође уско повезани са одлуком о томе колико ће се институција ослонити на (1) сопствене капацитете и директно приступити клијентима и/или (2) на агенте/партнере и њихове успостављене капацитете и мреже.</w:t>
      </w:r>
    </w:p>
    <w:p w14:paraId="50A1B71E" w14:textId="645854A5" w:rsidR="00C478B4" w:rsidRPr="00471C90" w:rsidRDefault="00C54625" w:rsidP="00A62168">
      <w:pPr>
        <w:pStyle w:val="ListParagraph"/>
        <w:numPr>
          <w:ilvl w:val="0"/>
          <w:numId w:val="36"/>
        </w:numPr>
        <w:tabs>
          <w:tab w:val="left" w:pos="1134"/>
        </w:tabs>
        <w:ind w:left="0" w:firstLine="851"/>
        <w:rPr>
          <w:rFonts w:ascii="Times New Roman" w:hAnsi="Times New Roman" w:cs="Times New Roman"/>
          <w:szCs w:val="24"/>
          <w:lang w:val="sr-Cyrl-CS"/>
        </w:rPr>
      </w:pPr>
      <w:r w:rsidRPr="00471C90">
        <w:rPr>
          <w:rFonts w:ascii="Times New Roman" w:hAnsi="Times New Roman" w:cs="Times New Roman"/>
          <w:bCs/>
          <w:szCs w:val="24"/>
          <w:lang w:val="sr-Cyrl-CS"/>
        </w:rPr>
        <w:t>Надлежни надзорни орган</w:t>
      </w:r>
      <w:r w:rsidRPr="00471C90">
        <w:rPr>
          <w:rFonts w:ascii="Times New Roman" w:hAnsi="Times New Roman" w:cs="Times New Roman"/>
          <w:szCs w:val="24"/>
          <w:lang w:val="sr-Cyrl-CS"/>
        </w:rPr>
        <w:t xml:space="preserve">: </w:t>
      </w:r>
      <w:r w:rsidR="00A62168" w:rsidRPr="00471C90">
        <w:rPr>
          <w:rFonts w:ascii="Times New Roman" w:hAnsi="Times New Roman" w:cs="Times New Roman"/>
          <w:szCs w:val="24"/>
          <w:lang w:val="sr-Cyrl-CS"/>
        </w:rPr>
        <w:t>н</w:t>
      </w:r>
      <w:r w:rsidR="00081698" w:rsidRPr="00471C90">
        <w:rPr>
          <w:rFonts w:ascii="Times New Roman" w:hAnsi="Times New Roman" w:cs="Times New Roman"/>
          <w:szCs w:val="24"/>
          <w:lang w:val="sr-Cyrl-CS"/>
        </w:rPr>
        <w:t xml:space="preserve">адлежност за вршење надзора </w:t>
      </w:r>
      <w:r w:rsidRPr="00471C90">
        <w:rPr>
          <w:rFonts w:ascii="Times New Roman" w:hAnsi="Times New Roman" w:cs="Times New Roman"/>
          <w:szCs w:val="24"/>
          <w:lang w:val="sr-Cyrl-CS"/>
        </w:rPr>
        <w:t xml:space="preserve">обично имају орган  задужен за надзор над финансијским институцијама (банкама, осигуравајућим друштвима, лизинг компанијама итд.) или </w:t>
      </w:r>
      <w:r w:rsidR="00CC7089" w:rsidRPr="00471C90">
        <w:rPr>
          <w:rFonts w:ascii="Times New Roman" w:hAnsi="Times New Roman" w:cs="Times New Roman"/>
          <w:szCs w:val="24"/>
          <w:lang w:val="sr-Cyrl-CS"/>
        </w:rPr>
        <w:t>Влада</w:t>
      </w:r>
      <w:r w:rsidRPr="00471C90">
        <w:rPr>
          <w:rFonts w:ascii="Times New Roman" w:hAnsi="Times New Roman" w:cs="Times New Roman"/>
          <w:szCs w:val="24"/>
          <w:lang w:val="sr-Cyrl-CS"/>
        </w:rPr>
        <w:t>.</w:t>
      </w:r>
    </w:p>
    <w:p w14:paraId="0E8D1756" w14:textId="0B822059" w:rsidR="00C478B4" w:rsidRPr="00471C90" w:rsidRDefault="00C54625" w:rsidP="00A62168">
      <w:pPr>
        <w:pStyle w:val="ListParagraph"/>
        <w:numPr>
          <w:ilvl w:val="0"/>
          <w:numId w:val="36"/>
        </w:numPr>
        <w:tabs>
          <w:tab w:val="left" w:pos="1134"/>
        </w:tabs>
        <w:ind w:left="0" w:firstLine="851"/>
        <w:rPr>
          <w:rFonts w:ascii="Times New Roman" w:hAnsi="Times New Roman" w:cs="Times New Roman"/>
          <w:szCs w:val="24"/>
          <w:lang w:val="sr-Cyrl-CS"/>
        </w:rPr>
      </w:pPr>
      <w:r w:rsidRPr="00471C90">
        <w:rPr>
          <w:rFonts w:ascii="Times New Roman" w:hAnsi="Times New Roman" w:cs="Times New Roman"/>
          <w:bCs/>
          <w:szCs w:val="24"/>
          <w:lang w:val="sr-Cyrl-CS"/>
        </w:rPr>
        <w:t>Мисија/сврха/циљеви</w:t>
      </w:r>
      <w:r w:rsidRPr="00471C90">
        <w:rPr>
          <w:rFonts w:ascii="Times New Roman" w:hAnsi="Times New Roman" w:cs="Times New Roman"/>
          <w:szCs w:val="24"/>
          <w:lang w:val="sr-Cyrl-CS"/>
        </w:rPr>
        <w:t xml:space="preserve">: </w:t>
      </w:r>
      <w:r w:rsidR="00A62168" w:rsidRPr="00471C90">
        <w:rPr>
          <w:rFonts w:ascii="Times New Roman" w:hAnsi="Times New Roman" w:cs="Times New Roman"/>
          <w:szCs w:val="24"/>
          <w:lang w:val="sr-Cyrl-CS"/>
        </w:rPr>
        <w:t>м</w:t>
      </w:r>
      <w:r w:rsidRPr="00471C90">
        <w:rPr>
          <w:rFonts w:ascii="Times New Roman" w:hAnsi="Times New Roman" w:cs="Times New Roman"/>
          <w:szCs w:val="24"/>
          <w:lang w:val="sr-Cyrl-CS"/>
        </w:rPr>
        <w:t>исија и сврха се могу донекле разликовати, али „развој</w:t>
      </w:r>
      <w:r w:rsidR="00A62168" w:rsidRPr="00471C90">
        <w:rPr>
          <w:rFonts w:ascii="Times New Roman" w:hAnsi="Times New Roman" w:cs="Times New Roman"/>
          <w:szCs w:val="24"/>
          <w:lang w:val="sr-Cyrl-CS"/>
        </w:rPr>
        <w:t>ˮ</w:t>
      </w:r>
      <w:r w:rsidRPr="00471C90">
        <w:rPr>
          <w:rFonts w:ascii="Times New Roman" w:hAnsi="Times New Roman" w:cs="Times New Roman"/>
          <w:szCs w:val="24"/>
          <w:lang w:val="sr-Cyrl-CS"/>
        </w:rPr>
        <w:t xml:space="preserve"> и „подржавање раста</w:t>
      </w:r>
      <w:r w:rsidR="00A62168" w:rsidRPr="00471C90">
        <w:rPr>
          <w:rFonts w:ascii="Times New Roman" w:hAnsi="Times New Roman" w:cs="Times New Roman"/>
          <w:szCs w:val="24"/>
          <w:lang w:val="sr-Cyrl-CS"/>
        </w:rPr>
        <w:t>ˮ</w:t>
      </w:r>
      <w:r w:rsidRPr="00471C90">
        <w:rPr>
          <w:rFonts w:ascii="Times New Roman" w:hAnsi="Times New Roman" w:cs="Times New Roman"/>
          <w:szCs w:val="24"/>
          <w:lang w:val="sr-Cyrl-CS"/>
        </w:rPr>
        <w:t xml:space="preserve"> су </w:t>
      </w:r>
      <w:r w:rsidR="00081698" w:rsidRPr="00471C90">
        <w:rPr>
          <w:rFonts w:ascii="Times New Roman" w:hAnsi="Times New Roman" w:cs="Times New Roman"/>
          <w:szCs w:val="24"/>
          <w:lang w:val="sr-Cyrl-CS"/>
        </w:rPr>
        <w:t>основни циљеви</w:t>
      </w:r>
      <w:r w:rsidRPr="00471C90">
        <w:rPr>
          <w:rFonts w:ascii="Times New Roman" w:hAnsi="Times New Roman" w:cs="Times New Roman"/>
          <w:szCs w:val="24"/>
          <w:lang w:val="sr-Cyrl-CS"/>
        </w:rPr>
        <w:t xml:space="preserve">. </w:t>
      </w:r>
      <w:r w:rsidR="00081698" w:rsidRPr="00471C90">
        <w:rPr>
          <w:rFonts w:ascii="Times New Roman" w:hAnsi="Times New Roman" w:cs="Times New Roman"/>
          <w:szCs w:val="24"/>
          <w:lang w:val="sr-Cyrl-CS"/>
        </w:rPr>
        <w:t>Иако над развојним институцијама и над комерцијалним субјектима надзор обично врше иста тела. Од кључне важности су разлике у</w:t>
      </w:r>
      <w:r w:rsidR="00471C90">
        <w:rPr>
          <w:rFonts w:ascii="Times New Roman" w:hAnsi="Times New Roman" w:cs="Times New Roman"/>
          <w:szCs w:val="24"/>
          <w:lang w:val="en-US"/>
        </w:rPr>
        <w:t xml:space="preserve"> </w:t>
      </w:r>
      <w:r w:rsidR="00081698" w:rsidRPr="00471C90">
        <w:rPr>
          <w:rFonts w:ascii="Times New Roman" w:hAnsi="Times New Roman" w:cs="Times New Roman"/>
          <w:szCs w:val="24"/>
          <w:lang w:val="sr-Cyrl-CS"/>
        </w:rPr>
        <w:t xml:space="preserve">мисији </w:t>
      </w:r>
      <w:r w:rsidRPr="00471C90">
        <w:rPr>
          <w:rFonts w:ascii="Times New Roman" w:hAnsi="Times New Roman" w:cs="Times New Roman"/>
          <w:szCs w:val="24"/>
          <w:lang w:val="sr-Cyrl-CS"/>
        </w:rPr>
        <w:t xml:space="preserve">и </w:t>
      </w:r>
      <w:r w:rsidR="00081698" w:rsidRPr="00471C90">
        <w:rPr>
          <w:rFonts w:ascii="Times New Roman" w:hAnsi="Times New Roman" w:cs="Times New Roman"/>
          <w:szCs w:val="24"/>
          <w:lang w:val="sr-Cyrl-CS"/>
        </w:rPr>
        <w:t>свр</w:t>
      </w:r>
      <w:r w:rsidR="00C478B4" w:rsidRPr="00471C90">
        <w:rPr>
          <w:rFonts w:ascii="Times New Roman" w:hAnsi="Times New Roman" w:cs="Times New Roman"/>
          <w:szCs w:val="24"/>
          <w:lang w:val="sr-Cyrl-CS"/>
        </w:rPr>
        <w:t>с</w:t>
      </w:r>
      <w:r w:rsidR="00081698" w:rsidRPr="00471C90">
        <w:rPr>
          <w:rFonts w:ascii="Times New Roman" w:hAnsi="Times New Roman" w:cs="Times New Roman"/>
          <w:szCs w:val="24"/>
          <w:lang w:val="sr-Cyrl-CS"/>
        </w:rPr>
        <w:t xml:space="preserve">и </w:t>
      </w:r>
      <w:r w:rsidRPr="00471C90">
        <w:rPr>
          <w:rFonts w:ascii="Times New Roman" w:hAnsi="Times New Roman" w:cs="Times New Roman"/>
          <w:szCs w:val="24"/>
          <w:lang w:val="sr-Cyrl-CS"/>
        </w:rPr>
        <w:t xml:space="preserve">таквих институција </w:t>
      </w:r>
      <w:r w:rsidR="00081698" w:rsidRPr="00471C90">
        <w:rPr>
          <w:rFonts w:ascii="Times New Roman" w:hAnsi="Times New Roman" w:cs="Times New Roman"/>
          <w:szCs w:val="24"/>
          <w:lang w:val="sr-Cyrl-CS"/>
        </w:rPr>
        <w:t>у односу на комерцијалне субјекте</w:t>
      </w:r>
      <w:r w:rsidRPr="00471C90">
        <w:rPr>
          <w:rFonts w:ascii="Times New Roman" w:hAnsi="Times New Roman" w:cs="Times New Roman"/>
          <w:szCs w:val="24"/>
          <w:lang w:val="sr-Cyrl-CS"/>
        </w:rPr>
        <w:t xml:space="preserve">. </w:t>
      </w:r>
      <w:r w:rsidR="00081698" w:rsidRPr="00471C90">
        <w:rPr>
          <w:rFonts w:ascii="Times New Roman" w:hAnsi="Times New Roman" w:cs="Times New Roman"/>
          <w:szCs w:val="24"/>
          <w:lang w:val="sr-Cyrl-CS"/>
        </w:rPr>
        <w:t xml:space="preserve">Важан </w:t>
      </w:r>
      <w:r w:rsidRPr="00471C90">
        <w:rPr>
          <w:rFonts w:ascii="Times New Roman" w:hAnsi="Times New Roman" w:cs="Times New Roman"/>
          <w:szCs w:val="24"/>
          <w:lang w:val="sr-Cyrl-CS"/>
        </w:rPr>
        <w:t>је фокус на подржавању раста и развоја. Међутим, да би пословање било одрживо на дужи рок, морају постојати адекватно управљање</w:t>
      </w:r>
      <w:r w:rsidR="00081698" w:rsidRPr="00471C90">
        <w:rPr>
          <w:rFonts w:ascii="Times New Roman" w:hAnsi="Times New Roman" w:cs="Times New Roman"/>
          <w:szCs w:val="24"/>
          <w:lang w:val="sr-Cyrl-CS"/>
        </w:rPr>
        <w:t xml:space="preserve"> привредним субјектима</w:t>
      </w:r>
      <w:r w:rsidRPr="00471C90">
        <w:rPr>
          <w:rFonts w:ascii="Times New Roman" w:hAnsi="Times New Roman" w:cs="Times New Roman"/>
          <w:szCs w:val="24"/>
          <w:lang w:val="sr-Cyrl-CS"/>
        </w:rPr>
        <w:t xml:space="preserve">, управљање ризиком и управљање </w:t>
      </w:r>
      <w:r w:rsidR="00081698" w:rsidRPr="00471C90">
        <w:rPr>
          <w:rFonts w:ascii="Times New Roman" w:hAnsi="Times New Roman" w:cs="Times New Roman"/>
          <w:szCs w:val="24"/>
          <w:lang w:val="sr-Cyrl-CS"/>
        </w:rPr>
        <w:t>учинком</w:t>
      </w:r>
      <w:r w:rsidRPr="00471C90">
        <w:rPr>
          <w:rFonts w:ascii="Times New Roman" w:hAnsi="Times New Roman" w:cs="Times New Roman"/>
          <w:szCs w:val="24"/>
          <w:lang w:val="sr-Cyrl-CS"/>
        </w:rPr>
        <w:t>.</w:t>
      </w:r>
      <w:r w:rsidR="00C478B4" w:rsidRPr="00471C90">
        <w:rPr>
          <w:rFonts w:ascii="Times New Roman" w:hAnsi="Times New Roman" w:cs="Times New Roman"/>
          <w:szCs w:val="24"/>
          <w:lang w:val="sr-Cyrl-CS"/>
        </w:rPr>
        <w:t xml:space="preserve"> </w:t>
      </w:r>
    </w:p>
    <w:p w14:paraId="6180B75B" w14:textId="68181A44" w:rsidR="00C54625" w:rsidRPr="00471C90" w:rsidRDefault="00C54625" w:rsidP="00A62168">
      <w:pPr>
        <w:pStyle w:val="ListParagraph"/>
        <w:numPr>
          <w:ilvl w:val="0"/>
          <w:numId w:val="36"/>
        </w:numPr>
        <w:tabs>
          <w:tab w:val="left" w:pos="1134"/>
        </w:tabs>
        <w:ind w:left="0" w:firstLine="851"/>
        <w:rPr>
          <w:rFonts w:ascii="Times New Roman" w:hAnsi="Times New Roman" w:cs="Times New Roman"/>
          <w:szCs w:val="24"/>
          <w:lang w:val="sr-Cyrl-CS"/>
        </w:rPr>
      </w:pPr>
      <w:r w:rsidRPr="00471C90">
        <w:rPr>
          <w:rFonts w:ascii="Times New Roman" w:hAnsi="Times New Roman" w:cs="Times New Roman"/>
          <w:bCs/>
          <w:szCs w:val="24"/>
          <w:lang w:val="sr-Cyrl-CS"/>
        </w:rPr>
        <w:t>Финансирање</w:t>
      </w:r>
      <w:r w:rsidRPr="00471C90">
        <w:rPr>
          <w:rFonts w:ascii="Times New Roman" w:hAnsi="Times New Roman" w:cs="Times New Roman"/>
          <w:szCs w:val="24"/>
          <w:lang w:val="sr-Cyrl-CS"/>
        </w:rPr>
        <w:t xml:space="preserve">: </w:t>
      </w:r>
      <w:r w:rsidR="00A62168" w:rsidRPr="00471C90">
        <w:rPr>
          <w:rFonts w:ascii="Times New Roman" w:hAnsi="Times New Roman" w:cs="Times New Roman"/>
          <w:szCs w:val="24"/>
          <w:lang w:val="sr-Cyrl-CS"/>
        </w:rPr>
        <w:t>о</w:t>
      </w:r>
      <w:r w:rsidRPr="00471C90">
        <w:rPr>
          <w:rFonts w:ascii="Times New Roman" w:hAnsi="Times New Roman" w:cs="Times New Roman"/>
          <w:szCs w:val="24"/>
          <w:lang w:val="sr-Cyrl-CS"/>
        </w:rPr>
        <w:t>безбеђивање одговарајућег финансирања је пресудно за постизање одговарајуће величине и капацитета институција. Извори финансирања могу бити следећи: (1) државно финансирање; (2) међународне финансијске институције и (3) спољно финансирање (нпр. депозити и обвезнице којима се јавно тргује).</w:t>
      </w:r>
    </w:p>
    <w:p w14:paraId="5924968C" w14:textId="70B47AD6" w:rsidR="007D3D6C" w:rsidRPr="00471C90" w:rsidRDefault="00C54625">
      <w:pPr>
        <w:ind w:firstLine="432"/>
        <w:jc w:val="both"/>
        <w:rPr>
          <w:rFonts w:cs="Times New Roman"/>
          <w:szCs w:val="24"/>
          <w:lang w:val="sr-Cyrl-CS"/>
        </w:rPr>
      </w:pPr>
      <w:r w:rsidRPr="00471C90">
        <w:rPr>
          <w:rFonts w:cs="Times New Roman"/>
          <w:szCs w:val="24"/>
          <w:lang w:val="sr-Cyrl-CS"/>
        </w:rPr>
        <w:t xml:space="preserve">Закључци из упоредне анализе били су од великог значаја у дизајнирању мера предложених за унапређење постојеће мреже за развојно финансирање у </w:t>
      </w:r>
      <w:r w:rsidR="00A679D3" w:rsidRPr="00471C90">
        <w:rPr>
          <w:rFonts w:cs="Times New Roman"/>
          <w:szCs w:val="24"/>
          <w:lang w:val="sr-Cyrl-CS"/>
        </w:rPr>
        <w:t xml:space="preserve">Републици </w:t>
      </w:r>
      <w:r w:rsidRPr="00471C90">
        <w:rPr>
          <w:rFonts w:cs="Times New Roman"/>
          <w:szCs w:val="24"/>
          <w:lang w:val="sr-Cyrl-CS"/>
        </w:rPr>
        <w:t>Србији.</w:t>
      </w:r>
    </w:p>
    <w:p w14:paraId="09E86484" w14:textId="5976D24E" w:rsidR="00A679D3" w:rsidRPr="00471C90" w:rsidRDefault="00A679D3" w:rsidP="00587627">
      <w:pPr>
        <w:pStyle w:val="Heading1"/>
        <w:numPr>
          <w:ilvl w:val="0"/>
          <w:numId w:val="0"/>
        </w:numPr>
        <w:jc w:val="center"/>
        <w:rPr>
          <w:rFonts w:cs="Times New Roman"/>
          <w:b w:val="0"/>
          <w:sz w:val="24"/>
          <w:szCs w:val="24"/>
          <w:lang w:val="sr-Cyrl-CS"/>
        </w:rPr>
      </w:pPr>
      <w:bookmarkStart w:id="4" w:name="_Toc86450214"/>
      <w:r w:rsidRPr="00471C90">
        <w:rPr>
          <w:rFonts w:cs="Times New Roman"/>
          <w:b w:val="0"/>
          <w:sz w:val="24"/>
          <w:szCs w:val="24"/>
          <w:lang w:val="sr-Cyrl-CS"/>
        </w:rPr>
        <w:t>II</w:t>
      </w:r>
      <w:r w:rsidR="0042411C" w:rsidRPr="00471C90">
        <w:rPr>
          <w:rFonts w:cs="Times New Roman"/>
          <w:b w:val="0"/>
          <w:sz w:val="24"/>
          <w:szCs w:val="24"/>
          <w:lang w:val="sr-Cyrl-CS"/>
        </w:rPr>
        <w:t>I</w:t>
      </w:r>
      <w:r w:rsidRPr="00471C90">
        <w:rPr>
          <w:rFonts w:cs="Times New Roman"/>
          <w:b w:val="0"/>
          <w:sz w:val="24"/>
          <w:szCs w:val="24"/>
          <w:lang w:val="sr-Cyrl-CS"/>
        </w:rPr>
        <w:t>.</w:t>
      </w:r>
      <w:bookmarkEnd w:id="4"/>
      <w:r w:rsidR="0067215E" w:rsidRPr="00471C90">
        <w:rPr>
          <w:rFonts w:cs="Times New Roman"/>
          <w:b w:val="0"/>
          <w:sz w:val="24"/>
          <w:szCs w:val="24"/>
          <w:lang w:val="sr-Cyrl-CS"/>
        </w:rPr>
        <w:t xml:space="preserve"> </w:t>
      </w:r>
      <w:r w:rsidR="00BA3932" w:rsidRPr="00471C90">
        <w:rPr>
          <w:rFonts w:cs="Times New Roman"/>
          <w:b w:val="0"/>
          <w:sz w:val="24"/>
          <w:szCs w:val="24"/>
          <w:lang w:val="sr-Cyrl-CS"/>
        </w:rPr>
        <w:t>ОПИС ЖЕЉЕНЕ ПРОМЕНЕ</w:t>
      </w:r>
    </w:p>
    <w:p w14:paraId="4C206B90" w14:textId="7FB48B73" w:rsidR="00FA29A3" w:rsidRPr="00471C90" w:rsidRDefault="00566BA8" w:rsidP="00AE0CA2">
      <w:pPr>
        <w:ind w:firstLine="708"/>
        <w:jc w:val="both"/>
        <w:rPr>
          <w:rFonts w:cs="Times New Roman"/>
          <w:szCs w:val="24"/>
          <w:lang w:val="sr-Cyrl-CS"/>
        </w:rPr>
      </w:pPr>
      <w:r w:rsidRPr="00471C90">
        <w:rPr>
          <w:rFonts w:cs="Times New Roman"/>
          <w:szCs w:val="24"/>
          <w:lang w:val="sr-Cyrl-CS"/>
        </w:rPr>
        <w:t xml:space="preserve">Основни циљ </w:t>
      </w:r>
      <w:r w:rsidR="00FA29A3" w:rsidRPr="00471C90">
        <w:rPr>
          <w:rFonts w:cs="Times New Roman"/>
          <w:szCs w:val="24"/>
          <w:lang w:val="sr-Cyrl-CS"/>
        </w:rPr>
        <w:t xml:space="preserve">је унапређење институционалног и </w:t>
      </w:r>
      <w:r w:rsidR="00926922" w:rsidRPr="00471C90">
        <w:rPr>
          <w:rFonts w:cs="Times New Roman"/>
          <w:szCs w:val="24"/>
          <w:lang w:val="sr-Cyrl-CS"/>
        </w:rPr>
        <w:t xml:space="preserve">законодавног </w:t>
      </w:r>
      <w:r w:rsidR="00FA29A3" w:rsidRPr="00471C90">
        <w:rPr>
          <w:rFonts w:cs="Times New Roman"/>
          <w:szCs w:val="24"/>
          <w:lang w:val="sr-Cyrl-CS"/>
        </w:rPr>
        <w:t>оквира за развојно финансирање, са циљем јачања положаја предузећа</w:t>
      </w:r>
      <w:r w:rsidRPr="00471C90">
        <w:rPr>
          <w:rFonts w:cs="Times New Roman"/>
          <w:szCs w:val="24"/>
          <w:lang w:val="sr-Cyrl-CS"/>
        </w:rPr>
        <w:t xml:space="preserve"> </w:t>
      </w:r>
      <w:r w:rsidR="0067215E" w:rsidRPr="00471C90">
        <w:rPr>
          <w:rFonts w:cs="Times New Roman"/>
          <w:szCs w:val="24"/>
          <w:lang w:val="sr-Cyrl-CS"/>
        </w:rPr>
        <w:t xml:space="preserve">и предузетника </w:t>
      </w:r>
      <w:r w:rsidRPr="00471C90">
        <w:rPr>
          <w:rFonts w:cs="Times New Roman"/>
          <w:szCs w:val="24"/>
          <w:lang w:val="sr-Cyrl-CS"/>
        </w:rPr>
        <w:t>у Републици Србији</w:t>
      </w:r>
      <w:r w:rsidR="00FA29A3" w:rsidRPr="00471C90">
        <w:rPr>
          <w:rFonts w:cs="Times New Roman"/>
          <w:szCs w:val="24"/>
          <w:lang w:val="sr-Cyrl-CS"/>
        </w:rPr>
        <w:t xml:space="preserve">. Смањење јаза у финансирању, као резултат унапређеног оквира, требало би да подржи развој предузетништва и конкурентности. Сходно томе, биће повећана спремност за појачану конкуренцију на заједничком тржишту </w:t>
      </w:r>
      <w:r w:rsidR="00A679D3" w:rsidRPr="00471C90">
        <w:rPr>
          <w:rFonts w:cs="Times New Roman"/>
          <w:szCs w:val="24"/>
          <w:lang w:val="sr-Cyrl-CS"/>
        </w:rPr>
        <w:t>Eвропске уније</w:t>
      </w:r>
      <w:r w:rsidR="00FA29A3" w:rsidRPr="00471C90">
        <w:rPr>
          <w:rFonts w:cs="Times New Roman"/>
          <w:szCs w:val="24"/>
          <w:lang w:val="sr-Cyrl-CS"/>
        </w:rPr>
        <w:t xml:space="preserve">, даље доводећи до повећања економске активности и животног стандарда у Републици Србији. Такав </w:t>
      </w:r>
      <w:r w:rsidR="00FA29A3" w:rsidRPr="00471C90">
        <w:rPr>
          <w:rFonts w:cs="Times New Roman"/>
          <w:szCs w:val="24"/>
          <w:lang w:val="sr-Cyrl-CS"/>
        </w:rPr>
        <w:lastRenderedPageBreak/>
        <w:t xml:space="preserve">институционални и </w:t>
      </w:r>
      <w:r w:rsidR="00C478B4" w:rsidRPr="00471C90">
        <w:rPr>
          <w:rFonts w:cs="Times New Roman"/>
          <w:szCs w:val="24"/>
          <w:lang w:val="sr-Cyrl-CS"/>
        </w:rPr>
        <w:t xml:space="preserve">законодавни </w:t>
      </w:r>
      <w:r w:rsidR="00FA29A3" w:rsidRPr="00471C90">
        <w:rPr>
          <w:rFonts w:cs="Times New Roman"/>
          <w:szCs w:val="24"/>
          <w:lang w:val="sr-Cyrl-CS"/>
        </w:rPr>
        <w:t xml:space="preserve">оквир треба да обезбеди позитиван утицај на извозне активности кроз побољшање приступа финансирању извоза, стварајући боље окружење за нова предузећа и могућности за раст финансирања капиталом. Поред тога, институције задужене за развојно финансирање треба да буду довољно оспособљене да делују у непредвидивим економским ситуацијама као што је пандемија </w:t>
      </w:r>
      <w:r w:rsidR="000E1B3A" w:rsidRPr="00471C90">
        <w:rPr>
          <w:rFonts w:cs="Times New Roman"/>
          <w:szCs w:val="24"/>
          <w:lang w:val="sr-Cyrl-CS"/>
        </w:rPr>
        <w:t>COVID</w:t>
      </w:r>
      <w:r w:rsidR="00FA29A3" w:rsidRPr="00471C90">
        <w:rPr>
          <w:rFonts w:cs="Times New Roman"/>
          <w:szCs w:val="24"/>
          <w:lang w:val="sr-Cyrl-CS"/>
        </w:rPr>
        <w:t>-19, на начин да ублаже негативне ефекте оваквих догађаја. Коначно, институције за развојно финансирање не би требало да се такмиче са постојећим комерцијалним повериоцима, већ да кроз сарадњу остваре синергију која би довела до даљег смањивања јаза у финансирању.</w:t>
      </w:r>
    </w:p>
    <w:p w14:paraId="0B609050" w14:textId="1E3D6CFA" w:rsidR="00562472" w:rsidRPr="00471C90" w:rsidRDefault="0099466E" w:rsidP="00587627">
      <w:pPr>
        <w:ind w:firstLine="708"/>
        <w:jc w:val="both"/>
        <w:rPr>
          <w:rFonts w:cs="Times New Roman"/>
          <w:szCs w:val="24"/>
          <w:lang w:val="sr-Cyrl-CS"/>
        </w:rPr>
      </w:pPr>
      <w:r w:rsidRPr="00471C90">
        <w:rPr>
          <w:rFonts w:cs="Times New Roman"/>
          <w:szCs w:val="24"/>
          <w:lang w:val="sr-Cyrl-CS"/>
        </w:rPr>
        <w:t>Постизањем жељене промене</w:t>
      </w:r>
      <w:r w:rsidR="00562472" w:rsidRPr="00471C90">
        <w:rPr>
          <w:rFonts w:cs="Times New Roman"/>
          <w:szCs w:val="24"/>
          <w:lang w:val="sr-Cyrl-CS"/>
        </w:rPr>
        <w:t xml:space="preserve"> и остварењем општег и посебних циљева, дошло би до смањења јаза у финансирању, што доводи до </w:t>
      </w:r>
      <w:r w:rsidR="00562472" w:rsidRPr="00471C90">
        <w:rPr>
          <w:rFonts w:cs="Times New Roman"/>
          <w:bCs/>
          <w:szCs w:val="24"/>
          <w:lang w:val="sr-Cyrl-CS"/>
        </w:rPr>
        <w:t>три главне користи</w:t>
      </w:r>
      <w:r w:rsidR="00562472" w:rsidRPr="00471C90">
        <w:rPr>
          <w:rFonts w:cs="Times New Roman"/>
          <w:szCs w:val="24"/>
          <w:lang w:val="sr-Cyrl-CS"/>
        </w:rPr>
        <w:t>:</w:t>
      </w:r>
    </w:p>
    <w:p w14:paraId="2343FA71" w14:textId="4C56B86F" w:rsidR="00786775" w:rsidRPr="00471C90" w:rsidRDefault="00562472" w:rsidP="00590037">
      <w:pPr>
        <w:pStyle w:val="ListParagraph"/>
        <w:numPr>
          <w:ilvl w:val="0"/>
          <w:numId w:val="37"/>
        </w:numPr>
        <w:tabs>
          <w:tab w:val="left" w:pos="993"/>
        </w:tabs>
        <w:ind w:left="0" w:firstLine="709"/>
        <w:rPr>
          <w:rFonts w:ascii="Times New Roman" w:hAnsi="Times New Roman" w:cs="Times New Roman"/>
          <w:szCs w:val="24"/>
          <w:lang w:val="sr-Cyrl-CS"/>
        </w:rPr>
      </w:pPr>
      <w:r w:rsidRPr="00471C90">
        <w:rPr>
          <w:rFonts w:ascii="Times New Roman" w:hAnsi="Times New Roman" w:cs="Times New Roman"/>
          <w:bCs/>
          <w:szCs w:val="24"/>
          <w:lang w:val="sr-Cyrl-CS"/>
        </w:rPr>
        <w:t>Пораст БДП</w:t>
      </w:r>
      <w:r w:rsidRPr="00471C90">
        <w:rPr>
          <w:rFonts w:ascii="Times New Roman" w:hAnsi="Times New Roman" w:cs="Times New Roman"/>
          <w:szCs w:val="24"/>
          <w:lang w:val="sr-Cyrl-CS"/>
        </w:rPr>
        <w:t xml:space="preserve"> - </w:t>
      </w:r>
      <w:r w:rsidR="00590037" w:rsidRPr="00471C90">
        <w:rPr>
          <w:rFonts w:ascii="Times New Roman" w:hAnsi="Times New Roman" w:cs="Times New Roman"/>
          <w:szCs w:val="24"/>
          <w:lang w:val="sr-Cyrl-CS"/>
        </w:rPr>
        <w:t>л</w:t>
      </w:r>
      <w:r w:rsidRPr="00471C90">
        <w:rPr>
          <w:rFonts w:ascii="Times New Roman" w:hAnsi="Times New Roman" w:cs="Times New Roman"/>
          <w:szCs w:val="24"/>
          <w:lang w:val="sr-Cyrl-CS"/>
        </w:rPr>
        <w:t xml:space="preserve">акши приступ МСП изворима финансирања омогућиће таквим предузећима да повећају инвестиције и своје производне активности, што доводи до већег раста БДП-а. Регресиони модели примењени на доступне податке </w:t>
      </w:r>
      <w:r w:rsidR="001757D5" w:rsidRPr="00471C90">
        <w:rPr>
          <w:rFonts w:ascii="Times New Roman" w:hAnsi="Times New Roman" w:cs="Times New Roman"/>
          <w:szCs w:val="24"/>
          <w:lang w:val="sr-Cyrl-CS"/>
        </w:rPr>
        <w:t>АПР-а</w:t>
      </w:r>
      <w:r w:rsidRPr="00471C90">
        <w:rPr>
          <w:rFonts w:ascii="Times New Roman" w:hAnsi="Times New Roman" w:cs="Times New Roman"/>
          <w:szCs w:val="24"/>
          <w:lang w:val="sr-Cyrl-CS"/>
        </w:rPr>
        <w:t>, Министарства финансија и Народне банке Србије показују да повећање укупног дуга МСП за један динар доводи до повећања БДП-а од 0,64 динара. Дакле, ако се јаз у финансирању банака смањи за 1%, односно између 200,20 и 266,93 милиона динара, позитиван ефекат би био повећање БДП-а у распону од 128,13 до 170,83 милиона динара у првој години.</w:t>
      </w:r>
    </w:p>
    <w:p w14:paraId="56552C3D" w14:textId="35EE4554" w:rsidR="00590037" w:rsidRPr="00471C90" w:rsidRDefault="00562472" w:rsidP="00590037">
      <w:pPr>
        <w:pStyle w:val="ListParagraph"/>
        <w:numPr>
          <w:ilvl w:val="0"/>
          <w:numId w:val="37"/>
        </w:numPr>
        <w:tabs>
          <w:tab w:val="left" w:pos="993"/>
        </w:tabs>
        <w:ind w:left="0" w:firstLine="709"/>
        <w:rPr>
          <w:rFonts w:ascii="Times New Roman" w:hAnsi="Times New Roman" w:cs="Times New Roman"/>
          <w:szCs w:val="24"/>
          <w:lang w:val="sr-Cyrl-CS"/>
        </w:rPr>
      </w:pPr>
      <w:r w:rsidRPr="00471C90">
        <w:rPr>
          <w:rFonts w:ascii="Times New Roman" w:hAnsi="Times New Roman" w:cs="Times New Roman"/>
          <w:bCs/>
          <w:szCs w:val="24"/>
          <w:lang w:val="sr-Cyrl-CS"/>
        </w:rPr>
        <w:t>Пораст извоза</w:t>
      </w:r>
      <w:r w:rsidRPr="00471C90">
        <w:rPr>
          <w:rFonts w:ascii="Times New Roman" w:hAnsi="Times New Roman" w:cs="Times New Roman"/>
          <w:szCs w:val="24"/>
          <w:lang w:val="sr-Cyrl-CS"/>
        </w:rPr>
        <w:t xml:space="preserve"> - </w:t>
      </w:r>
      <w:r w:rsidR="00590037" w:rsidRPr="00471C90">
        <w:rPr>
          <w:rFonts w:ascii="Times New Roman" w:hAnsi="Times New Roman" w:cs="Times New Roman"/>
          <w:szCs w:val="24"/>
          <w:lang w:val="sr-Cyrl-CS"/>
        </w:rPr>
        <w:t>т</w:t>
      </w:r>
      <w:r w:rsidRPr="00471C90">
        <w:rPr>
          <w:rFonts w:ascii="Times New Roman" w:hAnsi="Times New Roman" w:cs="Times New Roman"/>
          <w:szCs w:val="24"/>
          <w:lang w:val="sr-Cyrl-CS"/>
        </w:rPr>
        <w:t>ренутно у структури извоза</w:t>
      </w:r>
      <w:r w:rsidR="00A679D3" w:rsidRPr="00471C90">
        <w:rPr>
          <w:rFonts w:ascii="Times New Roman" w:hAnsi="Times New Roman" w:cs="Times New Roman"/>
          <w:szCs w:val="24"/>
          <w:lang w:val="sr-Cyrl-CS"/>
        </w:rPr>
        <w:t xml:space="preserve"> Републике</w:t>
      </w:r>
      <w:r w:rsidRPr="00471C90">
        <w:rPr>
          <w:rFonts w:ascii="Times New Roman" w:hAnsi="Times New Roman" w:cs="Times New Roman"/>
          <w:szCs w:val="24"/>
          <w:lang w:val="sr-Cyrl-CS"/>
        </w:rPr>
        <w:t xml:space="preserve"> Србије доминирају </w:t>
      </w:r>
      <w:r w:rsidR="00A679D3" w:rsidRPr="00471C90">
        <w:rPr>
          <w:rFonts w:ascii="Times New Roman" w:hAnsi="Times New Roman" w:cs="Times New Roman"/>
          <w:szCs w:val="24"/>
          <w:lang w:val="sr-Cyrl-CS"/>
        </w:rPr>
        <w:t>велика предузећа</w:t>
      </w:r>
      <w:r w:rsidRPr="00471C90">
        <w:rPr>
          <w:rFonts w:ascii="Times New Roman" w:hAnsi="Times New Roman" w:cs="Times New Roman"/>
          <w:szCs w:val="24"/>
          <w:lang w:val="sr-Cyrl-CS"/>
        </w:rPr>
        <w:t xml:space="preserve"> </w:t>
      </w:r>
      <w:r w:rsidR="00A679D3" w:rsidRPr="00471C90">
        <w:rPr>
          <w:rFonts w:ascii="Times New Roman" w:hAnsi="Times New Roman" w:cs="Times New Roman"/>
          <w:szCs w:val="24"/>
          <w:lang w:val="sr-Cyrl-CS"/>
        </w:rPr>
        <w:t xml:space="preserve">која </w:t>
      </w:r>
      <w:r w:rsidRPr="00471C90">
        <w:rPr>
          <w:rFonts w:ascii="Times New Roman" w:hAnsi="Times New Roman" w:cs="Times New Roman"/>
          <w:szCs w:val="24"/>
          <w:lang w:val="sr-Cyrl-CS"/>
        </w:rPr>
        <w:t xml:space="preserve">имају довољна финансијска средства и/или лакши приступ финансијама потребним да би се достигли високи стандарди на страним тржиштима у погледу дистрибуције, маркетинга и брендирања. </w:t>
      </w:r>
      <w:r w:rsidR="00D33B90" w:rsidRPr="00471C90">
        <w:rPr>
          <w:rFonts w:ascii="Times New Roman" w:hAnsi="Times New Roman" w:cs="Times New Roman"/>
          <w:szCs w:val="24"/>
          <w:lang w:val="sr-Cyrl-CS"/>
        </w:rPr>
        <w:t>П</w:t>
      </w:r>
      <w:r w:rsidRPr="00471C90">
        <w:rPr>
          <w:rFonts w:ascii="Times New Roman" w:hAnsi="Times New Roman" w:cs="Times New Roman"/>
          <w:szCs w:val="24"/>
          <w:lang w:val="sr-Cyrl-CS"/>
        </w:rPr>
        <w:t xml:space="preserve">обољшањем приступа финансијама, </w:t>
      </w:r>
      <w:r w:rsidR="00D33B90" w:rsidRPr="00471C90">
        <w:rPr>
          <w:rFonts w:ascii="Times New Roman" w:hAnsi="Times New Roman" w:cs="Times New Roman"/>
          <w:szCs w:val="24"/>
          <w:lang w:val="sr-Cyrl-CS"/>
        </w:rPr>
        <w:t>доносиоци прописа</w:t>
      </w:r>
      <w:r w:rsidRPr="00471C90">
        <w:rPr>
          <w:rFonts w:ascii="Times New Roman" w:hAnsi="Times New Roman" w:cs="Times New Roman"/>
          <w:szCs w:val="24"/>
          <w:lang w:val="sr-Cyrl-CS"/>
        </w:rPr>
        <w:t xml:space="preserve"> подстичу </w:t>
      </w:r>
      <w:r w:rsidR="00D33B90" w:rsidRPr="00471C90">
        <w:rPr>
          <w:rFonts w:ascii="Times New Roman" w:hAnsi="Times New Roman" w:cs="Times New Roman"/>
          <w:szCs w:val="24"/>
          <w:lang w:val="sr-Cyrl-CS"/>
        </w:rPr>
        <w:t xml:space="preserve">локална </w:t>
      </w:r>
      <w:r w:rsidRPr="00471C90">
        <w:rPr>
          <w:rFonts w:ascii="Times New Roman" w:hAnsi="Times New Roman" w:cs="Times New Roman"/>
          <w:szCs w:val="24"/>
          <w:lang w:val="sr-Cyrl-CS"/>
        </w:rPr>
        <w:t xml:space="preserve">МСП да се више оријентишу ка извозу. Резултати регресионе анализе указују да би повећање укупног дуга МСП за један динар довело до повећања извоза од 0,426 динара. </w:t>
      </w:r>
      <w:r w:rsidR="00D33B90" w:rsidRPr="00471C90">
        <w:rPr>
          <w:rFonts w:ascii="Times New Roman" w:hAnsi="Times New Roman" w:cs="Times New Roman"/>
          <w:szCs w:val="24"/>
          <w:lang w:val="sr-Cyrl-CS"/>
        </w:rPr>
        <w:t>У складу с тим</w:t>
      </w:r>
      <w:r w:rsidRPr="00471C90">
        <w:rPr>
          <w:rFonts w:ascii="Times New Roman" w:hAnsi="Times New Roman" w:cs="Times New Roman"/>
          <w:szCs w:val="24"/>
          <w:lang w:val="sr-Cyrl-CS"/>
        </w:rPr>
        <w:t>, ако се јаз у финансирању од стране банака смањи за 1%, или између 200,2 и 266,93 милиона динара, може се очекивати да ће се извоз повећати у распону од 85,29 до 113,72 милиона у првој години.</w:t>
      </w:r>
      <w:r w:rsidR="00786775" w:rsidRPr="00471C90">
        <w:rPr>
          <w:rFonts w:ascii="Times New Roman" w:hAnsi="Times New Roman" w:cs="Times New Roman"/>
          <w:szCs w:val="24"/>
          <w:lang w:val="sr-Cyrl-CS"/>
        </w:rPr>
        <w:t xml:space="preserve"> </w:t>
      </w:r>
    </w:p>
    <w:p w14:paraId="6B73C642" w14:textId="10E67A8A" w:rsidR="00562472" w:rsidRPr="00471C90" w:rsidRDefault="00562472" w:rsidP="00590037">
      <w:pPr>
        <w:pStyle w:val="ListParagraph"/>
        <w:numPr>
          <w:ilvl w:val="0"/>
          <w:numId w:val="37"/>
        </w:numPr>
        <w:tabs>
          <w:tab w:val="left" w:pos="993"/>
        </w:tabs>
        <w:ind w:left="0" w:firstLine="709"/>
        <w:rPr>
          <w:rFonts w:ascii="Times New Roman" w:hAnsi="Times New Roman" w:cs="Times New Roman"/>
          <w:szCs w:val="24"/>
          <w:lang w:val="sr-Cyrl-CS"/>
        </w:rPr>
      </w:pPr>
      <w:r w:rsidRPr="00471C90">
        <w:rPr>
          <w:rFonts w:ascii="Times New Roman" w:hAnsi="Times New Roman" w:cs="Times New Roman"/>
          <w:bCs/>
          <w:szCs w:val="24"/>
          <w:lang w:val="sr-Cyrl-CS"/>
        </w:rPr>
        <w:t>Пораст запослености</w:t>
      </w:r>
      <w:r w:rsidRPr="00471C90">
        <w:rPr>
          <w:rFonts w:ascii="Times New Roman" w:hAnsi="Times New Roman" w:cs="Times New Roman"/>
          <w:szCs w:val="24"/>
          <w:lang w:val="sr-Cyrl-CS"/>
        </w:rPr>
        <w:t xml:space="preserve"> - </w:t>
      </w:r>
      <w:r w:rsidR="00590037" w:rsidRPr="00471C90">
        <w:rPr>
          <w:rFonts w:ascii="Times New Roman" w:hAnsi="Times New Roman" w:cs="Times New Roman"/>
          <w:szCs w:val="24"/>
          <w:lang w:val="sr-Cyrl-CS"/>
        </w:rPr>
        <w:t>п</w:t>
      </w:r>
      <w:r w:rsidRPr="00471C90">
        <w:rPr>
          <w:rFonts w:ascii="Times New Roman" w:hAnsi="Times New Roman" w:cs="Times New Roman"/>
          <w:szCs w:val="24"/>
          <w:lang w:val="sr-Cyrl-CS"/>
        </w:rPr>
        <w:t>обољшање приступа МСП финансирању праћен већим инвестиционим активностима обично захтева пораст ангажованости фактора производње, укључујући радну снагу. Спроведена регресиона анализа указује да би раст дуга за МСП од милијарду динара довео до 24 нова запослена у сектору. Међутим, потребно је бити опрезан при тумачењу резултата, због скромне објашњавајуће моћи модела. Трендови смањења сиве економије и неформалне запослености сугеришу да би овај утицај могао да буде значајнији.</w:t>
      </w:r>
    </w:p>
    <w:p w14:paraId="5389BEEC" w14:textId="613123DA" w:rsidR="00562472" w:rsidRPr="00471C90" w:rsidRDefault="00562472" w:rsidP="00AE0CA2">
      <w:pPr>
        <w:ind w:firstLine="708"/>
        <w:jc w:val="both"/>
        <w:rPr>
          <w:rFonts w:cs="Times New Roman"/>
          <w:szCs w:val="24"/>
          <w:lang w:val="sr-Cyrl-CS"/>
        </w:rPr>
      </w:pPr>
      <w:r w:rsidRPr="00471C90">
        <w:rPr>
          <w:rFonts w:cs="Times New Roman"/>
          <w:szCs w:val="24"/>
          <w:lang w:val="sr-Cyrl-CS"/>
        </w:rPr>
        <w:t xml:space="preserve">Осим квантитативних, постоје и </w:t>
      </w:r>
      <w:r w:rsidR="00D33B90" w:rsidRPr="00471C90">
        <w:rPr>
          <w:rFonts w:cs="Times New Roman"/>
          <w:szCs w:val="24"/>
          <w:lang w:val="sr-Cyrl-CS"/>
        </w:rPr>
        <w:t>квалитативне економске користи</w:t>
      </w:r>
      <w:r w:rsidRPr="00471C90">
        <w:rPr>
          <w:rFonts w:cs="Times New Roman"/>
          <w:szCs w:val="24"/>
          <w:lang w:val="sr-Cyrl-CS"/>
        </w:rPr>
        <w:t xml:space="preserve">. </w:t>
      </w:r>
      <w:r w:rsidR="00D33B90" w:rsidRPr="00471C90">
        <w:rPr>
          <w:rFonts w:cs="Times New Roman"/>
          <w:szCs w:val="24"/>
          <w:lang w:val="sr-Cyrl-CS"/>
        </w:rPr>
        <w:t>Резултат д</w:t>
      </w:r>
      <w:r w:rsidRPr="00471C90">
        <w:rPr>
          <w:rFonts w:cs="Times New Roman"/>
          <w:szCs w:val="24"/>
          <w:lang w:val="sr-Cyrl-CS"/>
        </w:rPr>
        <w:t>оступност</w:t>
      </w:r>
      <w:r w:rsidR="00D33B90" w:rsidRPr="00471C90">
        <w:rPr>
          <w:rFonts w:cs="Times New Roman"/>
          <w:szCs w:val="24"/>
          <w:lang w:val="sr-Cyrl-CS"/>
        </w:rPr>
        <w:t>и</w:t>
      </w:r>
      <w:r w:rsidRPr="00471C90">
        <w:rPr>
          <w:rFonts w:cs="Times New Roman"/>
          <w:szCs w:val="24"/>
          <w:lang w:val="sr-Cyrl-CS"/>
        </w:rPr>
        <w:t xml:space="preserve"> финансијских услуга </w:t>
      </w:r>
      <w:r w:rsidR="00D33B90" w:rsidRPr="00471C90">
        <w:rPr>
          <w:rFonts w:cs="Times New Roman"/>
          <w:szCs w:val="24"/>
          <w:lang w:val="sr-Cyrl-CS"/>
        </w:rPr>
        <w:t xml:space="preserve">свим привредним субјектима </w:t>
      </w:r>
      <w:r w:rsidRPr="00471C90">
        <w:rPr>
          <w:rFonts w:cs="Times New Roman"/>
          <w:szCs w:val="24"/>
          <w:lang w:val="sr-Cyrl-CS"/>
        </w:rPr>
        <w:t xml:space="preserve">са одрживим пословним идејама </w:t>
      </w:r>
      <w:r w:rsidR="00D33B90" w:rsidRPr="00471C90">
        <w:rPr>
          <w:rFonts w:cs="Times New Roman"/>
          <w:szCs w:val="24"/>
          <w:lang w:val="sr-Cyrl-CS"/>
        </w:rPr>
        <w:t>је</w:t>
      </w:r>
      <w:r w:rsidRPr="00471C90">
        <w:rPr>
          <w:rFonts w:cs="Times New Roman"/>
          <w:szCs w:val="24"/>
          <w:lang w:val="sr-Cyrl-CS"/>
        </w:rPr>
        <w:t xml:space="preserve"> једнакост у могућностима, чинећи средства доступним предузећима</w:t>
      </w:r>
      <w:r w:rsidR="00D8570B" w:rsidRPr="00471C90">
        <w:rPr>
          <w:rFonts w:cs="Times New Roman"/>
          <w:szCs w:val="24"/>
          <w:lang w:val="sr-Cyrl-CS"/>
        </w:rPr>
        <w:t xml:space="preserve"> чији је капитал нижи од прописаног</w:t>
      </w:r>
      <w:r w:rsidRPr="00471C90">
        <w:rPr>
          <w:rFonts w:cs="Times New Roman"/>
          <w:szCs w:val="24"/>
          <w:lang w:val="sr-Cyrl-CS"/>
        </w:rPr>
        <w:t xml:space="preserve">, </w:t>
      </w:r>
      <w:r w:rsidR="00F63609" w:rsidRPr="00471C90">
        <w:rPr>
          <w:rFonts w:cs="Times New Roman"/>
          <w:szCs w:val="24"/>
          <w:lang w:val="sr-Cyrl-CS"/>
        </w:rPr>
        <w:t xml:space="preserve">предузећима </w:t>
      </w:r>
      <w:r w:rsidR="00D33B90" w:rsidRPr="00471C90">
        <w:rPr>
          <w:rFonts w:cs="Times New Roman"/>
          <w:szCs w:val="24"/>
          <w:lang w:val="sr-Cyrl-CS"/>
        </w:rPr>
        <w:t>која се баве иновацијама</w:t>
      </w:r>
      <w:r w:rsidRPr="00471C90">
        <w:rPr>
          <w:rFonts w:cs="Times New Roman"/>
          <w:szCs w:val="24"/>
          <w:lang w:val="sr-Cyrl-CS"/>
        </w:rPr>
        <w:t xml:space="preserve"> и </w:t>
      </w:r>
      <w:r w:rsidR="00D33B90" w:rsidRPr="00471C90">
        <w:rPr>
          <w:rFonts w:cs="Times New Roman"/>
          <w:szCs w:val="24"/>
          <w:lang w:val="sr-Cyrl-CS"/>
        </w:rPr>
        <w:t xml:space="preserve">предузећима </w:t>
      </w:r>
      <w:r w:rsidRPr="00471C90">
        <w:rPr>
          <w:rFonts w:cs="Times New Roman"/>
          <w:szCs w:val="24"/>
          <w:lang w:val="sr-Cyrl-CS"/>
        </w:rPr>
        <w:t xml:space="preserve">у посебним нишама на тржишту. Такође доводи до побољшане конкурентности на тржишту, јачања неких економских сектора и на крају до очувања макроекономске стабилности. </w:t>
      </w:r>
    </w:p>
    <w:p w14:paraId="49698BC1" w14:textId="71234254" w:rsidR="007D3D6C" w:rsidRPr="00471C90" w:rsidRDefault="00562472">
      <w:pPr>
        <w:ind w:firstLine="432"/>
        <w:jc w:val="both"/>
        <w:rPr>
          <w:rFonts w:cs="Times New Roman"/>
          <w:szCs w:val="24"/>
          <w:lang w:val="sr-Cyrl-CS"/>
        </w:rPr>
      </w:pPr>
      <w:r w:rsidRPr="00471C90">
        <w:rPr>
          <w:rFonts w:cs="Times New Roman"/>
          <w:szCs w:val="24"/>
          <w:lang w:val="sr-Cyrl-CS"/>
        </w:rPr>
        <w:t>Остале економске користи од затварања јаза у финансирању на тржишту су и нижи трошкови капитала, нижи тржишни ризик, изградња нових капацитета и пренос знања.</w:t>
      </w:r>
    </w:p>
    <w:p w14:paraId="4EC9B080" w14:textId="77777777" w:rsidR="007F0E5C" w:rsidRPr="00471C90" w:rsidRDefault="007F0E5C">
      <w:pPr>
        <w:ind w:firstLine="432"/>
        <w:jc w:val="both"/>
        <w:rPr>
          <w:rFonts w:cs="Times New Roman"/>
          <w:szCs w:val="24"/>
          <w:lang w:val="sr-Cyrl-CS"/>
        </w:rPr>
      </w:pPr>
    </w:p>
    <w:p w14:paraId="59F60925" w14:textId="400046E1" w:rsidR="007F0E5C" w:rsidRPr="00471C90" w:rsidRDefault="0042411C" w:rsidP="00587627">
      <w:pPr>
        <w:pStyle w:val="Heading1"/>
        <w:numPr>
          <w:ilvl w:val="0"/>
          <w:numId w:val="0"/>
        </w:numPr>
        <w:jc w:val="center"/>
        <w:rPr>
          <w:rFonts w:cs="Times New Roman"/>
          <w:b w:val="0"/>
          <w:sz w:val="24"/>
          <w:szCs w:val="24"/>
          <w:lang w:val="sr-Cyrl-CS"/>
        </w:rPr>
      </w:pPr>
      <w:bookmarkStart w:id="5" w:name="_Toc86450215"/>
      <w:r w:rsidRPr="00471C90">
        <w:rPr>
          <w:rFonts w:cs="Times New Roman"/>
          <w:b w:val="0"/>
          <w:sz w:val="24"/>
          <w:szCs w:val="24"/>
          <w:lang w:val="sr-Cyrl-CS"/>
        </w:rPr>
        <w:t>IV.</w:t>
      </w:r>
      <w:bookmarkEnd w:id="5"/>
      <w:r w:rsidR="00F63609" w:rsidRPr="00471C90">
        <w:rPr>
          <w:rFonts w:cs="Times New Roman"/>
          <w:b w:val="0"/>
          <w:sz w:val="24"/>
          <w:szCs w:val="24"/>
          <w:lang w:val="sr-Cyrl-CS"/>
        </w:rPr>
        <w:t xml:space="preserve"> </w:t>
      </w:r>
      <w:r w:rsidR="00786775" w:rsidRPr="00471C90">
        <w:rPr>
          <w:rFonts w:cs="Times New Roman"/>
          <w:b w:val="0"/>
          <w:sz w:val="24"/>
          <w:szCs w:val="24"/>
          <w:lang w:val="sr-Cyrl-CS"/>
        </w:rPr>
        <w:t>ОПШТИ И ПОСЕБНИ ЦИЉЕВИ</w:t>
      </w:r>
    </w:p>
    <w:p w14:paraId="20B4CF0C" w14:textId="77777777" w:rsidR="002A1702" w:rsidRPr="00471C90" w:rsidRDefault="00622BEC" w:rsidP="003427FD">
      <w:pPr>
        <w:rPr>
          <w:rFonts w:cs="Times New Roman"/>
          <w:b/>
          <w:bCs/>
          <w:szCs w:val="24"/>
          <w:lang w:val="sr-Cyrl-CS"/>
        </w:rPr>
      </w:pPr>
      <w:r w:rsidRPr="00471C90">
        <w:rPr>
          <w:rFonts w:cs="Times New Roman"/>
          <w:b/>
          <w:bCs/>
          <w:noProof/>
          <w:szCs w:val="24"/>
          <w:lang w:val="en-US"/>
        </w:rPr>
        <w:drawing>
          <wp:anchor distT="0" distB="0" distL="114300" distR="114300" simplePos="0" relativeHeight="251658240" behindDoc="0" locked="0" layoutInCell="1" allowOverlap="1" wp14:anchorId="63CC8C30" wp14:editId="09ADD262">
            <wp:simplePos x="0" y="0"/>
            <wp:positionH relativeFrom="margin">
              <wp:align>left</wp:align>
            </wp:positionH>
            <wp:positionV relativeFrom="paragraph">
              <wp:posOffset>41275</wp:posOffset>
            </wp:positionV>
            <wp:extent cx="6073140" cy="2729230"/>
            <wp:effectExtent l="0" t="0" r="0" b="52070"/>
            <wp:wrapTopAndBottom/>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V relativeFrom="margin">
              <wp14:pctHeight>0</wp14:pctHeight>
            </wp14:sizeRelV>
          </wp:anchor>
        </w:drawing>
      </w:r>
    </w:p>
    <w:p w14:paraId="5D4CF3FC" w14:textId="052C883B" w:rsidR="00850816" w:rsidRPr="00471C90" w:rsidRDefault="00C36D8D" w:rsidP="00AE0CA2">
      <w:pPr>
        <w:ind w:firstLine="708"/>
        <w:jc w:val="both"/>
        <w:rPr>
          <w:rFonts w:cs="Times New Roman"/>
          <w:b/>
          <w:bCs/>
          <w:szCs w:val="24"/>
          <w:lang w:val="sr-Cyrl-CS"/>
        </w:rPr>
      </w:pPr>
      <w:r w:rsidRPr="00471C90">
        <w:rPr>
          <w:rFonts w:cs="Times New Roman"/>
          <w:bCs/>
          <w:szCs w:val="24"/>
          <w:lang w:val="sr-Cyrl-CS"/>
        </w:rPr>
        <w:t>Општи циљ</w:t>
      </w:r>
      <w:r w:rsidRPr="00471C90">
        <w:rPr>
          <w:rFonts w:cs="Times New Roman"/>
          <w:szCs w:val="24"/>
          <w:lang w:val="sr-Cyrl-CS"/>
        </w:rPr>
        <w:t xml:space="preserve"> је смањење јаза и побољшање приступа </w:t>
      </w:r>
      <w:r w:rsidR="000357A1" w:rsidRPr="00471C90">
        <w:rPr>
          <w:rFonts w:cs="Times New Roman"/>
          <w:szCs w:val="24"/>
          <w:lang w:val="sr-Cyrl-CS"/>
        </w:rPr>
        <w:t>спољном финансирању у области предузетништва</w:t>
      </w:r>
      <w:r w:rsidRPr="00471C90">
        <w:rPr>
          <w:rFonts w:cs="Times New Roman"/>
          <w:szCs w:val="24"/>
          <w:lang w:val="sr-Cyrl-CS"/>
        </w:rPr>
        <w:t xml:space="preserve">. Смањење јаза у финансирању </w:t>
      </w:r>
      <w:r w:rsidR="00B9162D" w:rsidRPr="00471C90">
        <w:rPr>
          <w:rFonts w:cs="Times New Roman"/>
          <w:szCs w:val="24"/>
          <w:lang w:val="sr-Cyrl-CS"/>
        </w:rPr>
        <w:t xml:space="preserve">подразумева </w:t>
      </w:r>
      <w:r w:rsidRPr="00471C90">
        <w:rPr>
          <w:rFonts w:cs="Times New Roman"/>
          <w:szCs w:val="24"/>
          <w:lang w:val="sr-Cyrl-CS"/>
        </w:rPr>
        <w:t xml:space="preserve">да би МСП и предузетници лакше могли да обезбеде средства из спољних извора средства и повећају инвестиције, што би резултирало већом производњом, продајом и извозом. </w:t>
      </w:r>
    </w:p>
    <w:p w14:paraId="43E0E8CF" w14:textId="34649C6E" w:rsidR="00DC4B38" w:rsidRPr="00471C90" w:rsidRDefault="00C36D8D" w:rsidP="00587627">
      <w:pPr>
        <w:spacing w:line="240" w:lineRule="auto"/>
        <w:ind w:firstLine="708"/>
        <w:jc w:val="both"/>
        <w:rPr>
          <w:rFonts w:cs="Times New Roman"/>
          <w:szCs w:val="24"/>
          <w:lang w:val="sr-Cyrl-CS"/>
        </w:rPr>
      </w:pPr>
      <w:r w:rsidRPr="00471C90">
        <w:rPr>
          <w:rFonts w:cs="Times New Roman"/>
          <w:bCs/>
          <w:szCs w:val="24"/>
          <w:lang w:val="sr-Cyrl-CS"/>
        </w:rPr>
        <w:t>Први посебни циљ</w:t>
      </w:r>
      <w:r w:rsidR="00C74443" w:rsidRPr="00471C90">
        <w:rPr>
          <w:rFonts w:cs="Times New Roman"/>
          <w:szCs w:val="24"/>
          <w:lang w:val="sr-Cyrl-CS"/>
        </w:rPr>
        <w:t xml:space="preserve"> – </w:t>
      </w:r>
      <w:r w:rsidR="00DC4B38" w:rsidRPr="00471C90">
        <w:rPr>
          <w:rFonts w:cs="Times New Roman"/>
          <w:szCs w:val="24"/>
          <w:lang w:val="sr-Cyrl-CS"/>
        </w:rPr>
        <w:t>Уклањање препрека и подизање свести о спољном финансирању омогућиће већем броју учесника на тржишту, оријентисаним на тржиште</w:t>
      </w:r>
      <w:r w:rsidR="00B9162D" w:rsidRPr="00471C90">
        <w:rPr>
          <w:rFonts w:cs="Times New Roman"/>
          <w:szCs w:val="24"/>
          <w:lang w:val="sr-Cyrl-CS"/>
        </w:rPr>
        <w:t xml:space="preserve"> Републике Србије</w:t>
      </w:r>
      <w:r w:rsidR="00DC4B38" w:rsidRPr="00471C90">
        <w:rPr>
          <w:rFonts w:cs="Times New Roman"/>
          <w:szCs w:val="24"/>
          <w:lang w:val="sr-Cyrl-CS"/>
        </w:rPr>
        <w:t xml:space="preserve">, </w:t>
      </w:r>
      <w:r w:rsidR="00B9162D" w:rsidRPr="00471C90">
        <w:rPr>
          <w:rFonts w:cs="Times New Roman"/>
          <w:szCs w:val="24"/>
          <w:lang w:val="sr-Cyrl-CS"/>
        </w:rPr>
        <w:t xml:space="preserve">као </w:t>
      </w:r>
      <w:r w:rsidR="00DC4B38" w:rsidRPr="00471C90">
        <w:rPr>
          <w:rFonts w:cs="Times New Roman"/>
          <w:szCs w:val="24"/>
          <w:lang w:val="sr-Cyrl-CS"/>
        </w:rPr>
        <w:t xml:space="preserve">и извозно оријентисаним, да </w:t>
      </w:r>
      <w:r w:rsidR="00B9162D" w:rsidRPr="00471C90">
        <w:rPr>
          <w:rFonts w:cs="Times New Roman"/>
          <w:szCs w:val="24"/>
          <w:lang w:val="sr-Cyrl-CS"/>
        </w:rPr>
        <w:t xml:space="preserve">дођу </w:t>
      </w:r>
      <w:r w:rsidR="00DC4B38" w:rsidRPr="00471C90">
        <w:rPr>
          <w:rFonts w:cs="Times New Roman"/>
          <w:szCs w:val="24"/>
          <w:lang w:val="sr-Cyrl-CS"/>
        </w:rPr>
        <w:t>до спољних извора финансирања.</w:t>
      </w:r>
    </w:p>
    <w:p w14:paraId="2028D143" w14:textId="12D20699" w:rsidR="00786775" w:rsidRPr="00471C90" w:rsidRDefault="00C36D8D" w:rsidP="00587627">
      <w:pPr>
        <w:spacing w:line="240" w:lineRule="auto"/>
        <w:ind w:firstLine="708"/>
        <w:jc w:val="both"/>
        <w:rPr>
          <w:rFonts w:cs="Times New Roman"/>
          <w:szCs w:val="24"/>
          <w:lang w:val="sr-Cyrl-CS"/>
        </w:rPr>
      </w:pPr>
      <w:r w:rsidRPr="00471C90">
        <w:rPr>
          <w:rFonts w:cs="Times New Roman"/>
          <w:bCs/>
          <w:szCs w:val="24"/>
          <w:lang w:val="sr-Cyrl-CS"/>
        </w:rPr>
        <w:t>Други посебни циљ</w:t>
      </w:r>
      <w:r w:rsidRPr="00471C90">
        <w:rPr>
          <w:rFonts w:cs="Times New Roman"/>
          <w:szCs w:val="24"/>
          <w:lang w:val="sr-Cyrl-CS"/>
        </w:rPr>
        <w:t xml:space="preserve"> – Унапређење </w:t>
      </w:r>
      <w:r w:rsidR="00E07A49" w:rsidRPr="00471C90">
        <w:rPr>
          <w:rFonts w:cs="Times New Roman"/>
          <w:szCs w:val="24"/>
          <w:lang w:val="sr-Cyrl-CS"/>
        </w:rPr>
        <w:t>институционалног оквира за развојно финансирање</w:t>
      </w:r>
      <w:r w:rsidRPr="00471C90">
        <w:rPr>
          <w:rFonts w:cs="Times New Roman"/>
          <w:szCs w:val="24"/>
          <w:lang w:val="sr-Cyrl-CS"/>
        </w:rPr>
        <w:t xml:space="preserve"> допринеће успостављању адекватног </w:t>
      </w:r>
      <w:r w:rsidR="000A628B" w:rsidRPr="00471C90">
        <w:rPr>
          <w:rFonts w:cs="Times New Roman"/>
          <w:szCs w:val="24"/>
          <w:lang w:val="sr-Cyrl-CS"/>
        </w:rPr>
        <w:t xml:space="preserve">окружења </w:t>
      </w:r>
      <w:r w:rsidRPr="00471C90">
        <w:rPr>
          <w:rFonts w:cs="Times New Roman"/>
          <w:szCs w:val="24"/>
          <w:lang w:val="sr-Cyrl-CS"/>
        </w:rPr>
        <w:t xml:space="preserve">у ком ће </w:t>
      </w:r>
      <w:r w:rsidR="00B9162D" w:rsidRPr="00471C90">
        <w:rPr>
          <w:rFonts w:cs="Times New Roman"/>
          <w:szCs w:val="24"/>
          <w:lang w:val="sr-Cyrl-CS"/>
        </w:rPr>
        <w:t>учесници на страни тражње којим имају потребу за финансијским средствима лакше доћи до њих</w:t>
      </w:r>
      <w:r w:rsidRPr="00471C90">
        <w:rPr>
          <w:rFonts w:cs="Times New Roman"/>
          <w:szCs w:val="24"/>
          <w:lang w:val="sr-Cyrl-CS"/>
        </w:rPr>
        <w:t>.</w:t>
      </w:r>
    </w:p>
    <w:p w14:paraId="67FA063C" w14:textId="77777777" w:rsidR="007F0E5C" w:rsidRPr="00471C90" w:rsidRDefault="007F0E5C" w:rsidP="00587627">
      <w:pPr>
        <w:spacing w:line="240" w:lineRule="auto"/>
        <w:ind w:firstLine="432"/>
        <w:jc w:val="both"/>
        <w:rPr>
          <w:rFonts w:cs="Times New Roman"/>
          <w:szCs w:val="24"/>
          <w:lang w:val="sr-Cyrl-CS"/>
        </w:rPr>
      </w:pPr>
    </w:p>
    <w:p w14:paraId="36FA99B4" w14:textId="4A95B28A" w:rsidR="007F0E5C" w:rsidRPr="00471C90" w:rsidRDefault="0042411C" w:rsidP="00587627">
      <w:pPr>
        <w:pStyle w:val="Heading1"/>
        <w:numPr>
          <w:ilvl w:val="0"/>
          <w:numId w:val="0"/>
        </w:numPr>
        <w:ind w:left="142"/>
        <w:jc w:val="center"/>
        <w:rPr>
          <w:rFonts w:cs="Times New Roman"/>
          <w:b w:val="0"/>
          <w:sz w:val="24"/>
          <w:szCs w:val="24"/>
          <w:lang w:val="sr-Cyrl-CS"/>
        </w:rPr>
      </w:pPr>
      <w:bookmarkStart w:id="6" w:name="_Toc86450216"/>
      <w:r w:rsidRPr="00471C90">
        <w:rPr>
          <w:rFonts w:cs="Times New Roman"/>
          <w:b w:val="0"/>
          <w:sz w:val="24"/>
          <w:szCs w:val="24"/>
          <w:lang w:val="sr-Cyrl-CS"/>
        </w:rPr>
        <w:t>V</w:t>
      </w:r>
      <w:r w:rsidR="00A679D3" w:rsidRPr="00471C90">
        <w:rPr>
          <w:rFonts w:cs="Times New Roman"/>
          <w:b w:val="0"/>
          <w:sz w:val="24"/>
          <w:szCs w:val="24"/>
          <w:lang w:val="sr-Cyrl-CS"/>
        </w:rPr>
        <w:t>.</w:t>
      </w:r>
      <w:bookmarkEnd w:id="6"/>
      <w:r w:rsidR="00DC188F" w:rsidRPr="00471C90">
        <w:rPr>
          <w:rFonts w:cs="Times New Roman"/>
          <w:sz w:val="24"/>
          <w:szCs w:val="24"/>
          <w:lang w:val="sr-Cyrl-CS"/>
        </w:rPr>
        <w:t xml:space="preserve"> </w:t>
      </w:r>
      <w:r w:rsidR="00786775" w:rsidRPr="00471C90">
        <w:rPr>
          <w:rFonts w:cs="Times New Roman"/>
          <w:b w:val="0"/>
          <w:sz w:val="24"/>
          <w:szCs w:val="24"/>
          <w:lang w:val="sr-Cyrl-CS"/>
        </w:rPr>
        <w:t>АНАЛИЗА ОПЦИЈА ЗА ОСТВАРЕЊЕ ЦИЉЕВА</w:t>
      </w:r>
    </w:p>
    <w:p w14:paraId="37BB142D" w14:textId="0606E8E6" w:rsidR="00C36D8D" w:rsidRPr="00471C90" w:rsidRDefault="00FC31C4" w:rsidP="00786775">
      <w:pPr>
        <w:pStyle w:val="Caption"/>
        <w:keepNext/>
        <w:ind w:firstLine="708"/>
        <w:jc w:val="both"/>
        <w:rPr>
          <w:rFonts w:eastAsiaTheme="majorEastAsia" w:cs="Times New Roman"/>
          <w:i w:val="0"/>
          <w:iCs w:val="0"/>
          <w:color w:val="auto"/>
          <w:sz w:val="24"/>
          <w:szCs w:val="24"/>
          <w:u w:val="single"/>
          <w:lang w:val="sr-Cyrl-CS"/>
        </w:rPr>
      </w:pPr>
      <w:r w:rsidRPr="00471C90">
        <w:rPr>
          <w:rFonts w:eastAsiaTheme="majorEastAsia" w:cs="Times New Roman"/>
          <w:i w:val="0"/>
          <w:iCs w:val="0"/>
          <w:color w:val="auto"/>
          <w:sz w:val="24"/>
          <w:szCs w:val="24"/>
          <w:lang w:val="sr-Cyrl-CS"/>
        </w:rPr>
        <w:t>П</w:t>
      </w:r>
      <w:r w:rsidR="00DC1E1D" w:rsidRPr="00471C90">
        <w:rPr>
          <w:rFonts w:eastAsiaTheme="majorEastAsia" w:cs="Times New Roman"/>
          <w:i w:val="0"/>
          <w:iCs w:val="0"/>
          <w:color w:val="auto"/>
          <w:sz w:val="24"/>
          <w:szCs w:val="24"/>
          <w:lang w:val="sr-Cyrl-CS"/>
        </w:rPr>
        <w:t xml:space="preserve">ри анализи опција, пошло се од претпоставке да ће се </w:t>
      </w:r>
      <w:r w:rsidR="003F7326" w:rsidRPr="00471C90">
        <w:rPr>
          <w:rFonts w:eastAsiaTheme="majorEastAsia" w:cs="Times New Roman"/>
          <w:i w:val="0"/>
          <w:iCs w:val="0"/>
          <w:color w:val="auto"/>
          <w:sz w:val="24"/>
          <w:szCs w:val="24"/>
          <w:lang w:val="sr-Cyrl-CS"/>
        </w:rPr>
        <w:t>мере за остварење оба посебна циља остваривати кроз институције задужене за развојно финансирање</w:t>
      </w:r>
      <w:r w:rsidR="00B9162D" w:rsidRPr="00471C90">
        <w:rPr>
          <w:rFonts w:eastAsiaTheme="majorEastAsia" w:cs="Times New Roman"/>
          <w:i w:val="0"/>
          <w:iCs w:val="0"/>
          <w:color w:val="auto"/>
          <w:sz w:val="24"/>
          <w:szCs w:val="24"/>
          <w:lang w:val="sr-Cyrl-CS"/>
        </w:rPr>
        <w:t>.</w:t>
      </w:r>
      <w:r w:rsidR="00587627" w:rsidRPr="00471C90">
        <w:rPr>
          <w:rFonts w:eastAsiaTheme="majorEastAsia" w:cs="Times New Roman"/>
          <w:i w:val="0"/>
          <w:iCs w:val="0"/>
          <w:color w:val="auto"/>
          <w:sz w:val="24"/>
          <w:szCs w:val="24"/>
          <w:lang w:val="sr-Cyrl-CS"/>
        </w:rPr>
        <w:t xml:space="preserve"> </w:t>
      </w:r>
      <w:r w:rsidR="00B9162D" w:rsidRPr="00471C90">
        <w:rPr>
          <w:rFonts w:eastAsiaTheme="majorEastAsia" w:cs="Times New Roman"/>
          <w:i w:val="0"/>
          <w:iCs w:val="0"/>
          <w:color w:val="auto"/>
          <w:sz w:val="24"/>
          <w:szCs w:val="24"/>
          <w:lang w:val="sr-Cyrl-CS"/>
        </w:rPr>
        <w:t>У</w:t>
      </w:r>
      <w:r w:rsidR="00426506" w:rsidRPr="00471C90">
        <w:rPr>
          <w:rFonts w:eastAsiaTheme="majorEastAsia" w:cs="Times New Roman"/>
          <w:i w:val="0"/>
          <w:iCs w:val="0"/>
          <w:color w:val="auto"/>
          <w:sz w:val="24"/>
          <w:szCs w:val="24"/>
          <w:lang w:val="sr-Cyrl-CS"/>
        </w:rPr>
        <w:t xml:space="preserve"> складу с тим, почетна тачка за разматрање</w:t>
      </w:r>
      <w:r w:rsidR="00B9162D" w:rsidRPr="00471C90">
        <w:rPr>
          <w:rFonts w:eastAsiaTheme="majorEastAsia" w:cs="Times New Roman"/>
          <w:i w:val="0"/>
          <w:iCs w:val="0"/>
          <w:color w:val="auto"/>
          <w:sz w:val="24"/>
          <w:szCs w:val="24"/>
          <w:lang w:val="sr-Cyrl-CS"/>
        </w:rPr>
        <w:t xml:space="preserve"> је</w:t>
      </w:r>
      <w:r w:rsidR="00426506" w:rsidRPr="00471C90">
        <w:rPr>
          <w:rFonts w:eastAsiaTheme="majorEastAsia" w:cs="Times New Roman"/>
          <w:i w:val="0"/>
          <w:iCs w:val="0"/>
          <w:color w:val="auto"/>
          <w:sz w:val="24"/>
          <w:szCs w:val="24"/>
          <w:lang w:val="sr-Cyrl-CS"/>
        </w:rPr>
        <w:t xml:space="preserve"> био постојећи институционални оквир, </w:t>
      </w:r>
      <w:r w:rsidR="00AF195D" w:rsidRPr="00471C90">
        <w:rPr>
          <w:rFonts w:eastAsiaTheme="majorEastAsia" w:cs="Times New Roman"/>
          <w:i w:val="0"/>
          <w:iCs w:val="0"/>
          <w:color w:val="auto"/>
          <w:sz w:val="24"/>
          <w:szCs w:val="24"/>
          <w:lang w:val="sr-Cyrl-CS"/>
        </w:rPr>
        <w:t xml:space="preserve">који се састоји од </w:t>
      </w:r>
      <w:r w:rsidR="0042411C" w:rsidRPr="00471C90">
        <w:rPr>
          <w:rFonts w:eastAsiaTheme="majorEastAsia" w:cs="Times New Roman"/>
          <w:i w:val="0"/>
          <w:iCs w:val="0"/>
          <w:color w:val="auto"/>
          <w:sz w:val="24"/>
          <w:szCs w:val="24"/>
          <w:lang w:val="sr-Cyrl-CS"/>
        </w:rPr>
        <w:t>две развојне финансијске институције</w:t>
      </w:r>
      <w:r w:rsidR="00A97991" w:rsidRPr="00471C90">
        <w:rPr>
          <w:rFonts w:eastAsiaTheme="majorEastAsia" w:cs="Times New Roman"/>
          <w:i w:val="0"/>
          <w:iCs w:val="0"/>
          <w:color w:val="auto"/>
          <w:sz w:val="24"/>
          <w:szCs w:val="24"/>
          <w:lang w:val="sr-Cyrl-CS"/>
        </w:rPr>
        <w:t xml:space="preserve"> – Фонда за развој и </w:t>
      </w:r>
      <w:r w:rsidR="00A679D3" w:rsidRPr="00471C90">
        <w:rPr>
          <w:rFonts w:eastAsiaTheme="majorEastAsia" w:cs="Times New Roman"/>
          <w:i w:val="0"/>
          <w:iCs w:val="0"/>
          <w:color w:val="auto"/>
          <w:sz w:val="24"/>
          <w:szCs w:val="24"/>
          <w:lang w:val="sr-Cyrl-CS"/>
        </w:rPr>
        <w:t>АОФИ.</w:t>
      </w:r>
    </w:p>
    <w:p w14:paraId="4C14A8B6" w14:textId="46970106" w:rsidR="00E57731" w:rsidRPr="00471C90" w:rsidRDefault="00C14D5C" w:rsidP="00786775">
      <w:pPr>
        <w:pStyle w:val="Caption"/>
        <w:keepNext/>
        <w:ind w:firstLine="708"/>
        <w:jc w:val="both"/>
        <w:rPr>
          <w:rFonts w:cs="Times New Roman"/>
          <w:i w:val="0"/>
          <w:iCs w:val="0"/>
          <w:color w:val="auto"/>
          <w:sz w:val="24"/>
          <w:szCs w:val="24"/>
          <w:lang w:val="sr-Cyrl-CS"/>
        </w:rPr>
      </w:pPr>
      <w:r w:rsidRPr="00471C90">
        <w:rPr>
          <w:rFonts w:cs="Times New Roman"/>
          <w:i w:val="0"/>
          <w:iCs w:val="0"/>
          <w:color w:val="auto"/>
          <w:sz w:val="24"/>
          <w:szCs w:val="24"/>
          <w:lang w:val="sr-Cyrl-CS"/>
        </w:rPr>
        <w:t xml:space="preserve">Иницијални избор који је било потребно направити је био у вези са </w:t>
      </w:r>
      <w:r w:rsidR="00A24B33" w:rsidRPr="00471C90">
        <w:rPr>
          <w:rFonts w:cs="Times New Roman"/>
          <w:i w:val="0"/>
          <w:iCs w:val="0"/>
          <w:color w:val="auto"/>
          <w:sz w:val="24"/>
          <w:szCs w:val="24"/>
          <w:lang w:val="sr-Cyrl-CS"/>
        </w:rPr>
        <w:t xml:space="preserve">бројем </w:t>
      </w:r>
      <w:r w:rsidR="0042411C" w:rsidRPr="00471C90">
        <w:rPr>
          <w:rFonts w:cs="Times New Roman"/>
          <w:i w:val="0"/>
          <w:iCs w:val="0"/>
          <w:color w:val="auto"/>
          <w:sz w:val="24"/>
          <w:szCs w:val="24"/>
          <w:lang w:val="sr-Cyrl-CS"/>
        </w:rPr>
        <w:t xml:space="preserve">институција </w:t>
      </w:r>
      <w:r w:rsidR="00A24B33" w:rsidRPr="00471C90">
        <w:rPr>
          <w:rFonts w:cs="Times New Roman"/>
          <w:i w:val="0"/>
          <w:iCs w:val="0"/>
          <w:color w:val="auto"/>
          <w:sz w:val="24"/>
          <w:szCs w:val="24"/>
          <w:lang w:val="sr-Cyrl-CS"/>
        </w:rPr>
        <w:t>који ће се бавити</w:t>
      </w:r>
      <w:r w:rsidR="00040E5E" w:rsidRPr="00471C90">
        <w:rPr>
          <w:rFonts w:cs="Times New Roman"/>
          <w:i w:val="0"/>
          <w:iCs w:val="0"/>
          <w:color w:val="auto"/>
          <w:sz w:val="24"/>
          <w:szCs w:val="24"/>
          <w:lang w:val="sr-Cyrl-CS"/>
        </w:rPr>
        <w:t xml:space="preserve"> развојним финансирањем.</w:t>
      </w:r>
      <w:r w:rsidR="00A24B33" w:rsidRPr="00471C90">
        <w:rPr>
          <w:rFonts w:cs="Times New Roman"/>
          <w:i w:val="0"/>
          <w:iCs w:val="0"/>
          <w:color w:val="auto"/>
          <w:sz w:val="24"/>
          <w:szCs w:val="24"/>
          <w:lang w:val="sr-Cyrl-CS"/>
        </w:rPr>
        <w:t xml:space="preserve"> </w:t>
      </w:r>
      <w:r w:rsidR="00C36D8D" w:rsidRPr="00471C90">
        <w:rPr>
          <w:rFonts w:cs="Times New Roman"/>
          <w:i w:val="0"/>
          <w:iCs w:val="0"/>
          <w:color w:val="auto"/>
          <w:sz w:val="24"/>
          <w:szCs w:val="24"/>
          <w:lang w:val="sr-Cyrl-CS"/>
        </w:rPr>
        <w:t xml:space="preserve">Овај процес је спроведен на </w:t>
      </w:r>
      <w:r w:rsidR="00B9162D" w:rsidRPr="00471C90">
        <w:rPr>
          <w:rFonts w:cs="Times New Roman"/>
          <w:i w:val="0"/>
          <w:iCs w:val="0"/>
          <w:color w:val="auto"/>
          <w:sz w:val="24"/>
          <w:szCs w:val="24"/>
          <w:lang w:val="sr-Cyrl-CS"/>
        </w:rPr>
        <w:t xml:space="preserve">основу </w:t>
      </w:r>
      <w:r w:rsidR="00C36D8D" w:rsidRPr="00471C90">
        <w:rPr>
          <w:rFonts w:cs="Times New Roman"/>
          <w:i w:val="0"/>
          <w:iCs w:val="0"/>
          <w:color w:val="auto"/>
          <w:sz w:val="24"/>
          <w:szCs w:val="24"/>
          <w:lang w:val="sr-Cyrl-CS"/>
        </w:rPr>
        <w:t xml:space="preserve">анализе упоредне тржишне праксе. Опција са </w:t>
      </w:r>
      <w:r w:rsidR="00A679D3" w:rsidRPr="00471C90">
        <w:rPr>
          <w:rFonts w:cs="Times New Roman"/>
          <w:i w:val="0"/>
          <w:iCs w:val="0"/>
          <w:color w:val="auto"/>
          <w:sz w:val="24"/>
          <w:szCs w:val="24"/>
          <w:lang w:val="sr-Cyrl-CS"/>
        </w:rPr>
        <w:t>једном развојном финансијском институцијом</w:t>
      </w:r>
      <w:r w:rsidR="00C36D8D" w:rsidRPr="00471C90">
        <w:rPr>
          <w:rFonts w:cs="Times New Roman"/>
          <w:i w:val="0"/>
          <w:iCs w:val="0"/>
          <w:color w:val="auto"/>
          <w:sz w:val="24"/>
          <w:szCs w:val="24"/>
          <w:lang w:val="sr-Cyrl-CS"/>
        </w:rPr>
        <w:t xml:space="preserve"> је оправдана са аспекта ефикасности, рационализације напора и капацитета</w:t>
      </w:r>
      <w:r w:rsidR="00DC188F" w:rsidRPr="00471C90">
        <w:rPr>
          <w:rFonts w:cs="Times New Roman"/>
          <w:i w:val="0"/>
          <w:iCs w:val="0"/>
          <w:color w:val="auto"/>
          <w:sz w:val="24"/>
          <w:szCs w:val="24"/>
          <w:lang w:val="sr-Cyrl-CS"/>
        </w:rPr>
        <w:t>,</w:t>
      </w:r>
      <w:r w:rsidR="00C36D8D" w:rsidRPr="00471C90">
        <w:rPr>
          <w:rFonts w:cs="Times New Roman"/>
          <w:i w:val="0"/>
          <w:iCs w:val="0"/>
          <w:color w:val="auto"/>
          <w:sz w:val="24"/>
          <w:szCs w:val="24"/>
          <w:lang w:val="sr-Cyrl-CS"/>
        </w:rPr>
        <w:t xml:space="preserve"> као и предности из угла клијената који би имали све доступне производе и услуге на једном месту (</w:t>
      </w:r>
      <w:r w:rsidR="00103338" w:rsidRPr="00471C90">
        <w:rPr>
          <w:rFonts w:cs="Times New Roman"/>
          <w:i w:val="0"/>
          <w:iCs w:val="0"/>
          <w:color w:val="auto"/>
          <w:sz w:val="24"/>
          <w:szCs w:val="24"/>
          <w:lang w:val="sr-Cyrl-CS"/>
        </w:rPr>
        <w:t xml:space="preserve">енгл. </w:t>
      </w:r>
      <w:r w:rsidR="00C36D8D" w:rsidRPr="00471C90">
        <w:rPr>
          <w:rFonts w:cs="Times New Roman"/>
          <w:i w:val="0"/>
          <w:iCs w:val="0"/>
          <w:color w:val="auto"/>
          <w:sz w:val="24"/>
          <w:szCs w:val="24"/>
          <w:lang w:val="sr-Cyrl-CS"/>
        </w:rPr>
        <w:t>„</w:t>
      </w:r>
      <w:r w:rsidR="00103338" w:rsidRPr="00471C90">
        <w:rPr>
          <w:rFonts w:cs="Times New Roman"/>
          <w:iCs w:val="0"/>
          <w:color w:val="auto"/>
          <w:sz w:val="24"/>
          <w:szCs w:val="24"/>
          <w:lang w:val="sr-Cyrl-CS"/>
        </w:rPr>
        <w:t>one-stop shop</w:t>
      </w:r>
      <w:r w:rsidR="001757D5" w:rsidRPr="00471C90">
        <w:rPr>
          <w:rFonts w:cs="Times New Roman"/>
          <w:i w:val="0"/>
          <w:iCs w:val="0"/>
          <w:color w:val="auto"/>
          <w:sz w:val="24"/>
          <w:szCs w:val="24"/>
          <w:lang w:val="sr-Cyrl-CS"/>
        </w:rPr>
        <w:t>ˮ</w:t>
      </w:r>
      <w:r w:rsidR="00C36D8D" w:rsidRPr="00471C90">
        <w:rPr>
          <w:rFonts w:cs="Times New Roman"/>
          <w:i w:val="0"/>
          <w:iCs w:val="0"/>
          <w:color w:val="auto"/>
          <w:sz w:val="24"/>
          <w:szCs w:val="24"/>
          <w:lang w:val="sr-Cyrl-CS"/>
        </w:rPr>
        <w:t xml:space="preserve">). Међутим, више </w:t>
      </w:r>
      <w:r w:rsidR="00A679D3" w:rsidRPr="00471C90">
        <w:rPr>
          <w:rFonts w:cs="Times New Roman"/>
          <w:i w:val="0"/>
          <w:iCs w:val="0"/>
          <w:color w:val="auto"/>
          <w:sz w:val="24"/>
          <w:szCs w:val="24"/>
          <w:lang w:val="sr-Cyrl-CS"/>
        </w:rPr>
        <w:t>развојних финансијских институција</w:t>
      </w:r>
      <w:r w:rsidR="00C36D8D" w:rsidRPr="00471C90">
        <w:rPr>
          <w:rFonts w:cs="Times New Roman"/>
          <w:i w:val="0"/>
          <w:iCs w:val="0"/>
          <w:color w:val="auto"/>
          <w:sz w:val="24"/>
          <w:szCs w:val="24"/>
          <w:lang w:val="sr-Cyrl-CS"/>
        </w:rPr>
        <w:t xml:space="preserve"> доприносе дубљој специјализацији и фокусу (сегменти клијената, одређени производи, индустрије итд.), успостављању јаснијег оквира за на</w:t>
      </w:r>
      <w:r w:rsidR="00103338" w:rsidRPr="00471C90">
        <w:rPr>
          <w:rFonts w:cs="Times New Roman"/>
          <w:i w:val="0"/>
          <w:iCs w:val="0"/>
          <w:color w:val="auto"/>
          <w:sz w:val="24"/>
          <w:szCs w:val="24"/>
          <w:lang w:val="sr-Cyrl-CS"/>
        </w:rPr>
        <w:t>дз</w:t>
      </w:r>
      <w:r w:rsidR="00C36D8D" w:rsidRPr="00471C90">
        <w:rPr>
          <w:rFonts w:cs="Times New Roman"/>
          <w:i w:val="0"/>
          <w:iCs w:val="0"/>
          <w:color w:val="auto"/>
          <w:sz w:val="24"/>
          <w:szCs w:val="24"/>
          <w:lang w:val="sr-Cyrl-CS"/>
        </w:rPr>
        <w:t>ор</w:t>
      </w:r>
      <w:r w:rsidR="00B9162D" w:rsidRPr="00471C90">
        <w:rPr>
          <w:rFonts w:cs="Times New Roman"/>
          <w:i w:val="0"/>
          <w:iCs w:val="0"/>
          <w:color w:val="auto"/>
          <w:sz w:val="24"/>
          <w:szCs w:val="24"/>
          <w:lang w:val="sr-Cyrl-CS"/>
        </w:rPr>
        <w:t xml:space="preserve"> и</w:t>
      </w:r>
      <w:r w:rsidR="00786775" w:rsidRPr="00471C90">
        <w:rPr>
          <w:rFonts w:cs="Times New Roman"/>
          <w:i w:val="0"/>
          <w:iCs w:val="0"/>
          <w:color w:val="auto"/>
          <w:sz w:val="24"/>
          <w:szCs w:val="24"/>
          <w:lang w:val="sr-Cyrl-CS"/>
        </w:rPr>
        <w:t xml:space="preserve"> </w:t>
      </w:r>
      <w:r w:rsidR="00C36D8D" w:rsidRPr="00471C90">
        <w:rPr>
          <w:rFonts w:cs="Times New Roman"/>
          <w:i w:val="0"/>
          <w:iCs w:val="0"/>
          <w:color w:val="auto"/>
          <w:sz w:val="24"/>
          <w:szCs w:val="24"/>
          <w:lang w:val="sr-Cyrl-CS"/>
        </w:rPr>
        <w:t>управљање,</w:t>
      </w:r>
      <w:r w:rsidR="00CA12D1" w:rsidRPr="00471C90">
        <w:rPr>
          <w:rFonts w:cs="Times New Roman"/>
          <w:i w:val="0"/>
          <w:iCs w:val="0"/>
          <w:color w:val="auto"/>
          <w:sz w:val="24"/>
          <w:szCs w:val="24"/>
          <w:lang w:val="sr-Cyrl-CS"/>
        </w:rPr>
        <w:t xml:space="preserve"> </w:t>
      </w:r>
      <w:r w:rsidR="00B9162D" w:rsidRPr="00471C90">
        <w:rPr>
          <w:rFonts w:cs="Times New Roman"/>
          <w:i w:val="0"/>
          <w:iCs w:val="0"/>
          <w:color w:val="auto"/>
          <w:sz w:val="24"/>
          <w:szCs w:val="24"/>
          <w:lang w:val="sr-Cyrl-CS"/>
        </w:rPr>
        <w:lastRenderedPageBreak/>
        <w:t xml:space="preserve">успостављању законодавног оквира </w:t>
      </w:r>
      <w:r w:rsidR="00C36D8D" w:rsidRPr="00471C90">
        <w:rPr>
          <w:rFonts w:cs="Times New Roman"/>
          <w:i w:val="0"/>
          <w:iCs w:val="0"/>
          <w:color w:val="auto"/>
          <w:sz w:val="24"/>
          <w:szCs w:val="24"/>
          <w:lang w:val="sr-Cyrl-CS"/>
        </w:rPr>
        <w:t xml:space="preserve">и оквира за извештавање (банка, осигурање, инвестициони фонд итд.), </w:t>
      </w:r>
      <w:r w:rsidR="00585D07" w:rsidRPr="00471C90">
        <w:rPr>
          <w:rFonts w:cs="Times New Roman"/>
          <w:i w:val="0"/>
          <w:iCs w:val="0"/>
          <w:color w:val="auto"/>
          <w:sz w:val="24"/>
          <w:szCs w:val="24"/>
          <w:lang w:val="sr-Cyrl-CS"/>
        </w:rPr>
        <w:t>као и</w:t>
      </w:r>
      <w:r w:rsidR="00DC188F" w:rsidRPr="00471C90">
        <w:rPr>
          <w:rFonts w:cs="Times New Roman"/>
          <w:i w:val="0"/>
          <w:iCs w:val="0"/>
          <w:color w:val="auto"/>
          <w:sz w:val="24"/>
          <w:szCs w:val="24"/>
          <w:lang w:val="sr-Cyrl-CS"/>
        </w:rPr>
        <w:t xml:space="preserve"> </w:t>
      </w:r>
      <w:r w:rsidR="00585D07" w:rsidRPr="00471C90">
        <w:rPr>
          <w:rFonts w:cs="Times New Roman"/>
          <w:i w:val="0"/>
          <w:iCs w:val="0"/>
          <w:color w:val="auto"/>
          <w:sz w:val="24"/>
          <w:szCs w:val="24"/>
          <w:lang w:val="sr-Cyrl-CS"/>
        </w:rPr>
        <w:t xml:space="preserve">избегавању </w:t>
      </w:r>
      <w:r w:rsidR="00C36D8D" w:rsidRPr="00471C90">
        <w:rPr>
          <w:rFonts w:cs="Times New Roman"/>
          <w:i w:val="0"/>
          <w:iCs w:val="0"/>
          <w:color w:val="auto"/>
          <w:sz w:val="24"/>
          <w:szCs w:val="24"/>
          <w:lang w:val="sr-Cyrl-CS"/>
        </w:rPr>
        <w:t xml:space="preserve">превелике организације и </w:t>
      </w:r>
      <w:r w:rsidR="00585D07" w:rsidRPr="00471C90">
        <w:rPr>
          <w:rFonts w:cs="Times New Roman"/>
          <w:i w:val="0"/>
          <w:iCs w:val="0"/>
          <w:color w:val="auto"/>
          <w:sz w:val="24"/>
          <w:szCs w:val="24"/>
          <w:lang w:val="sr-Cyrl-CS"/>
        </w:rPr>
        <w:t xml:space="preserve">потешкоћа </w:t>
      </w:r>
      <w:r w:rsidR="00C36D8D" w:rsidRPr="00471C90">
        <w:rPr>
          <w:rFonts w:cs="Times New Roman"/>
          <w:i w:val="0"/>
          <w:iCs w:val="0"/>
          <w:color w:val="auto"/>
          <w:sz w:val="24"/>
          <w:szCs w:val="24"/>
          <w:lang w:val="sr-Cyrl-CS"/>
        </w:rPr>
        <w:t>са управљањем и п</w:t>
      </w:r>
      <w:r w:rsidR="00585D07" w:rsidRPr="00471C90">
        <w:rPr>
          <w:rFonts w:cs="Times New Roman"/>
          <w:i w:val="0"/>
          <w:iCs w:val="0"/>
          <w:color w:val="auto"/>
          <w:sz w:val="24"/>
          <w:szCs w:val="24"/>
          <w:lang w:val="sr-Cyrl-CS"/>
        </w:rPr>
        <w:t>остављањем приоритета</w:t>
      </w:r>
      <w:r w:rsidR="00C36D8D" w:rsidRPr="00471C90">
        <w:rPr>
          <w:rFonts w:cs="Times New Roman"/>
          <w:i w:val="0"/>
          <w:iCs w:val="0"/>
          <w:color w:val="auto"/>
          <w:sz w:val="24"/>
          <w:szCs w:val="24"/>
          <w:lang w:val="sr-Cyrl-CS"/>
        </w:rPr>
        <w:t xml:space="preserve">. </w:t>
      </w:r>
      <w:r w:rsidR="00AB68F0" w:rsidRPr="00471C90">
        <w:rPr>
          <w:rFonts w:cs="Times New Roman"/>
          <w:i w:val="0"/>
          <w:iCs w:val="0"/>
          <w:color w:val="auto"/>
          <w:sz w:val="24"/>
          <w:szCs w:val="24"/>
          <w:lang w:val="sr-Cyrl-CS"/>
        </w:rPr>
        <w:t>А</w:t>
      </w:r>
      <w:r w:rsidR="00C36D8D" w:rsidRPr="00471C90">
        <w:rPr>
          <w:rFonts w:cs="Times New Roman"/>
          <w:i w:val="0"/>
          <w:iCs w:val="0"/>
          <w:color w:val="auto"/>
          <w:sz w:val="24"/>
          <w:szCs w:val="24"/>
          <w:lang w:val="sr-Cyrl-CS"/>
        </w:rPr>
        <w:t xml:space="preserve">нализа </w:t>
      </w:r>
      <w:r w:rsidR="00AB68F0" w:rsidRPr="00471C90">
        <w:rPr>
          <w:rFonts w:cs="Times New Roman"/>
          <w:i w:val="0"/>
          <w:iCs w:val="0"/>
          <w:color w:val="auto"/>
          <w:sz w:val="24"/>
          <w:szCs w:val="24"/>
          <w:lang w:val="sr-Cyrl-CS"/>
        </w:rPr>
        <w:t xml:space="preserve">је </w:t>
      </w:r>
      <w:r w:rsidR="00C36D8D" w:rsidRPr="00471C90">
        <w:rPr>
          <w:rFonts w:cs="Times New Roman"/>
          <w:i w:val="0"/>
          <w:iCs w:val="0"/>
          <w:color w:val="auto"/>
          <w:sz w:val="24"/>
          <w:szCs w:val="24"/>
          <w:lang w:val="sr-Cyrl-CS"/>
        </w:rPr>
        <w:t>показала да постоје различити примери на упоредивим тржиштима</w:t>
      </w:r>
      <w:r w:rsidR="00AB68F0" w:rsidRPr="00471C90">
        <w:rPr>
          <w:rFonts w:cs="Times New Roman"/>
          <w:i w:val="0"/>
          <w:iCs w:val="0"/>
          <w:color w:val="auto"/>
          <w:sz w:val="24"/>
          <w:szCs w:val="24"/>
          <w:lang w:val="sr-Cyrl-CS"/>
        </w:rPr>
        <w:t>,</w:t>
      </w:r>
      <w:r w:rsidR="00C36D8D" w:rsidRPr="00471C90">
        <w:rPr>
          <w:rFonts w:cs="Times New Roman"/>
          <w:i w:val="0"/>
          <w:iCs w:val="0"/>
          <w:color w:val="auto"/>
          <w:sz w:val="24"/>
          <w:szCs w:val="24"/>
          <w:lang w:val="sr-Cyrl-CS"/>
        </w:rPr>
        <w:t xml:space="preserve"> као и да не постоје убедљиви аргументи „за</w:t>
      </w:r>
      <w:r w:rsidR="005232BF" w:rsidRPr="00471C90">
        <w:rPr>
          <w:rFonts w:cs="Times New Roman"/>
          <w:i w:val="0"/>
          <w:iCs w:val="0"/>
          <w:color w:val="auto"/>
          <w:sz w:val="24"/>
          <w:szCs w:val="24"/>
          <w:lang w:val="sr-Cyrl-CS"/>
        </w:rPr>
        <w:t>ˮ</w:t>
      </w:r>
      <w:r w:rsidR="00C36D8D" w:rsidRPr="00471C90">
        <w:rPr>
          <w:rFonts w:cs="Times New Roman"/>
          <w:i w:val="0"/>
          <w:iCs w:val="0"/>
          <w:color w:val="auto"/>
          <w:sz w:val="24"/>
          <w:szCs w:val="24"/>
          <w:lang w:val="sr-Cyrl-CS"/>
        </w:rPr>
        <w:t xml:space="preserve"> и „против</w:t>
      </w:r>
      <w:r w:rsidR="005232BF" w:rsidRPr="00471C90">
        <w:rPr>
          <w:rFonts w:cs="Times New Roman"/>
          <w:i w:val="0"/>
          <w:iCs w:val="0"/>
          <w:color w:val="auto"/>
          <w:sz w:val="24"/>
          <w:szCs w:val="24"/>
          <w:lang w:val="sr-Cyrl-CS"/>
        </w:rPr>
        <w:t>ˮ</w:t>
      </w:r>
      <w:r w:rsidR="00C36D8D" w:rsidRPr="00471C90">
        <w:rPr>
          <w:rFonts w:cs="Times New Roman"/>
          <w:i w:val="0"/>
          <w:iCs w:val="0"/>
          <w:color w:val="auto"/>
          <w:sz w:val="24"/>
          <w:szCs w:val="24"/>
          <w:lang w:val="sr-Cyrl-CS"/>
        </w:rPr>
        <w:t xml:space="preserve"> једне или друге опције</w:t>
      </w:r>
      <w:r w:rsidR="00B9162D" w:rsidRPr="00471C90">
        <w:rPr>
          <w:rFonts w:cs="Times New Roman"/>
          <w:i w:val="0"/>
          <w:iCs w:val="0"/>
          <w:color w:val="auto"/>
          <w:sz w:val="24"/>
          <w:szCs w:val="24"/>
          <w:lang w:val="sr-Cyrl-CS"/>
        </w:rPr>
        <w:t>.</w:t>
      </w:r>
      <w:r w:rsidR="00363513" w:rsidRPr="00471C90">
        <w:rPr>
          <w:rFonts w:cs="Times New Roman"/>
          <w:i w:val="0"/>
          <w:iCs w:val="0"/>
          <w:color w:val="auto"/>
          <w:sz w:val="24"/>
          <w:szCs w:val="24"/>
          <w:lang w:val="sr-Cyrl-CS"/>
        </w:rPr>
        <w:t xml:space="preserve"> </w:t>
      </w:r>
      <w:r w:rsidR="00B9162D" w:rsidRPr="00471C90">
        <w:rPr>
          <w:rFonts w:cs="Times New Roman"/>
          <w:i w:val="0"/>
          <w:iCs w:val="0"/>
          <w:color w:val="auto"/>
          <w:sz w:val="24"/>
          <w:szCs w:val="24"/>
          <w:lang w:val="sr-Cyrl-CS"/>
        </w:rPr>
        <w:t>И</w:t>
      </w:r>
      <w:r w:rsidR="00C36D8D" w:rsidRPr="00471C90">
        <w:rPr>
          <w:rFonts w:cs="Times New Roman"/>
          <w:i w:val="0"/>
          <w:iCs w:val="0"/>
          <w:color w:val="auto"/>
          <w:sz w:val="24"/>
          <w:szCs w:val="24"/>
          <w:lang w:val="sr-Cyrl-CS"/>
        </w:rPr>
        <w:t>пак</w:t>
      </w:r>
      <w:r w:rsidR="005232BF" w:rsidRPr="00471C90">
        <w:rPr>
          <w:rFonts w:cs="Times New Roman"/>
          <w:i w:val="0"/>
          <w:iCs w:val="0"/>
          <w:color w:val="auto"/>
          <w:sz w:val="24"/>
          <w:szCs w:val="24"/>
          <w:lang w:val="sr-Cyrl-CS"/>
        </w:rPr>
        <w:t>,</w:t>
      </w:r>
      <w:r w:rsidR="00B9162D" w:rsidRPr="00471C90">
        <w:rPr>
          <w:rFonts w:cs="Times New Roman"/>
          <w:i w:val="0"/>
          <w:iCs w:val="0"/>
          <w:color w:val="auto"/>
          <w:sz w:val="24"/>
          <w:szCs w:val="24"/>
          <w:lang w:val="sr-Cyrl-CS"/>
        </w:rPr>
        <w:t xml:space="preserve"> пожељан је</w:t>
      </w:r>
      <w:r w:rsidR="00C36D8D" w:rsidRPr="00471C90">
        <w:rPr>
          <w:rFonts w:cs="Times New Roman"/>
          <w:i w:val="0"/>
          <w:iCs w:val="0"/>
          <w:color w:val="auto"/>
          <w:sz w:val="24"/>
          <w:szCs w:val="24"/>
          <w:lang w:val="sr-Cyrl-CS"/>
        </w:rPr>
        <w:t xml:space="preserve"> избор опције која укључује постојање дв</w:t>
      </w:r>
      <w:r w:rsidR="005232BF" w:rsidRPr="00471C90">
        <w:rPr>
          <w:rFonts w:cs="Times New Roman"/>
          <w:i w:val="0"/>
          <w:iCs w:val="0"/>
          <w:color w:val="auto"/>
          <w:sz w:val="24"/>
          <w:szCs w:val="24"/>
          <w:lang w:val="sr-Cyrl-CS"/>
        </w:rPr>
        <w:t xml:space="preserve">е развојне финансијске институције </w:t>
      </w:r>
      <w:r w:rsidR="00C36D8D" w:rsidRPr="00471C90">
        <w:rPr>
          <w:rFonts w:cs="Times New Roman"/>
          <w:i w:val="0"/>
          <w:iCs w:val="0"/>
          <w:color w:val="auto"/>
          <w:sz w:val="24"/>
          <w:szCs w:val="24"/>
          <w:lang w:val="sr-Cyrl-CS"/>
        </w:rPr>
        <w:t>уз оснивање њихових зависних друштава, како би се у што већој мери оптимизовале постојеће структуре.</w:t>
      </w:r>
    </w:p>
    <w:p w14:paraId="4194357D" w14:textId="3CAA5DBD" w:rsidR="005616B6" w:rsidRPr="00471C90" w:rsidRDefault="00B9162D" w:rsidP="00AE0CA2">
      <w:pPr>
        <w:ind w:firstLine="708"/>
        <w:jc w:val="both"/>
        <w:rPr>
          <w:rFonts w:cs="Times New Roman"/>
          <w:szCs w:val="24"/>
          <w:lang w:val="sr-Cyrl-CS"/>
        </w:rPr>
      </w:pPr>
      <w:r w:rsidRPr="00471C90">
        <w:rPr>
          <w:rFonts w:cs="Times New Roman"/>
          <w:szCs w:val="24"/>
          <w:lang w:val="sr-Cyrl-CS"/>
        </w:rPr>
        <w:t>У погледу</w:t>
      </w:r>
      <w:r w:rsidR="005616B6" w:rsidRPr="00471C90">
        <w:rPr>
          <w:rFonts w:cs="Times New Roman"/>
          <w:szCs w:val="24"/>
          <w:lang w:val="sr-Cyrl-CS"/>
        </w:rPr>
        <w:t xml:space="preserve"> </w:t>
      </w:r>
      <w:r w:rsidRPr="00471C90">
        <w:rPr>
          <w:rFonts w:cs="Times New Roman"/>
          <w:szCs w:val="24"/>
          <w:lang w:val="sr-Cyrl-CS"/>
        </w:rPr>
        <w:t xml:space="preserve">првог  посебног </w:t>
      </w:r>
      <w:r w:rsidR="005616B6" w:rsidRPr="00471C90">
        <w:rPr>
          <w:rFonts w:cs="Times New Roman"/>
          <w:szCs w:val="24"/>
          <w:lang w:val="sr-Cyrl-CS"/>
        </w:rPr>
        <w:t>циљ</w:t>
      </w:r>
      <w:r w:rsidRPr="00471C90">
        <w:rPr>
          <w:rFonts w:cs="Times New Roman"/>
          <w:szCs w:val="24"/>
          <w:lang w:val="sr-Cyrl-CS"/>
        </w:rPr>
        <w:t>а</w:t>
      </w:r>
      <w:r w:rsidR="005616B6" w:rsidRPr="00471C90">
        <w:rPr>
          <w:rFonts w:cs="Times New Roman"/>
          <w:szCs w:val="24"/>
          <w:lang w:val="sr-Cyrl-CS"/>
        </w:rPr>
        <w:t>, који подразумева уклањање препрека и подизање свести о спољном финансирању</w:t>
      </w:r>
      <w:r w:rsidR="008739C6" w:rsidRPr="00471C90">
        <w:rPr>
          <w:rFonts w:cs="Times New Roman"/>
          <w:szCs w:val="24"/>
          <w:lang w:val="sr-Cyrl-CS"/>
        </w:rPr>
        <w:t xml:space="preserve">, </w:t>
      </w:r>
      <w:r w:rsidR="008D1AF5" w:rsidRPr="00471C90">
        <w:rPr>
          <w:rFonts w:cs="Times New Roman"/>
          <w:szCs w:val="24"/>
          <w:lang w:val="sr-Cyrl-CS"/>
        </w:rPr>
        <w:t xml:space="preserve">упоредном анализом међународне праксе је показано да </w:t>
      </w:r>
      <w:r w:rsidR="004E036B" w:rsidRPr="00471C90">
        <w:rPr>
          <w:rFonts w:cs="Times New Roman"/>
          <w:szCs w:val="24"/>
          <w:lang w:val="sr-Cyrl-CS"/>
        </w:rPr>
        <w:t xml:space="preserve">би мере које доприносе његовом </w:t>
      </w:r>
      <w:r w:rsidR="00992B73" w:rsidRPr="00471C90">
        <w:rPr>
          <w:rFonts w:cs="Times New Roman"/>
          <w:szCs w:val="24"/>
          <w:lang w:val="sr-Cyrl-CS"/>
        </w:rPr>
        <w:t>остварењу</w:t>
      </w:r>
      <w:r w:rsidR="004E036B" w:rsidRPr="00471C90">
        <w:rPr>
          <w:rFonts w:cs="Times New Roman"/>
          <w:szCs w:val="24"/>
          <w:lang w:val="sr-Cyrl-CS"/>
        </w:rPr>
        <w:t xml:space="preserve"> требало да буду из области </w:t>
      </w:r>
      <w:r w:rsidR="00992B73" w:rsidRPr="00471C90">
        <w:rPr>
          <w:rFonts w:cs="Times New Roman"/>
          <w:szCs w:val="24"/>
          <w:lang w:val="sr-Cyrl-CS"/>
        </w:rPr>
        <w:t xml:space="preserve">побољшања постојећих и увођења нових типова финансирања, као и </w:t>
      </w:r>
      <w:r w:rsidR="004D1330" w:rsidRPr="00471C90">
        <w:rPr>
          <w:rFonts w:cs="Times New Roman"/>
          <w:szCs w:val="24"/>
          <w:lang w:val="sr-Cyrl-CS"/>
        </w:rPr>
        <w:t>едукативних кампања за подизање свести о спољном финансирању</w:t>
      </w:r>
      <w:r w:rsidR="009D706D" w:rsidRPr="00471C90">
        <w:rPr>
          <w:rFonts w:cs="Times New Roman"/>
          <w:szCs w:val="24"/>
          <w:lang w:val="sr-Cyrl-CS"/>
        </w:rPr>
        <w:t>, без обзира на форму институција кроз које се циљ остварује</w:t>
      </w:r>
      <w:r w:rsidR="004D1330" w:rsidRPr="00471C90">
        <w:rPr>
          <w:rFonts w:cs="Times New Roman"/>
          <w:szCs w:val="24"/>
          <w:lang w:val="sr-Cyrl-CS"/>
        </w:rPr>
        <w:t xml:space="preserve">. У складу с тим, </w:t>
      </w:r>
      <w:r w:rsidR="00F32D05" w:rsidRPr="00471C90">
        <w:rPr>
          <w:rFonts w:cs="Times New Roman"/>
          <w:szCs w:val="24"/>
          <w:lang w:val="sr-Cyrl-CS"/>
        </w:rPr>
        <w:t xml:space="preserve">није било потребе за анализом различитих опција за достизање овог циља, већ су мере </w:t>
      </w:r>
      <w:r w:rsidRPr="00471C90">
        <w:rPr>
          <w:rFonts w:cs="Times New Roman"/>
          <w:szCs w:val="24"/>
          <w:lang w:val="sr-Cyrl-CS"/>
        </w:rPr>
        <w:t>утврђене на основу</w:t>
      </w:r>
      <w:r w:rsidR="00F32D05" w:rsidRPr="00471C90">
        <w:rPr>
          <w:rFonts w:cs="Times New Roman"/>
          <w:szCs w:val="24"/>
          <w:lang w:val="sr-Cyrl-CS"/>
        </w:rPr>
        <w:t xml:space="preserve"> добре праксе у окружењу.</w:t>
      </w:r>
    </w:p>
    <w:p w14:paraId="0F12AC9A" w14:textId="3E736628" w:rsidR="00C36D8D" w:rsidRPr="00471C90" w:rsidRDefault="0051144F" w:rsidP="00587627">
      <w:pPr>
        <w:pStyle w:val="Caption"/>
        <w:keepNext/>
        <w:spacing w:after="120"/>
        <w:ind w:firstLine="708"/>
        <w:jc w:val="both"/>
        <w:rPr>
          <w:rFonts w:eastAsiaTheme="majorEastAsia" w:cs="Times New Roman"/>
          <w:i w:val="0"/>
          <w:iCs w:val="0"/>
          <w:color w:val="auto"/>
          <w:sz w:val="24"/>
          <w:szCs w:val="24"/>
          <w:lang w:val="sr-Cyrl-CS"/>
        </w:rPr>
      </w:pPr>
      <w:r w:rsidRPr="00471C90">
        <w:rPr>
          <w:rFonts w:eastAsiaTheme="majorEastAsia" w:cs="Times New Roman"/>
          <w:i w:val="0"/>
          <w:iCs w:val="0"/>
          <w:color w:val="auto"/>
          <w:sz w:val="24"/>
          <w:szCs w:val="24"/>
          <w:lang w:val="sr-Cyrl-CS"/>
        </w:rPr>
        <w:t xml:space="preserve">За достизање другог посебног циља, </w:t>
      </w:r>
      <w:r w:rsidR="00BC69B5" w:rsidRPr="00471C90">
        <w:rPr>
          <w:rFonts w:eastAsiaTheme="majorEastAsia" w:cs="Times New Roman"/>
          <w:i w:val="0"/>
          <w:iCs w:val="0"/>
          <w:color w:val="auto"/>
          <w:sz w:val="24"/>
          <w:szCs w:val="24"/>
          <w:lang w:val="sr-Cyrl-CS"/>
        </w:rPr>
        <w:t>везаног за у</w:t>
      </w:r>
      <w:r w:rsidRPr="00471C90">
        <w:rPr>
          <w:rFonts w:eastAsiaTheme="majorEastAsia" w:cs="Times New Roman"/>
          <w:i w:val="0"/>
          <w:iCs w:val="0"/>
          <w:color w:val="auto"/>
          <w:sz w:val="24"/>
          <w:szCs w:val="24"/>
          <w:lang w:val="sr-Cyrl-CS"/>
        </w:rPr>
        <w:t>напређење институционалног оквира за развојно финансирање</w:t>
      </w:r>
      <w:r w:rsidR="00BC69B5" w:rsidRPr="00471C90">
        <w:rPr>
          <w:rFonts w:eastAsiaTheme="majorEastAsia" w:cs="Times New Roman"/>
          <w:i w:val="0"/>
          <w:iCs w:val="0"/>
          <w:color w:val="auto"/>
          <w:sz w:val="24"/>
          <w:szCs w:val="24"/>
          <w:lang w:val="sr-Cyrl-CS"/>
        </w:rPr>
        <w:t>, размотрен</w:t>
      </w:r>
      <w:r w:rsidR="00231756" w:rsidRPr="00471C90">
        <w:rPr>
          <w:rFonts w:eastAsiaTheme="majorEastAsia" w:cs="Times New Roman"/>
          <w:i w:val="0"/>
          <w:iCs w:val="0"/>
          <w:color w:val="auto"/>
          <w:sz w:val="24"/>
          <w:szCs w:val="24"/>
          <w:lang w:val="sr-Cyrl-CS"/>
        </w:rPr>
        <w:t>е</w:t>
      </w:r>
      <w:r w:rsidR="00BC69B5" w:rsidRPr="00471C90">
        <w:rPr>
          <w:rFonts w:eastAsiaTheme="majorEastAsia" w:cs="Times New Roman"/>
          <w:i w:val="0"/>
          <w:iCs w:val="0"/>
          <w:color w:val="auto"/>
          <w:sz w:val="24"/>
          <w:szCs w:val="24"/>
          <w:lang w:val="sr-Cyrl-CS"/>
        </w:rPr>
        <w:t xml:space="preserve"> </w:t>
      </w:r>
      <w:r w:rsidR="00231756" w:rsidRPr="00471C90">
        <w:rPr>
          <w:rFonts w:eastAsiaTheme="majorEastAsia" w:cs="Times New Roman"/>
          <w:i w:val="0"/>
          <w:iCs w:val="0"/>
          <w:color w:val="auto"/>
          <w:sz w:val="24"/>
          <w:szCs w:val="24"/>
          <w:lang w:val="sr-Cyrl-CS"/>
        </w:rPr>
        <w:t xml:space="preserve">су </w:t>
      </w:r>
      <w:r w:rsidR="00BC69B5" w:rsidRPr="00471C90">
        <w:rPr>
          <w:rFonts w:eastAsiaTheme="majorEastAsia" w:cs="Times New Roman"/>
          <w:i w:val="0"/>
          <w:iCs w:val="0"/>
          <w:color w:val="auto"/>
          <w:sz w:val="24"/>
          <w:szCs w:val="24"/>
          <w:lang w:val="sr-Cyrl-CS"/>
        </w:rPr>
        <w:t xml:space="preserve">три опције </w:t>
      </w:r>
      <w:r w:rsidR="002622AC" w:rsidRPr="00471C90">
        <w:rPr>
          <w:rFonts w:eastAsiaTheme="majorEastAsia" w:cs="Times New Roman"/>
          <w:i w:val="0"/>
          <w:iCs w:val="0"/>
          <w:color w:val="auto"/>
          <w:sz w:val="24"/>
          <w:szCs w:val="24"/>
          <w:lang w:val="sr-Cyrl-CS"/>
        </w:rPr>
        <w:t xml:space="preserve">помоћу којих би институционални оквир достигао жељени ниво. </w:t>
      </w:r>
      <w:r w:rsidR="009250AB" w:rsidRPr="00471C90">
        <w:rPr>
          <w:rFonts w:eastAsiaTheme="majorEastAsia" w:cs="Times New Roman"/>
          <w:i w:val="0"/>
          <w:iCs w:val="0"/>
          <w:color w:val="auto"/>
          <w:sz w:val="24"/>
          <w:szCs w:val="24"/>
          <w:lang w:val="sr-Cyrl-CS"/>
        </w:rPr>
        <w:t xml:space="preserve">У наредном кораку су </w:t>
      </w:r>
      <w:r w:rsidR="00B9162D" w:rsidRPr="00471C90">
        <w:rPr>
          <w:rFonts w:eastAsiaTheme="majorEastAsia" w:cs="Times New Roman"/>
          <w:i w:val="0"/>
          <w:iCs w:val="0"/>
          <w:color w:val="auto"/>
          <w:sz w:val="24"/>
          <w:szCs w:val="24"/>
          <w:lang w:val="sr-Cyrl-CS"/>
        </w:rPr>
        <w:t xml:space="preserve">дефинисане </w:t>
      </w:r>
      <w:r w:rsidR="00B54A8D" w:rsidRPr="00471C90">
        <w:rPr>
          <w:rFonts w:eastAsiaTheme="majorEastAsia" w:cs="Times New Roman"/>
          <w:i w:val="0"/>
          <w:iCs w:val="0"/>
          <w:color w:val="auto"/>
          <w:sz w:val="24"/>
          <w:szCs w:val="24"/>
          <w:lang w:val="sr-Cyrl-CS"/>
        </w:rPr>
        <w:t>и разматране опције за об</w:t>
      </w:r>
      <w:r w:rsidR="00231756" w:rsidRPr="00471C90">
        <w:rPr>
          <w:rFonts w:eastAsiaTheme="majorEastAsia" w:cs="Times New Roman"/>
          <w:i w:val="0"/>
          <w:iCs w:val="0"/>
          <w:color w:val="auto"/>
          <w:sz w:val="24"/>
          <w:szCs w:val="24"/>
          <w:lang w:val="sr-Cyrl-CS"/>
        </w:rPr>
        <w:t>е</w:t>
      </w:r>
      <w:r w:rsidR="00B54A8D" w:rsidRPr="00471C90">
        <w:rPr>
          <w:rFonts w:eastAsiaTheme="majorEastAsia" w:cs="Times New Roman"/>
          <w:i w:val="0"/>
          <w:iCs w:val="0"/>
          <w:color w:val="auto"/>
          <w:sz w:val="24"/>
          <w:szCs w:val="24"/>
          <w:lang w:val="sr-Cyrl-CS"/>
        </w:rPr>
        <w:t xml:space="preserve"> </w:t>
      </w:r>
      <w:r w:rsidR="00231756" w:rsidRPr="00471C90">
        <w:rPr>
          <w:rFonts w:eastAsiaTheme="majorEastAsia" w:cs="Times New Roman"/>
          <w:i w:val="0"/>
          <w:iCs w:val="0"/>
          <w:color w:val="auto"/>
          <w:sz w:val="24"/>
          <w:szCs w:val="24"/>
          <w:lang w:val="sr-Cyrl-CS"/>
        </w:rPr>
        <w:t xml:space="preserve">развојне финансијске институције </w:t>
      </w:r>
      <w:r w:rsidR="00B54A8D" w:rsidRPr="00471C90">
        <w:rPr>
          <w:rFonts w:eastAsiaTheme="majorEastAsia" w:cs="Times New Roman"/>
          <w:i w:val="0"/>
          <w:iCs w:val="0"/>
          <w:color w:val="auto"/>
          <w:sz w:val="24"/>
          <w:szCs w:val="24"/>
          <w:lang w:val="sr-Cyrl-CS"/>
        </w:rPr>
        <w:t>поје</w:t>
      </w:r>
      <w:r w:rsidR="003E6920" w:rsidRPr="00471C90">
        <w:rPr>
          <w:rFonts w:eastAsiaTheme="majorEastAsia" w:cs="Times New Roman"/>
          <w:i w:val="0"/>
          <w:iCs w:val="0"/>
          <w:color w:val="auto"/>
          <w:sz w:val="24"/>
          <w:szCs w:val="24"/>
          <w:lang w:val="sr-Cyrl-CS"/>
        </w:rPr>
        <w:t>д</w:t>
      </w:r>
      <w:r w:rsidR="00B54A8D" w:rsidRPr="00471C90">
        <w:rPr>
          <w:rFonts w:eastAsiaTheme="majorEastAsia" w:cs="Times New Roman"/>
          <w:i w:val="0"/>
          <w:iCs w:val="0"/>
          <w:color w:val="auto"/>
          <w:sz w:val="24"/>
          <w:szCs w:val="24"/>
          <w:lang w:val="sr-Cyrl-CS"/>
        </w:rPr>
        <w:t xml:space="preserve">иначно. </w:t>
      </w:r>
      <w:r w:rsidR="00C36D8D" w:rsidRPr="00471C90">
        <w:rPr>
          <w:rFonts w:eastAsiaTheme="majorEastAsia" w:cs="Times New Roman"/>
          <w:i w:val="0"/>
          <w:iCs w:val="0"/>
          <w:color w:val="auto"/>
          <w:sz w:val="24"/>
          <w:szCs w:val="24"/>
          <w:lang w:val="sr-Cyrl-CS"/>
        </w:rPr>
        <w:t xml:space="preserve">Анализа је спроведена са циљем </w:t>
      </w:r>
      <w:r w:rsidR="00B9162D" w:rsidRPr="00471C90">
        <w:rPr>
          <w:rFonts w:eastAsiaTheme="majorEastAsia" w:cs="Times New Roman"/>
          <w:i w:val="0"/>
          <w:iCs w:val="0"/>
          <w:color w:val="auto"/>
          <w:sz w:val="24"/>
          <w:szCs w:val="24"/>
          <w:lang w:val="sr-Cyrl-CS"/>
        </w:rPr>
        <w:t xml:space="preserve">избора опције којом </w:t>
      </w:r>
      <w:r w:rsidR="00C36D8D" w:rsidRPr="00471C90">
        <w:rPr>
          <w:rFonts w:eastAsiaTheme="majorEastAsia" w:cs="Times New Roman"/>
          <w:i w:val="0"/>
          <w:iCs w:val="0"/>
          <w:color w:val="auto"/>
          <w:sz w:val="24"/>
          <w:szCs w:val="24"/>
          <w:lang w:val="sr-Cyrl-CS"/>
        </w:rPr>
        <w:t xml:space="preserve"> ће се на најбољи начин спроводити прописане мере и која ће најбоље допринети остваривању постављених циљева. Предложене опције које су анализиране су: </w:t>
      </w:r>
    </w:p>
    <w:p w14:paraId="231F4F1E" w14:textId="09100EE0" w:rsidR="00B135F9" w:rsidRPr="00471C90" w:rsidRDefault="00C36D8D" w:rsidP="00F6577C">
      <w:pPr>
        <w:pStyle w:val="Caption"/>
        <w:keepNext/>
        <w:numPr>
          <w:ilvl w:val="0"/>
          <w:numId w:val="32"/>
        </w:numPr>
        <w:tabs>
          <w:tab w:val="left" w:pos="993"/>
        </w:tabs>
        <w:spacing w:after="0"/>
        <w:ind w:left="0" w:firstLine="709"/>
        <w:jc w:val="both"/>
        <w:rPr>
          <w:rFonts w:eastAsiaTheme="majorEastAsia" w:cs="Times New Roman"/>
          <w:i w:val="0"/>
          <w:iCs w:val="0"/>
          <w:color w:val="auto"/>
          <w:sz w:val="24"/>
          <w:szCs w:val="24"/>
          <w:lang w:val="sr-Cyrl-CS"/>
        </w:rPr>
      </w:pPr>
      <w:r w:rsidRPr="00471C90">
        <w:rPr>
          <w:rFonts w:eastAsiaTheme="majorEastAsia" w:cs="Times New Roman"/>
          <w:i w:val="0"/>
          <w:iCs w:val="0"/>
          <w:color w:val="auto"/>
          <w:sz w:val="24"/>
          <w:szCs w:val="24"/>
          <w:lang w:val="sr-Cyrl-CS"/>
        </w:rPr>
        <w:t>одржавање тренутне ситуације;</w:t>
      </w:r>
    </w:p>
    <w:p w14:paraId="3859E2C5" w14:textId="4EDFF728" w:rsidR="00C36D8D" w:rsidRPr="00471C90" w:rsidRDefault="00C36D8D" w:rsidP="00F6577C">
      <w:pPr>
        <w:pStyle w:val="Caption"/>
        <w:keepNext/>
        <w:numPr>
          <w:ilvl w:val="0"/>
          <w:numId w:val="32"/>
        </w:numPr>
        <w:tabs>
          <w:tab w:val="left" w:pos="993"/>
        </w:tabs>
        <w:spacing w:after="0"/>
        <w:ind w:left="0" w:firstLine="709"/>
        <w:jc w:val="both"/>
        <w:rPr>
          <w:rFonts w:eastAsiaTheme="majorEastAsia" w:cs="Times New Roman"/>
          <w:i w:val="0"/>
          <w:iCs w:val="0"/>
          <w:color w:val="auto"/>
          <w:sz w:val="24"/>
          <w:szCs w:val="24"/>
          <w:lang w:val="sr-Cyrl-CS"/>
        </w:rPr>
      </w:pPr>
      <w:r w:rsidRPr="00471C90">
        <w:rPr>
          <w:rFonts w:eastAsiaTheme="majorEastAsia" w:cs="Times New Roman"/>
          <w:i w:val="0"/>
          <w:iCs w:val="0"/>
          <w:color w:val="auto"/>
          <w:sz w:val="24"/>
          <w:szCs w:val="24"/>
          <w:lang w:val="sr-Cyrl-CS"/>
        </w:rPr>
        <w:t xml:space="preserve">реструктурирање </w:t>
      </w:r>
      <w:r w:rsidR="00A679D3" w:rsidRPr="00471C90">
        <w:rPr>
          <w:rFonts w:eastAsiaTheme="majorEastAsia" w:cs="Times New Roman"/>
          <w:i w:val="0"/>
          <w:iCs w:val="0"/>
          <w:color w:val="auto"/>
          <w:sz w:val="24"/>
          <w:szCs w:val="24"/>
          <w:lang w:val="sr-Cyrl-CS"/>
        </w:rPr>
        <w:t>једне или обе развојне финансијске институције</w:t>
      </w:r>
      <w:r w:rsidRPr="00471C90">
        <w:rPr>
          <w:rFonts w:eastAsiaTheme="majorEastAsia" w:cs="Times New Roman"/>
          <w:i w:val="0"/>
          <w:iCs w:val="0"/>
          <w:color w:val="auto"/>
          <w:sz w:val="24"/>
          <w:szCs w:val="24"/>
          <w:lang w:val="sr-Cyrl-CS"/>
        </w:rPr>
        <w:t>;</w:t>
      </w:r>
    </w:p>
    <w:p w14:paraId="6B5D79DA" w14:textId="349BC3C2" w:rsidR="00C36D8D" w:rsidRPr="00471C90" w:rsidRDefault="00C36D8D" w:rsidP="00F6577C">
      <w:pPr>
        <w:pStyle w:val="Caption"/>
        <w:keepNext/>
        <w:numPr>
          <w:ilvl w:val="0"/>
          <w:numId w:val="32"/>
        </w:numPr>
        <w:tabs>
          <w:tab w:val="left" w:pos="993"/>
        </w:tabs>
        <w:spacing w:after="120"/>
        <w:ind w:left="0" w:firstLine="709"/>
        <w:jc w:val="both"/>
        <w:rPr>
          <w:rFonts w:eastAsiaTheme="majorEastAsia" w:cs="Times New Roman"/>
          <w:i w:val="0"/>
          <w:iCs w:val="0"/>
          <w:color w:val="auto"/>
          <w:sz w:val="24"/>
          <w:szCs w:val="24"/>
          <w:lang w:val="sr-Cyrl-CS"/>
        </w:rPr>
      </w:pPr>
      <w:r w:rsidRPr="00471C90">
        <w:rPr>
          <w:rFonts w:eastAsiaTheme="majorEastAsia" w:cs="Times New Roman"/>
          <w:i w:val="0"/>
          <w:iCs w:val="0"/>
          <w:color w:val="auto"/>
          <w:sz w:val="24"/>
          <w:szCs w:val="24"/>
          <w:lang w:val="sr-Cyrl-CS"/>
        </w:rPr>
        <w:t xml:space="preserve">затварање </w:t>
      </w:r>
      <w:r w:rsidR="00A679D3" w:rsidRPr="00471C90">
        <w:rPr>
          <w:rFonts w:eastAsiaTheme="majorEastAsia" w:cs="Times New Roman"/>
          <w:i w:val="0"/>
          <w:iCs w:val="0"/>
          <w:color w:val="auto"/>
          <w:sz w:val="24"/>
          <w:szCs w:val="24"/>
          <w:lang w:val="sr-Cyrl-CS"/>
        </w:rPr>
        <w:t xml:space="preserve">једне </w:t>
      </w:r>
      <w:r w:rsidRPr="00471C90">
        <w:rPr>
          <w:rFonts w:eastAsiaTheme="majorEastAsia" w:cs="Times New Roman"/>
          <w:i w:val="0"/>
          <w:iCs w:val="0"/>
          <w:color w:val="auto"/>
          <w:sz w:val="24"/>
          <w:szCs w:val="24"/>
          <w:lang w:val="sr-Cyrl-CS"/>
        </w:rPr>
        <w:t xml:space="preserve">или </w:t>
      </w:r>
      <w:r w:rsidR="00A679D3" w:rsidRPr="00471C90">
        <w:rPr>
          <w:rFonts w:eastAsiaTheme="majorEastAsia" w:cs="Times New Roman"/>
          <w:i w:val="0"/>
          <w:iCs w:val="0"/>
          <w:color w:val="auto"/>
          <w:sz w:val="24"/>
          <w:szCs w:val="24"/>
          <w:lang w:val="sr-Cyrl-CS"/>
        </w:rPr>
        <w:t xml:space="preserve">обе развојне финансијске институције </w:t>
      </w:r>
      <w:r w:rsidRPr="00471C90">
        <w:rPr>
          <w:rFonts w:eastAsiaTheme="majorEastAsia" w:cs="Times New Roman"/>
          <w:i w:val="0"/>
          <w:iCs w:val="0"/>
          <w:color w:val="auto"/>
          <w:sz w:val="24"/>
          <w:szCs w:val="24"/>
          <w:lang w:val="sr-Cyrl-CS"/>
        </w:rPr>
        <w:t>и успостављање нових.</w:t>
      </w:r>
    </w:p>
    <w:p w14:paraId="43F6A401" w14:textId="67222F4A" w:rsidR="004926EB" w:rsidRPr="00471C90" w:rsidRDefault="008A1AB9" w:rsidP="00AE0CA2">
      <w:pPr>
        <w:pStyle w:val="Caption"/>
        <w:keepNext/>
        <w:ind w:firstLine="357"/>
        <w:jc w:val="both"/>
        <w:rPr>
          <w:rFonts w:eastAsiaTheme="majorEastAsia" w:cs="Times New Roman"/>
          <w:i w:val="0"/>
          <w:iCs w:val="0"/>
          <w:color w:val="auto"/>
          <w:sz w:val="24"/>
          <w:szCs w:val="24"/>
          <w:lang w:val="sr-Cyrl-CS"/>
        </w:rPr>
      </w:pPr>
      <w:r w:rsidRPr="00471C90">
        <w:rPr>
          <w:rFonts w:eastAsiaTheme="majorEastAsia" w:cs="Times New Roman"/>
          <w:i w:val="0"/>
          <w:iCs w:val="0"/>
          <w:color w:val="auto"/>
          <w:sz w:val="24"/>
          <w:szCs w:val="24"/>
          <w:lang w:val="sr-Cyrl-CS"/>
        </w:rPr>
        <w:t xml:space="preserve">Одржавање тренутне ситуације </w:t>
      </w:r>
      <w:r w:rsidR="00EA397C" w:rsidRPr="00471C90">
        <w:rPr>
          <w:rFonts w:eastAsiaTheme="majorEastAsia" w:cs="Times New Roman"/>
          <w:i w:val="0"/>
          <w:iCs w:val="0"/>
          <w:color w:val="auto"/>
          <w:sz w:val="24"/>
          <w:szCs w:val="24"/>
          <w:lang w:val="sr-Cyrl-CS"/>
        </w:rPr>
        <w:t xml:space="preserve">подразумева задржавање постојећих институција у тренутном облику, без </w:t>
      </w:r>
      <w:r w:rsidR="008D6EE3" w:rsidRPr="00471C90">
        <w:rPr>
          <w:rFonts w:eastAsiaTheme="majorEastAsia" w:cs="Times New Roman"/>
          <w:i w:val="0"/>
          <w:iCs w:val="0"/>
          <w:color w:val="auto"/>
          <w:sz w:val="24"/>
          <w:szCs w:val="24"/>
          <w:lang w:val="sr-Cyrl-CS"/>
        </w:rPr>
        <w:t xml:space="preserve">унапређења процеса у њима, уз </w:t>
      </w:r>
      <w:r w:rsidR="001A4BED" w:rsidRPr="00471C90">
        <w:rPr>
          <w:rFonts w:eastAsiaTheme="majorEastAsia" w:cs="Times New Roman"/>
          <w:i w:val="0"/>
          <w:iCs w:val="0"/>
          <w:color w:val="auto"/>
          <w:sz w:val="24"/>
          <w:szCs w:val="24"/>
          <w:lang w:val="sr-Cyrl-CS"/>
        </w:rPr>
        <w:t xml:space="preserve">потенцијално унапређење оквира за надзор од стране министарства надлежног за </w:t>
      </w:r>
      <w:r w:rsidR="007D3D6C" w:rsidRPr="00471C90">
        <w:rPr>
          <w:rFonts w:eastAsiaTheme="majorEastAsia" w:cs="Times New Roman"/>
          <w:i w:val="0"/>
          <w:iCs w:val="0"/>
          <w:color w:val="auto"/>
          <w:sz w:val="24"/>
          <w:szCs w:val="24"/>
          <w:lang w:val="sr-Cyrl-CS"/>
        </w:rPr>
        <w:t>Министарство финансија</w:t>
      </w:r>
      <w:r w:rsidR="00807CFA" w:rsidRPr="00471C90">
        <w:rPr>
          <w:rFonts w:eastAsiaTheme="majorEastAsia" w:cs="Times New Roman"/>
          <w:i w:val="0"/>
          <w:iCs w:val="0"/>
          <w:color w:val="auto"/>
          <w:sz w:val="24"/>
          <w:szCs w:val="24"/>
          <w:lang w:val="sr-Cyrl-CS"/>
        </w:rPr>
        <w:t xml:space="preserve">. </w:t>
      </w:r>
      <w:r w:rsidR="00C12461" w:rsidRPr="00471C90">
        <w:rPr>
          <w:rFonts w:eastAsiaTheme="majorEastAsia" w:cs="Times New Roman"/>
          <w:i w:val="0"/>
          <w:iCs w:val="0"/>
          <w:color w:val="auto"/>
          <w:sz w:val="24"/>
          <w:szCs w:val="24"/>
          <w:lang w:val="sr-Cyrl-CS"/>
        </w:rPr>
        <w:t xml:space="preserve">Ефекти избора ове опције би били ограничени и не би представљали </w:t>
      </w:r>
      <w:r w:rsidR="00807884" w:rsidRPr="00471C90">
        <w:rPr>
          <w:rFonts w:eastAsiaTheme="majorEastAsia" w:cs="Times New Roman"/>
          <w:i w:val="0"/>
          <w:iCs w:val="0"/>
          <w:color w:val="auto"/>
          <w:sz w:val="24"/>
          <w:szCs w:val="24"/>
          <w:lang w:val="sr-Cyrl-CS"/>
        </w:rPr>
        <w:t>значајан помак у односу на постојеће стање</w:t>
      </w:r>
      <w:r w:rsidR="00C27771" w:rsidRPr="00471C90">
        <w:rPr>
          <w:rFonts w:eastAsiaTheme="majorEastAsia" w:cs="Times New Roman"/>
          <w:i w:val="0"/>
          <w:iCs w:val="0"/>
          <w:color w:val="auto"/>
          <w:sz w:val="24"/>
          <w:szCs w:val="24"/>
          <w:lang w:val="sr-Cyrl-CS"/>
        </w:rPr>
        <w:t>.</w:t>
      </w:r>
    </w:p>
    <w:p w14:paraId="542105D4" w14:textId="3865802B" w:rsidR="00C27771" w:rsidRPr="00471C90" w:rsidRDefault="000E64D3" w:rsidP="00AE0CA2">
      <w:pPr>
        <w:ind w:firstLine="357"/>
        <w:jc w:val="both"/>
        <w:rPr>
          <w:rFonts w:cs="Times New Roman"/>
          <w:szCs w:val="24"/>
          <w:lang w:val="sr-Cyrl-CS"/>
        </w:rPr>
      </w:pPr>
      <w:r w:rsidRPr="00471C90">
        <w:rPr>
          <w:rFonts w:cs="Times New Roman"/>
          <w:szCs w:val="24"/>
          <w:lang w:val="sr-Cyrl-CS"/>
        </w:rPr>
        <w:t xml:space="preserve">Реструктурирање </w:t>
      </w:r>
      <w:r w:rsidR="00A679D3" w:rsidRPr="00471C90">
        <w:rPr>
          <w:rFonts w:cs="Times New Roman"/>
          <w:szCs w:val="24"/>
          <w:lang w:val="sr-Cyrl-CS"/>
        </w:rPr>
        <w:t xml:space="preserve">развојних финансијских институција </w:t>
      </w:r>
      <w:r w:rsidR="00985AF4" w:rsidRPr="00471C90">
        <w:rPr>
          <w:rFonts w:cs="Times New Roman"/>
          <w:szCs w:val="24"/>
          <w:lang w:val="sr-Cyrl-CS"/>
        </w:rPr>
        <w:t>такође подразумева задржавање постојећих институција</w:t>
      </w:r>
      <w:r w:rsidR="002F73CC" w:rsidRPr="00471C90">
        <w:rPr>
          <w:rFonts w:cs="Times New Roman"/>
          <w:szCs w:val="24"/>
          <w:lang w:val="sr-Cyrl-CS"/>
        </w:rPr>
        <w:t xml:space="preserve">, </w:t>
      </w:r>
      <w:r w:rsidR="00DD5946" w:rsidRPr="00471C90">
        <w:rPr>
          <w:rFonts w:cs="Times New Roman"/>
          <w:szCs w:val="24"/>
          <w:lang w:val="sr-Cyrl-CS"/>
        </w:rPr>
        <w:t xml:space="preserve">али </w:t>
      </w:r>
      <w:r w:rsidR="002F73CC" w:rsidRPr="00471C90">
        <w:rPr>
          <w:rFonts w:cs="Times New Roman"/>
          <w:szCs w:val="24"/>
          <w:lang w:val="sr-Cyrl-CS"/>
        </w:rPr>
        <w:t xml:space="preserve">уз </w:t>
      </w:r>
      <w:r w:rsidR="00817336" w:rsidRPr="00471C90">
        <w:rPr>
          <w:rFonts w:cs="Times New Roman"/>
          <w:szCs w:val="24"/>
          <w:lang w:val="sr-Cyrl-CS"/>
        </w:rPr>
        <w:t xml:space="preserve">надоградњу </w:t>
      </w:r>
      <w:r w:rsidR="002F73CC" w:rsidRPr="00471C90">
        <w:rPr>
          <w:rFonts w:cs="Times New Roman"/>
          <w:szCs w:val="24"/>
          <w:lang w:val="sr-Cyrl-CS"/>
        </w:rPr>
        <w:t>више аспеката њиховог пословања</w:t>
      </w:r>
      <w:r w:rsidR="00817336" w:rsidRPr="00471C90">
        <w:rPr>
          <w:rFonts w:cs="Times New Roman"/>
          <w:szCs w:val="24"/>
          <w:lang w:val="sr-Cyrl-CS"/>
        </w:rPr>
        <w:t xml:space="preserve">, </w:t>
      </w:r>
      <w:r w:rsidR="00981F68" w:rsidRPr="00471C90">
        <w:rPr>
          <w:rFonts w:cs="Times New Roman"/>
          <w:szCs w:val="24"/>
          <w:lang w:val="sr-Cyrl-CS"/>
        </w:rPr>
        <w:t>увећање обима извора финансирања</w:t>
      </w:r>
      <w:r w:rsidR="003C388F" w:rsidRPr="00471C90">
        <w:rPr>
          <w:rFonts w:cs="Times New Roman"/>
          <w:szCs w:val="24"/>
          <w:lang w:val="sr-Cyrl-CS"/>
        </w:rPr>
        <w:t xml:space="preserve"> и успостављање одговарајућег механизма надзора.</w:t>
      </w:r>
      <w:r w:rsidR="00A0760F" w:rsidRPr="00471C90">
        <w:rPr>
          <w:rFonts w:cs="Times New Roman"/>
          <w:szCs w:val="24"/>
          <w:lang w:val="sr-Cyrl-CS"/>
        </w:rPr>
        <w:t xml:space="preserve"> </w:t>
      </w:r>
      <w:r w:rsidR="00B9162D" w:rsidRPr="00471C90">
        <w:rPr>
          <w:rFonts w:cs="Times New Roman"/>
          <w:szCs w:val="24"/>
          <w:lang w:val="sr-Cyrl-CS"/>
        </w:rPr>
        <w:t>За ову опцију је потребно</w:t>
      </w:r>
      <w:r w:rsidR="00A0760F" w:rsidRPr="00471C90">
        <w:rPr>
          <w:rFonts w:cs="Times New Roman"/>
          <w:szCs w:val="24"/>
          <w:lang w:val="sr-Cyrl-CS"/>
        </w:rPr>
        <w:t xml:space="preserve"> издвајање </w:t>
      </w:r>
      <w:r w:rsidR="003F0FE5" w:rsidRPr="00471C90">
        <w:rPr>
          <w:rFonts w:cs="Times New Roman"/>
          <w:szCs w:val="24"/>
          <w:lang w:val="sr-Cyrl-CS"/>
        </w:rPr>
        <w:t xml:space="preserve">одређеног износа финансијских </w:t>
      </w:r>
      <w:r w:rsidR="00512660" w:rsidRPr="00471C90">
        <w:rPr>
          <w:rFonts w:cs="Times New Roman"/>
          <w:szCs w:val="24"/>
          <w:lang w:val="sr-Cyrl-CS"/>
        </w:rPr>
        <w:t>средстава</w:t>
      </w:r>
      <w:r w:rsidR="007C6C5C" w:rsidRPr="00471C90">
        <w:rPr>
          <w:rFonts w:cs="Times New Roman"/>
          <w:szCs w:val="24"/>
          <w:lang w:val="sr-Cyrl-CS"/>
        </w:rPr>
        <w:t xml:space="preserve">, како би се жељена унапређења извршила, </w:t>
      </w:r>
      <w:r w:rsidR="007B749F" w:rsidRPr="00471C90">
        <w:rPr>
          <w:rFonts w:cs="Times New Roman"/>
          <w:szCs w:val="24"/>
          <w:lang w:val="sr-Cyrl-CS"/>
        </w:rPr>
        <w:t xml:space="preserve">али </w:t>
      </w:r>
      <w:r w:rsidR="00FD3A87" w:rsidRPr="00471C90">
        <w:rPr>
          <w:rFonts w:cs="Times New Roman"/>
          <w:szCs w:val="24"/>
          <w:lang w:val="sr-Cyrl-CS"/>
        </w:rPr>
        <w:t>омогућава остварење дефинисаних циљева кроз реструктуриране институције.</w:t>
      </w:r>
    </w:p>
    <w:p w14:paraId="0320B931" w14:textId="257D273D" w:rsidR="00FD3A87" w:rsidRPr="00471C90" w:rsidRDefault="00FD3A87" w:rsidP="00AE0CA2">
      <w:pPr>
        <w:ind w:firstLine="357"/>
        <w:jc w:val="both"/>
        <w:rPr>
          <w:rFonts w:cs="Times New Roman"/>
          <w:i/>
          <w:iCs/>
          <w:szCs w:val="24"/>
          <w:lang w:val="sr-Cyrl-CS"/>
        </w:rPr>
      </w:pPr>
      <w:r w:rsidRPr="00471C90">
        <w:rPr>
          <w:rFonts w:cs="Times New Roman"/>
          <w:szCs w:val="24"/>
          <w:lang w:val="sr-Cyrl-CS"/>
        </w:rPr>
        <w:t xml:space="preserve">Опција затварања </w:t>
      </w:r>
      <w:r w:rsidR="00A679D3" w:rsidRPr="00471C90">
        <w:rPr>
          <w:rFonts w:cs="Times New Roman"/>
          <w:szCs w:val="24"/>
          <w:lang w:val="sr-Cyrl-CS"/>
        </w:rPr>
        <w:t>постојеће развојне финансијске институције</w:t>
      </w:r>
      <w:r w:rsidRPr="00471C90">
        <w:rPr>
          <w:rFonts w:cs="Times New Roman"/>
          <w:szCs w:val="24"/>
          <w:lang w:val="sr-Cyrl-CS"/>
        </w:rPr>
        <w:t xml:space="preserve"> и успостављања </w:t>
      </w:r>
      <w:r w:rsidR="00A679D3" w:rsidRPr="00471C90">
        <w:rPr>
          <w:rFonts w:cs="Times New Roman"/>
          <w:szCs w:val="24"/>
          <w:lang w:val="sr-Cyrl-CS"/>
        </w:rPr>
        <w:t xml:space="preserve">нове </w:t>
      </w:r>
      <w:r w:rsidRPr="00471C90">
        <w:rPr>
          <w:rFonts w:cs="Times New Roman"/>
          <w:szCs w:val="24"/>
          <w:lang w:val="sr-Cyrl-CS"/>
        </w:rPr>
        <w:t>даје сличне ефекте као опција реструктурирања</w:t>
      </w:r>
      <w:r w:rsidR="000C3C9B" w:rsidRPr="00471C90">
        <w:rPr>
          <w:rFonts w:cs="Times New Roman"/>
          <w:szCs w:val="24"/>
          <w:lang w:val="sr-Cyrl-CS"/>
        </w:rPr>
        <w:t xml:space="preserve">, у погледу могућности остварења дефинисаних циљева. </w:t>
      </w:r>
      <w:r w:rsidR="00E744B0" w:rsidRPr="00471C90">
        <w:rPr>
          <w:rFonts w:cs="Times New Roman"/>
          <w:szCs w:val="24"/>
          <w:lang w:val="sr-Cyrl-CS"/>
        </w:rPr>
        <w:t>Исте мере</w:t>
      </w:r>
      <w:r w:rsidR="00497357" w:rsidRPr="00471C90">
        <w:rPr>
          <w:rFonts w:cs="Times New Roman"/>
          <w:szCs w:val="24"/>
          <w:lang w:val="sr-Cyrl-CS"/>
        </w:rPr>
        <w:t>,</w:t>
      </w:r>
      <w:r w:rsidR="00E744B0" w:rsidRPr="00471C90">
        <w:rPr>
          <w:rFonts w:cs="Times New Roman"/>
          <w:szCs w:val="24"/>
          <w:lang w:val="sr-Cyrl-CS"/>
        </w:rPr>
        <w:t xml:space="preserve"> које се односе на </w:t>
      </w:r>
      <w:r w:rsidR="002B5BAA" w:rsidRPr="00471C90">
        <w:rPr>
          <w:rFonts w:cs="Times New Roman"/>
          <w:szCs w:val="24"/>
          <w:lang w:val="sr-Cyrl-CS"/>
        </w:rPr>
        <w:t>унапређење аспеката пословања, изворе финансирања и механизам надзора</w:t>
      </w:r>
      <w:r w:rsidR="00497357" w:rsidRPr="00471C90">
        <w:rPr>
          <w:rFonts w:cs="Times New Roman"/>
          <w:szCs w:val="24"/>
          <w:lang w:val="sr-Cyrl-CS"/>
        </w:rPr>
        <w:t>,</w:t>
      </w:r>
      <w:r w:rsidR="002B5BAA" w:rsidRPr="00471C90">
        <w:rPr>
          <w:rFonts w:cs="Times New Roman"/>
          <w:szCs w:val="24"/>
          <w:lang w:val="sr-Cyrl-CS"/>
        </w:rPr>
        <w:t xml:space="preserve"> биле </w:t>
      </w:r>
      <w:r w:rsidR="00497357" w:rsidRPr="00471C90">
        <w:rPr>
          <w:rFonts w:cs="Times New Roman"/>
          <w:szCs w:val="24"/>
          <w:lang w:val="sr-Cyrl-CS"/>
        </w:rPr>
        <w:t xml:space="preserve">би </w:t>
      </w:r>
      <w:r w:rsidR="002B5BAA" w:rsidRPr="00471C90">
        <w:rPr>
          <w:rFonts w:cs="Times New Roman"/>
          <w:szCs w:val="24"/>
          <w:lang w:val="sr-Cyrl-CS"/>
        </w:rPr>
        <w:t xml:space="preserve">примењене и у овом случају, али </w:t>
      </w:r>
      <w:r w:rsidR="00FE427D" w:rsidRPr="00471C90">
        <w:rPr>
          <w:rFonts w:cs="Times New Roman"/>
          <w:szCs w:val="24"/>
          <w:lang w:val="sr-Cyrl-CS"/>
        </w:rPr>
        <w:t xml:space="preserve">у </w:t>
      </w:r>
      <w:r w:rsidR="0089120E" w:rsidRPr="00471C90">
        <w:rPr>
          <w:rFonts w:cs="Times New Roman"/>
          <w:szCs w:val="24"/>
          <w:lang w:val="sr-Cyrl-CS"/>
        </w:rPr>
        <w:t>новооснованој развојној финансијској институцији</w:t>
      </w:r>
      <w:r w:rsidR="00FE427D" w:rsidRPr="00471C90">
        <w:rPr>
          <w:rFonts w:cs="Times New Roman"/>
          <w:szCs w:val="24"/>
          <w:lang w:val="sr-Cyrl-CS"/>
        </w:rPr>
        <w:t>.</w:t>
      </w:r>
      <w:r w:rsidR="00FB15CF" w:rsidRPr="00471C90">
        <w:rPr>
          <w:rFonts w:cs="Times New Roman"/>
          <w:szCs w:val="24"/>
          <w:lang w:val="sr-Cyrl-CS"/>
        </w:rPr>
        <w:t xml:space="preserve"> </w:t>
      </w:r>
      <w:r w:rsidR="00621D37" w:rsidRPr="00471C90">
        <w:rPr>
          <w:rFonts w:cs="Times New Roman"/>
          <w:szCs w:val="24"/>
          <w:lang w:val="sr-Cyrl-CS"/>
        </w:rPr>
        <w:t xml:space="preserve">Оснивање потпуно </w:t>
      </w:r>
      <w:r w:rsidR="0089120E" w:rsidRPr="00471C90">
        <w:rPr>
          <w:rFonts w:cs="Times New Roman"/>
          <w:szCs w:val="24"/>
          <w:lang w:val="sr-Cyrl-CS"/>
        </w:rPr>
        <w:t>нове развојне финансијске институције</w:t>
      </w:r>
      <w:r w:rsidR="00621D37" w:rsidRPr="00471C90">
        <w:rPr>
          <w:rFonts w:cs="Times New Roman"/>
          <w:szCs w:val="24"/>
          <w:lang w:val="sr-Cyrl-CS"/>
        </w:rPr>
        <w:t xml:space="preserve">, уз </w:t>
      </w:r>
      <w:r w:rsidR="00107796" w:rsidRPr="00471C90">
        <w:rPr>
          <w:rFonts w:cs="Times New Roman"/>
          <w:szCs w:val="24"/>
          <w:lang w:val="sr-Cyrl-CS"/>
        </w:rPr>
        <w:t xml:space="preserve">пренос </w:t>
      </w:r>
      <w:r w:rsidR="00621D37" w:rsidRPr="00471C90">
        <w:rPr>
          <w:rFonts w:cs="Times New Roman"/>
          <w:szCs w:val="24"/>
          <w:lang w:val="sr-Cyrl-CS"/>
        </w:rPr>
        <w:t xml:space="preserve">имовине и кадрова </w:t>
      </w:r>
      <w:r w:rsidR="00107796" w:rsidRPr="00471C90">
        <w:rPr>
          <w:rFonts w:cs="Times New Roman"/>
          <w:szCs w:val="24"/>
          <w:lang w:val="sr-Cyrl-CS"/>
        </w:rPr>
        <w:t>у мери у којој је</w:t>
      </w:r>
      <w:r w:rsidR="00621D37" w:rsidRPr="00471C90">
        <w:rPr>
          <w:rFonts w:cs="Times New Roman"/>
          <w:szCs w:val="24"/>
          <w:lang w:val="sr-Cyrl-CS"/>
        </w:rPr>
        <w:t xml:space="preserve"> могуће, </w:t>
      </w:r>
      <w:r w:rsidR="00C00803" w:rsidRPr="00471C90">
        <w:rPr>
          <w:rFonts w:cs="Times New Roman"/>
          <w:szCs w:val="24"/>
          <w:lang w:val="sr-Cyrl-CS"/>
        </w:rPr>
        <w:t xml:space="preserve">омогућило би </w:t>
      </w:r>
      <w:r w:rsidR="00585D07" w:rsidRPr="00471C90">
        <w:rPr>
          <w:rFonts w:cs="Times New Roman"/>
          <w:szCs w:val="24"/>
          <w:lang w:val="sr-Cyrl-CS"/>
        </w:rPr>
        <w:t xml:space="preserve">нов </w:t>
      </w:r>
      <w:r w:rsidR="00C00803" w:rsidRPr="00471C90">
        <w:rPr>
          <w:rFonts w:cs="Times New Roman"/>
          <w:szCs w:val="24"/>
          <w:lang w:val="sr-Cyrl-CS"/>
        </w:rPr>
        <w:t>почетак</w:t>
      </w:r>
      <w:r w:rsidR="002E7AD5" w:rsidRPr="00471C90">
        <w:rPr>
          <w:rFonts w:cs="Times New Roman"/>
          <w:szCs w:val="24"/>
          <w:lang w:val="sr-Cyrl-CS"/>
        </w:rPr>
        <w:t xml:space="preserve">, али би захтевало значајније </w:t>
      </w:r>
      <w:r w:rsidR="009C3D6F" w:rsidRPr="00471C90">
        <w:rPr>
          <w:rFonts w:cs="Times New Roman"/>
          <w:szCs w:val="24"/>
          <w:lang w:val="sr-Cyrl-CS"/>
        </w:rPr>
        <w:t>ресурсе, како у погледу новца, тако и у погледу времена и кадрова.</w:t>
      </w:r>
    </w:p>
    <w:p w14:paraId="0E81F5F5" w14:textId="5B421ED9" w:rsidR="00C36D8D" w:rsidRPr="00471C90" w:rsidRDefault="00107796" w:rsidP="00F6577C">
      <w:pPr>
        <w:pStyle w:val="Caption"/>
        <w:keepNext/>
        <w:spacing w:after="0"/>
        <w:ind w:firstLine="426"/>
        <w:jc w:val="both"/>
        <w:rPr>
          <w:rFonts w:eastAsiaTheme="majorEastAsia" w:cs="Times New Roman"/>
          <w:i w:val="0"/>
          <w:iCs w:val="0"/>
          <w:color w:val="000000" w:themeColor="text1"/>
          <w:sz w:val="24"/>
          <w:szCs w:val="24"/>
          <w:lang w:val="sr-Cyrl-CS"/>
        </w:rPr>
      </w:pPr>
      <w:r w:rsidRPr="00471C90">
        <w:rPr>
          <w:rFonts w:eastAsiaTheme="majorEastAsia" w:cs="Times New Roman"/>
          <w:i w:val="0"/>
          <w:iCs w:val="0"/>
          <w:color w:val="auto"/>
          <w:sz w:val="24"/>
          <w:szCs w:val="24"/>
          <w:lang w:val="sr-Cyrl-CS"/>
        </w:rPr>
        <w:lastRenderedPageBreak/>
        <w:t>У циљу проналажења</w:t>
      </w:r>
      <w:r w:rsidR="00C36D8D" w:rsidRPr="00471C90">
        <w:rPr>
          <w:rFonts w:eastAsiaTheme="majorEastAsia" w:cs="Times New Roman"/>
          <w:i w:val="0"/>
          <w:iCs w:val="0"/>
          <w:color w:val="auto"/>
          <w:sz w:val="24"/>
          <w:szCs w:val="24"/>
          <w:lang w:val="sr-Cyrl-CS"/>
        </w:rPr>
        <w:t xml:space="preserve"> решења, извршена је анализа</w:t>
      </w:r>
      <w:r w:rsidRPr="00471C90">
        <w:rPr>
          <w:rFonts w:eastAsiaTheme="majorEastAsia" w:cs="Times New Roman"/>
          <w:i w:val="0"/>
          <w:iCs w:val="0"/>
          <w:color w:val="auto"/>
          <w:sz w:val="24"/>
          <w:szCs w:val="24"/>
          <w:lang w:val="sr-Cyrl-CS"/>
        </w:rPr>
        <w:t xml:space="preserve"> употребом великог броја критеријума</w:t>
      </w:r>
      <w:r w:rsidR="00C36D8D" w:rsidRPr="00471C90">
        <w:rPr>
          <w:rFonts w:eastAsiaTheme="majorEastAsia" w:cs="Times New Roman"/>
          <w:i w:val="0"/>
          <w:iCs w:val="0"/>
          <w:color w:val="auto"/>
          <w:sz w:val="24"/>
          <w:szCs w:val="24"/>
          <w:lang w:val="sr-Cyrl-CS"/>
        </w:rPr>
        <w:t xml:space="preserve">, у складу са </w:t>
      </w:r>
      <w:r w:rsidR="00C36D8D" w:rsidRPr="00471C90">
        <w:rPr>
          <w:rFonts w:eastAsiaTheme="majorEastAsia" w:cs="Times New Roman"/>
          <w:i w:val="0"/>
          <w:iCs w:val="0"/>
          <w:color w:val="000000" w:themeColor="text1"/>
          <w:sz w:val="24"/>
          <w:szCs w:val="24"/>
          <w:lang w:val="sr-Cyrl-CS"/>
        </w:rPr>
        <w:t>следећим приказима.</w:t>
      </w:r>
    </w:p>
    <w:p w14:paraId="12A6595B" w14:textId="77777777" w:rsidR="004C35A2" w:rsidRPr="00471C90" w:rsidRDefault="004C35A2" w:rsidP="00F6577C">
      <w:pPr>
        <w:spacing w:after="0"/>
        <w:rPr>
          <w:i/>
          <w:iCs/>
          <w:lang w:val="sr-Cyrl-CS"/>
        </w:rPr>
      </w:pPr>
    </w:p>
    <w:p w14:paraId="785749F4" w14:textId="20901056" w:rsidR="00732976" w:rsidRPr="00471C90" w:rsidRDefault="00732976" w:rsidP="00F6577C">
      <w:pPr>
        <w:spacing w:after="0"/>
        <w:rPr>
          <w:rFonts w:eastAsiaTheme="majorEastAsia" w:cs="Times New Roman"/>
          <w:bCs/>
          <w:color w:val="000000" w:themeColor="text1"/>
          <w:szCs w:val="24"/>
          <w:lang w:val="sr-Cyrl-CS"/>
        </w:rPr>
      </w:pPr>
      <w:r w:rsidRPr="00471C90">
        <w:rPr>
          <w:rFonts w:eastAsiaTheme="majorEastAsia" w:cs="Times New Roman"/>
          <w:bCs/>
          <w:color w:val="000000" w:themeColor="text1"/>
          <w:szCs w:val="24"/>
          <w:lang w:val="sr-Cyrl-CS"/>
        </w:rPr>
        <w:t>Табела</w:t>
      </w:r>
      <w:r w:rsidR="00CF73E0" w:rsidRPr="00471C90">
        <w:rPr>
          <w:rFonts w:eastAsiaTheme="majorEastAsia" w:cs="Times New Roman"/>
          <w:bCs/>
          <w:color w:val="000000" w:themeColor="text1"/>
          <w:szCs w:val="24"/>
          <w:lang w:val="sr-Cyrl-CS"/>
        </w:rPr>
        <w:t xml:space="preserve"> 1: Преглед различитих опција за Фонд за развој</w:t>
      </w:r>
    </w:p>
    <w:tbl>
      <w:tblPr>
        <w:tblStyle w:val="TableGrid"/>
        <w:tblW w:w="0" w:type="auto"/>
        <w:jc w:val="center"/>
        <w:tblLook w:val="04A0" w:firstRow="1" w:lastRow="0" w:firstColumn="1" w:lastColumn="0" w:noHBand="0" w:noVBand="1"/>
      </w:tblPr>
      <w:tblGrid>
        <w:gridCol w:w="2265"/>
        <w:gridCol w:w="2265"/>
        <w:gridCol w:w="2266"/>
        <w:gridCol w:w="2266"/>
      </w:tblGrid>
      <w:tr w:rsidR="00403CB9" w:rsidRPr="00471C90" w14:paraId="49F62D12" w14:textId="77777777" w:rsidTr="00732976">
        <w:trPr>
          <w:jc w:val="center"/>
        </w:trPr>
        <w:tc>
          <w:tcPr>
            <w:tcW w:w="2265" w:type="dxa"/>
            <w:shd w:val="clear" w:color="auto" w:fill="D9D9D9" w:themeFill="background1" w:themeFillShade="D9"/>
          </w:tcPr>
          <w:p w14:paraId="2179D364" w14:textId="77777777" w:rsidR="00732976" w:rsidRPr="00471C90" w:rsidRDefault="00732976" w:rsidP="00B07BAE">
            <w:pPr>
              <w:jc w:val="center"/>
              <w:rPr>
                <w:rFonts w:cs="Times New Roman"/>
                <w:color w:val="000000" w:themeColor="text1"/>
                <w:szCs w:val="24"/>
                <w:lang w:val="sr-Cyrl-CS"/>
              </w:rPr>
            </w:pPr>
          </w:p>
        </w:tc>
        <w:tc>
          <w:tcPr>
            <w:tcW w:w="2265" w:type="dxa"/>
            <w:shd w:val="clear" w:color="auto" w:fill="D9D9D9" w:themeFill="background1" w:themeFillShade="D9"/>
          </w:tcPr>
          <w:p w14:paraId="59AF6856"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Задржавање тренутног стања</w:t>
            </w:r>
          </w:p>
        </w:tc>
        <w:tc>
          <w:tcPr>
            <w:tcW w:w="2266" w:type="dxa"/>
            <w:shd w:val="clear" w:color="auto" w:fill="D9D9D9" w:themeFill="background1" w:themeFillShade="D9"/>
          </w:tcPr>
          <w:p w14:paraId="3942903F"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Реструктурирање</w:t>
            </w:r>
          </w:p>
        </w:tc>
        <w:tc>
          <w:tcPr>
            <w:tcW w:w="2266" w:type="dxa"/>
            <w:shd w:val="clear" w:color="auto" w:fill="D9D9D9" w:themeFill="background1" w:themeFillShade="D9"/>
          </w:tcPr>
          <w:p w14:paraId="49A49508" w14:textId="6C22D2A9" w:rsidR="00732976" w:rsidRPr="00471C90" w:rsidRDefault="00732976">
            <w:pPr>
              <w:jc w:val="center"/>
              <w:rPr>
                <w:rFonts w:cs="Times New Roman"/>
                <w:color w:val="000000" w:themeColor="text1"/>
                <w:szCs w:val="24"/>
                <w:lang w:val="sr-Cyrl-CS"/>
              </w:rPr>
            </w:pPr>
            <w:r w:rsidRPr="00471C90">
              <w:rPr>
                <w:rFonts w:cs="Times New Roman"/>
                <w:color w:val="000000" w:themeColor="text1"/>
                <w:szCs w:val="24"/>
                <w:lang w:val="sr-Cyrl-CS"/>
              </w:rPr>
              <w:t>Нов</w:t>
            </w:r>
            <w:r w:rsidR="00EA12E5" w:rsidRPr="00471C90">
              <w:rPr>
                <w:rFonts w:cs="Times New Roman"/>
                <w:color w:val="000000" w:themeColor="text1"/>
                <w:szCs w:val="24"/>
                <w:lang w:val="sr-Cyrl-CS"/>
              </w:rPr>
              <w:t>а развојна финансијска институција</w:t>
            </w:r>
          </w:p>
        </w:tc>
      </w:tr>
      <w:tr w:rsidR="00403CB9" w:rsidRPr="00471C90" w14:paraId="0E88EE83" w14:textId="77777777" w:rsidTr="00732976">
        <w:trPr>
          <w:jc w:val="center"/>
        </w:trPr>
        <w:tc>
          <w:tcPr>
            <w:tcW w:w="2265" w:type="dxa"/>
            <w:shd w:val="clear" w:color="auto" w:fill="D9D9D9" w:themeFill="background1" w:themeFillShade="D9"/>
          </w:tcPr>
          <w:p w14:paraId="042BEB3A" w14:textId="58B652BF" w:rsidR="00732976" w:rsidRPr="00471C90" w:rsidRDefault="00732976" w:rsidP="00107796">
            <w:pPr>
              <w:jc w:val="center"/>
              <w:rPr>
                <w:rFonts w:cs="Times New Roman"/>
                <w:color w:val="000000" w:themeColor="text1"/>
                <w:szCs w:val="24"/>
                <w:lang w:val="sr-Cyrl-CS"/>
              </w:rPr>
            </w:pPr>
            <w:r w:rsidRPr="00471C90">
              <w:rPr>
                <w:rFonts w:cs="Times New Roman"/>
                <w:color w:val="000000" w:themeColor="text1"/>
                <w:szCs w:val="24"/>
                <w:lang w:val="sr-Cyrl-CS"/>
              </w:rPr>
              <w:t xml:space="preserve">Тренутно поверење и </w:t>
            </w:r>
            <w:r w:rsidR="00107796" w:rsidRPr="00471C90">
              <w:rPr>
                <w:rFonts w:cs="Times New Roman"/>
                <w:color w:val="000000" w:themeColor="text1"/>
                <w:szCs w:val="24"/>
                <w:lang w:val="sr-Cyrl-CS"/>
              </w:rPr>
              <w:t xml:space="preserve">статус </w:t>
            </w:r>
            <w:r w:rsidRPr="00471C90">
              <w:rPr>
                <w:rFonts w:cs="Times New Roman"/>
                <w:color w:val="000000" w:themeColor="text1"/>
                <w:szCs w:val="24"/>
                <w:lang w:val="sr-Cyrl-CS"/>
              </w:rPr>
              <w:t>на тржишту</w:t>
            </w:r>
          </w:p>
        </w:tc>
        <w:tc>
          <w:tcPr>
            <w:tcW w:w="2265" w:type="dxa"/>
            <w:vAlign w:val="center"/>
          </w:tcPr>
          <w:p w14:paraId="23EBC1D3"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p w14:paraId="26778682" w14:textId="77777777" w:rsidR="00732976" w:rsidRPr="00471C90" w:rsidRDefault="00732976" w:rsidP="00B07BAE">
            <w:pPr>
              <w:jc w:val="center"/>
              <w:rPr>
                <w:rFonts w:cs="Times New Roman"/>
                <w:color w:val="000000" w:themeColor="text1"/>
                <w:szCs w:val="24"/>
                <w:lang w:val="sr-Cyrl-CS"/>
              </w:rPr>
            </w:pPr>
          </w:p>
        </w:tc>
        <w:tc>
          <w:tcPr>
            <w:tcW w:w="2266" w:type="dxa"/>
            <w:vAlign w:val="center"/>
          </w:tcPr>
          <w:p w14:paraId="526FEE4F"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2B1638AC"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r>
      <w:tr w:rsidR="00403CB9" w:rsidRPr="00471C90" w14:paraId="379C911A" w14:textId="77777777" w:rsidTr="00732976">
        <w:trPr>
          <w:jc w:val="center"/>
        </w:trPr>
        <w:tc>
          <w:tcPr>
            <w:tcW w:w="2265" w:type="dxa"/>
            <w:shd w:val="clear" w:color="auto" w:fill="D9D9D9" w:themeFill="background1" w:themeFillShade="D9"/>
          </w:tcPr>
          <w:p w14:paraId="3632CAC4" w14:textId="13761B18" w:rsidR="00732976" w:rsidRPr="00471C90" w:rsidRDefault="00107796" w:rsidP="00107796">
            <w:pPr>
              <w:jc w:val="center"/>
              <w:rPr>
                <w:rFonts w:cs="Times New Roman"/>
                <w:color w:val="000000" w:themeColor="text1"/>
                <w:szCs w:val="24"/>
                <w:lang w:val="sr-Cyrl-CS"/>
              </w:rPr>
            </w:pPr>
            <w:r w:rsidRPr="00471C90">
              <w:rPr>
                <w:rFonts w:cs="Times New Roman"/>
                <w:color w:val="000000" w:themeColor="text1"/>
                <w:szCs w:val="24"/>
                <w:lang w:val="sr-Cyrl-CS"/>
              </w:rPr>
              <w:t xml:space="preserve">Тренутни </w:t>
            </w:r>
            <w:r w:rsidR="00732976" w:rsidRPr="00471C90">
              <w:rPr>
                <w:rFonts w:cs="Times New Roman"/>
                <w:color w:val="000000" w:themeColor="text1"/>
                <w:szCs w:val="24"/>
                <w:lang w:val="sr-Cyrl-CS"/>
              </w:rPr>
              <w:t xml:space="preserve">и </w:t>
            </w:r>
            <w:r w:rsidRPr="00471C90">
              <w:rPr>
                <w:rFonts w:cs="Times New Roman"/>
                <w:color w:val="000000" w:themeColor="text1"/>
                <w:szCs w:val="24"/>
                <w:lang w:val="sr-Cyrl-CS"/>
              </w:rPr>
              <w:t>досадашњи учинак</w:t>
            </w:r>
            <w:r w:rsidR="00732976" w:rsidRPr="00471C90">
              <w:rPr>
                <w:rFonts w:cs="Times New Roman"/>
                <w:color w:val="000000" w:themeColor="text1"/>
                <w:szCs w:val="24"/>
                <w:lang w:val="sr-Cyrl-CS"/>
              </w:rPr>
              <w:t xml:space="preserve"> и достигнућа</w:t>
            </w:r>
          </w:p>
        </w:tc>
        <w:tc>
          <w:tcPr>
            <w:tcW w:w="2265" w:type="dxa"/>
            <w:vAlign w:val="center"/>
          </w:tcPr>
          <w:p w14:paraId="55999D5D"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c>
          <w:tcPr>
            <w:tcW w:w="2266" w:type="dxa"/>
            <w:vAlign w:val="center"/>
          </w:tcPr>
          <w:p w14:paraId="0136E2AA"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31A23A1F"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r>
      <w:tr w:rsidR="00403CB9" w:rsidRPr="00471C90" w14:paraId="45545D1D" w14:textId="77777777" w:rsidTr="00732976">
        <w:trPr>
          <w:jc w:val="center"/>
        </w:trPr>
        <w:tc>
          <w:tcPr>
            <w:tcW w:w="2265" w:type="dxa"/>
            <w:shd w:val="clear" w:color="auto" w:fill="D9D9D9" w:themeFill="background1" w:themeFillShade="D9"/>
          </w:tcPr>
          <w:p w14:paraId="0C776F9F"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Способност привлачења екстерног финансирања</w:t>
            </w:r>
          </w:p>
        </w:tc>
        <w:tc>
          <w:tcPr>
            <w:tcW w:w="2265" w:type="dxa"/>
            <w:vAlign w:val="center"/>
          </w:tcPr>
          <w:p w14:paraId="5D01E866"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c>
          <w:tcPr>
            <w:tcW w:w="2266" w:type="dxa"/>
            <w:vAlign w:val="center"/>
          </w:tcPr>
          <w:p w14:paraId="2D3D6F64"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28E71D1B"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r>
      <w:tr w:rsidR="00403CB9" w:rsidRPr="00471C90" w14:paraId="3B232494" w14:textId="77777777" w:rsidTr="00732976">
        <w:trPr>
          <w:jc w:val="center"/>
        </w:trPr>
        <w:tc>
          <w:tcPr>
            <w:tcW w:w="2265" w:type="dxa"/>
            <w:shd w:val="clear" w:color="auto" w:fill="D9D9D9" w:themeFill="background1" w:themeFillShade="D9"/>
          </w:tcPr>
          <w:p w14:paraId="5085063D"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Тренутни институционални капацитет</w:t>
            </w:r>
          </w:p>
        </w:tc>
        <w:tc>
          <w:tcPr>
            <w:tcW w:w="2265" w:type="dxa"/>
            <w:vAlign w:val="center"/>
          </w:tcPr>
          <w:p w14:paraId="1A4D30CC"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c>
          <w:tcPr>
            <w:tcW w:w="2266" w:type="dxa"/>
            <w:vAlign w:val="center"/>
          </w:tcPr>
          <w:p w14:paraId="1E55C566"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5B8291E0"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r>
      <w:tr w:rsidR="00403CB9" w:rsidRPr="00471C90" w14:paraId="78ECE37B" w14:textId="77777777" w:rsidTr="00732976">
        <w:trPr>
          <w:jc w:val="center"/>
        </w:trPr>
        <w:tc>
          <w:tcPr>
            <w:tcW w:w="2265" w:type="dxa"/>
            <w:shd w:val="clear" w:color="auto" w:fill="D9D9D9" w:themeFill="background1" w:themeFillShade="D9"/>
          </w:tcPr>
          <w:p w14:paraId="4E3F1250"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Способност обављања основних функција и циљева</w:t>
            </w:r>
          </w:p>
        </w:tc>
        <w:tc>
          <w:tcPr>
            <w:tcW w:w="2265" w:type="dxa"/>
            <w:vAlign w:val="center"/>
          </w:tcPr>
          <w:p w14:paraId="64AE6B04"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c>
          <w:tcPr>
            <w:tcW w:w="2266" w:type="dxa"/>
            <w:vAlign w:val="center"/>
          </w:tcPr>
          <w:p w14:paraId="124C5E22"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16C4047D"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r>
      <w:tr w:rsidR="00403CB9" w:rsidRPr="00471C90" w14:paraId="6A5D6CD0" w14:textId="77777777" w:rsidTr="00732976">
        <w:trPr>
          <w:jc w:val="center"/>
        </w:trPr>
        <w:tc>
          <w:tcPr>
            <w:tcW w:w="2265" w:type="dxa"/>
            <w:shd w:val="clear" w:color="auto" w:fill="D9D9D9" w:themeFill="background1" w:themeFillShade="D9"/>
          </w:tcPr>
          <w:p w14:paraId="32DFEF1A"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Способност успостављања одговарајућег надзора, регулаторног оквира и модела</w:t>
            </w:r>
          </w:p>
        </w:tc>
        <w:tc>
          <w:tcPr>
            <w:tcW w:w="2265" w:type="dxa"/>
            <w:vAlign w:val="center"/>
          </w:tcPr>
          <w:p w14:paraId="53E49761"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03904367"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c>
          <w:tcPr>
            <w:tcW w:w="2266" w:type="dxa"/>
            <w:vAlign w:val="center"/>
          </w:tcPr>
          <w:p w14:paraId="50766DC1"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r>
      <w:tr w:rsidR="00403CB9" w:rsidRPr="00471C90" w14:paraId="37466696" w14:textId="77777777" w:rsidTr="00732976">
        <w:trPr>
          <w:jc w:val="center"/>
        </w:trPr>
        <w:tc>
          <w:tcPr>
            <w:tcW w:w="2265" w:type="dxa"/>
            <w:shd w:val="clear" w:color="auto" w:fill="D9D9D9" w:themeFill="background1" w:themeFillShade="D9"/>
          </w:tcPr>
          <w:p w14:paraId="1D245064"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Једноставност трансформације из тренутног стања</w:t>
            </w:r>
          </w:p>
        </w:tc>
        <w:tc>
          <w:tcPr>
            <w:tcW w:w="2265" w:type="dxa"/>
            <w:vAlign w:val="center"/>
          </w:tcPr>
          <w:p w14:paraId="152CC43A"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c>
          <w:tcPr>
            <w:tcW w:w="2266" w:type="dxa"/>
            <w:vAlign w:val="center"/>
          </w:tcPr>
          <w:p w14:paraId="7170ABE0"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0A7EA32B"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r>
      <w:tr w:rsidR="00403CB9" w:rsidRPr="00471C90" w14:paraId="44D76C7A" w14:textId="77777777" w:rsidTr="00732976">
        <w:trPr>
          <w:jc w:val="center"/>
        </w:trPr>
        <w:tc>
          <w:tcPr>
            <w:tcW w:w="2265" w:type="dxa"/>
            <w:shd w:val="clear" w:color="auto" w:fill="D9D9D9" w:themeFill="background1" w:themeFillShade="D9"/>
          </w:tcPr>
          <w:p w14:paraId="22DA6AA6"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Потреба за издвајањем пословних линија и/или оснивањем повезаних лица</w:t>
            </w:r>
          </w:p>
        </w:tc>
        <w:tc>
          <w:tcPr>
            <w:tcW w:w="6797" w:type="dxa"/>
            <w:gridSpan w:val="3"/>
            <w:vAlign w:val="center"/>
          </w:tcPr>
          <w:p w14:paraId="303A3A32" w14:textId="34FA2F80" w:rsidR="00732976" w:rsidRPr="00471C90" w:rsidRDefault="00732976" w:rsidP="00107796">
            <w:pPr>
              <w:jc w:val="center"/>
              <w:rPr>
                <w:rFonts w:cs="Times New Roman"/>
                <w:color w:val="000000" w:themeColor="text1"/>
                <w:szCs w:val="24"/>
                <w:lang w:val="sr-Cyrl-CS"/>
              </w:rPr>
            </w:pPr>
            <w:r w:rsidRPr="00471C90">
              <w:rPr>
                <w:rFonts w:cs="Times New Roman"/>
                <w:color w:val="000000" w:themeColor="text1"/>
                <w:szCs w:val="24"/>
                <w:lang w:val="sr-Cyrl-CS"/>
              </w:rPr>
              <w:t xml:space="preserve">Фонд ризичног капитала би требало успоставити као посебно, повезано лице, услед другачије природе пословања и </w:t>
            </w:r>
            <w:r w:rsidR="00107796" w:rsidRPr="00471C90">
              <w:rPr>
                <w:rFonts w:cs="Times New Roman"/>
                <w:color w:val="000000" w:themeColor="text1"/>
                <w:szCs w:val="24"/>
                <w:lang w:val="sr-Cyrl-CS"/>
              </w:rPr>
              <w:t xml:space="preserve">законодавног </w:t>
            </w:r>
            <w:r w:rsidRPr="00471C90">
              <w:rPr>
                <w:rFonts w:cs="Times New Roman"/>
                <w:color w:val="000000" w:themeColor="text1"/>
                <w:szCs w:val="24"/>
                <w:lang w:val="sr-Cyrl-CS"/>
              </w:rPr>
              <w:t>оквира</w:t>
            </w:r>
          </w:p>
        </w:tc>
      </w:tr>
      <w:tr w:rsidR="00403CB9" w:rsidRPr="00471C90" w14:paraId="6D7E73D7" w14:textId="77777777" w:rsidTr="00732976">
        <w:trPr>
          <w:jc w:val="center"/>
        </w:trPr>
        <w:tc>
          <w:tcPr>
            <w:tcW w:w="2265" w:type="dxa"/>
            <w:shd w:val="clear" w:color="auto" w:fill="D9D9D9" w:themeFill="background1" w:themeFillShade="D9"/>
          </w:tcPr>
          <w:p w14:paraId="176955C5"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Резултат</w:t>
            </w:r>
          </w:p>
        </w:tc>
        <w:tc>
          <w:tcPr>
            <w:tcW w:w="2265" w:type="dxa"/>
          </w:tcPr>
          <w:p w14:paraId="3F0C2B0D"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10</w:t>
            </w:r>
          </w:p>
        </w:tc>
        <w:tc>
          <w:tcPr>
            <w:tcW w:w="2266" w:type="dxa"/>
          </w:tcPr>
          <w:p w14:paraId="50DC6C4F"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15</w:t>
            </w:r>
          </w:p>
        </w:tc>
        <w:tc>
          <w:tcPr>
            <w:tcW w:w="2266" w:type="dxa"/>
          </w:tcPr>
          <w:p w14:paraId="333403B1" w14:textId="77777777" w:rsidR="00732976" w:rsidRPr="00471C90" w:rsidRDefault="00732976" w:rsidP="00B07BAE">
            <w:pPr>
              <w:jc w:val="center"/>
              <w:rPr>
                <w:rFonts w:cs="Times New Roman"/>
                <w:color w:val="000000" w:themeColor="text1"/>
                <w:szCs w:val="24"/>
                <w:lang w:val="sr-Cyrl-CS"/>
              </w:rPr>
            </w:pPr>
            <w:r w:rsidRPr="00471C90">
              <w:rPr>
                <w:rFonts w:cs="Times New Roman"/>
                <w:color w:val="000000" w:themeColor="text1"/>
                <w:szCs w:val="24"/>
                <w:lang w:val="sr-Cyrl-CS"/>
              </w:rPr>
              <w:t>13</w:t>
            </w:r>
          </w:p>
        </w:tc>
      </w:tr>
    </w:tbl>
    <w:p w14:paraId="47BD159E" w14:textId="77777777" w:rsidR="00732976" w:rsidRPr="00471C90" w:rsidRDefault="00732976" w:rsidP="00033BC0">
      <w:pPr>
        <w:rPr>
          <w:rFonts w:cs="Times New Roman"/>
          <w:color w:val="000000" w:themeColor="text1"/>
          <w:szCs w:val="24"/>
          <w:lang w:val="sr-Cyrl-CS"/>
        </w:rPr>
      </w:pPr>
    </w:p>
    <w:p w14:paraId="48A369A3" w14:textId="77777777" w:rsidR="00107796" w:rsidRPr="00471C90" w:rsidRDefault="00107796" w:rsidP="00033BC0">
      <w:pPr>
        <w:rPr>
          <w:rFonts w:cs="Times New Roman"/>
          <w:color w:val="000000" w:themeColor="text1"/>
          <w:szCs w:val="24"/>
          <w:lang w:val="sr-Cyrl-CS"/>
        </w:rPr>
      </w:pPr>
      <w:r w:rsidRPr="00471C90">
        <w:rPr>
          <w:rFonts w:cs="Times New Roman"/>
          <w:color w:val="000000" w:themeColor="text1"/>
          <w:szCs w:val="24"/>
          <w:lang w:val="sr-Cyrl-CS"/>
        </w:rPr>
        <w:t xml:space="preserve">Легенда: </w:t>
      </w:r>
    </w:p>
    <w:p w14:paraId="6012D19E" w14:textId="40187E69" w:rsidR="00732976" w:rsidRPr="00471C90" w:rsidRDefault="00732976" w:rsidP="00033BC0">
      <w:pPr>
        <w:rPr>
          <w:rFonts w:cs="Times New Roman"/>
          <w:color w:val="000000" w:themeColor="text1"/>
          <w:szCs w:val="24"/>
          <w:lang w:val="sr-Cyrl-CS"/>
        </w:rPr>
      </w:pPr>
      <w:r w:rsidRPr="00471C90">
        <w:rPr>
          <w:rFonts w:cs="Times New Roman"/>
          <w:color w:val="000000" w:themeColor="text1"/>
          <w:szCs w:val="24"/>
          <w:lang w:val="sr-Cyrl-CS"/>
        </w:rPr>
        <w:t>Могућност и ефективност трансформације</w:t>
      </w:r>
    </w:p>
    <w:p w14:paraId="61D0FAA8" w14:textId="38E1D0AD" w:rsidR="00732976" w:rsidRPr="00471C90" w:rsidRDefault="00732976" w:rsidP="00033BC0">
      <w:pPr>
        <w:rPr>
          <w:rFonts w:cs="Times New Roman"/>
          <w:color w:val="000000" w:themeColor="text1"/>
          <w:szCs w:val="24"/>
          <w:lang w:val="sr-Cyrl-CS"/>
        </w:rPr>
      </w:pPr>
      <w:r w:rsidRPr="00471C90">
        <w:rPr>
          <w:rFonts w:cs="Times New Roman"/>
          <w:color w:val="000000" w:themeColor="text1"/>
          <w:szCs w:val="24"/>
          <w:lang w:val="sr-Cyrl-CS"/>
        </w:rPr>
        <w:t>1 Потребни значајни напори и/или ниска ефективност</w:t>
      </w:r>
    </w:p>
    <w:p w14:paraId="292CDB32" w14:textId="3618998E" w:rsidR="00732976" w:rsidRPr="00471C90" w:rsidRDefault="00732976" w:rsidP="00033BC0">
      <w:pPr>
        <w:rPr>
          <w:rFonts w:cs="Times New Roman"/>
          <w:color w:val="000000" w:themeColor="text1"/>
          <w:szCs w:val="24"/>
          <w:lang w:val="sr-Cyrl-CS"/>
        </w:rPr>
      </w:pPr>
      <w:r w:rsidRPr="00471C90">
        <w:rPr>
          <w:rFonts w:cs="Times New Roman"/>
          <w:color w:val="000000" w:themeColor="text1"/>
          <w:szCs w:val="24"/>
          <w:lang w:val="sr-Cyrl-CS"/>
        </w:rPr>
        <w:t>2 Потребни умерени напори и/или ниска ефективност</w:t>
      </w:r>
    </w:p>
    <w:p w14:paraId="4A0F4993" w14:textId="7CFD1BC9" w:rsidR="00732976" w:rsidRPr="00471C90" w:rsidRDefault="00732976" w:rsidP="00033BC0">
      <w:pPr>
        <w:rPr>
          <w:rFonts w:cs="Times New Roman"/>
          <w:color w:val="000000" w:themeColor="text1"/>
          <w:szCs w:val="24"/>
          <w:lang w:val="sr-Cyrl-CS"/>
        </w:rPr>
      </w:pPr>
      <w:r w:rsidRPr="00471C90">
        <w:rPr>
          <w:rFonts w:cs="Times New Roman"/>
          <w:color w:val="000000" w:themeColor="text1"/>
          <w:szCs w:val="24"/>
          <w:lang w:val="sr-Cyrl-CS"/>
        </w:rPr>
        <w:t xml:space="preserve">3 </w:t>
      </w:r>
      <w:r w:rsidR="00107796" w:rsidRPr="00471C90">
        <w:rPr>
          <w:rFonts w:cs="Times New Roman"/>
          <w:color w:val="000000" w:themeColor="text1"/>
          <w:szCs w:val="24"/>
          <w:lang w:val="sr-Cyrl-CS"/>
        </w:rPr>
        <w:t xml:space="preserve">Потребни минимални </w:t>
      </w:r>
      <w:r w:rsidRPr="00471C90">
        <w:rPr>
          <w:rFonts w:cs="Times New Roman"/>
          <w:color w:val="000000" w:themeColor="text1"/>
          <w:szCs w:val="24"/>
          <w:lang w:val="sr-Cyrl-CS"/>
        </w:rPr>
        <w:t>и/или никакви напори и/или висока ефективност</w:t>
      </w:r>
    </w:p>
    <w:p w14:paraId="630EE88B" w14:textId="70AE5280" w:rsidR="00CF73E0" w:rsidRPr="00471C90" w:rsidRDefault="00CF73E0" w:rsidP="00AE0CA2">
      <w:pPr>
        <w:pStyle w:val="Caption"/>
        <w:keepNext/>
        <w:ind w:firstLine="708"/>
        <w:jc w:val="both"/>
        <w:rPr>
          <w:rFonts w:eastAsia="Trebuchet MS" w:cs="Times New Roman"/>
          <w:i w:val="0"/>
          <w:iCs w:val="0"/>
          <w:color w:val="000000" w:themeColor="text1"/>
          <w:sz w:val="24"/>
          <w:szCs w:val="24"/>
          <w:lang w:val="sr-Cyrl-CS"/>
        </w:rPr>
      </w:pPr>
      <w:r w:rsidRPr="00471C90">
        <w:rPr>
          <w:rFonts w:eastAsia="Trebuchet MS" w:cs="Times New Roman"/>
          <w:i w:val="0"/>
          <w:iCs w:val="0"/>
          <w:color w:val="000000" w:themeColor="text1"/>
          <w:sz w:val="24"/>
          <w:szCs w:val="24"/>
          <w:lang w:val="sr-Cyrl-CS"/>
        </w:rPr>
        <w:t xml:space="preserve">У складу са спроведеном анализом, као </w:t>
      </w:r>
      <w:r w:rsidR="00B82627" w:rsidRPr="00471C90">
        <w:rPr>
          <w:rFonts w:eastAsia="Trebuchet MS" w:cs="Times New Roman"/>
          <w:i w:val="0"/>
          <w:iCs w:val="0"/>
          <w:color w:val="000000" w:themeColor="text1"/>
          <w:sz w:val="24"/>
          <w:szCs w:val="24"/>
          <w:lang w:val="sr-Cyrl-CS"/>
        </w:rPr>
        <w:t xml:space="preserve">и </w:t>
      </w:r>
      <w:r w:rsidRPr="00471C90">
        <w:rPr>
          <w:rFonts w:eastAsia="Trebuchet MS" w:cs="Times New Roman"/>
          <w:i w:val="0"/>
          <w:iCs w:val="0"/>
          <w:color w:val="000000" w:themeColor="text1"/>
          <w:sz w:val="24"/>
          <w:szCs w:val="24"/>
          <w:lang w:val="sr-Cyrl-CS"/>
        </w:rPr>
        <w:t>дискусијом институција</w:t>
      </w:r>
      <w:r w:rsidR="00786775" w:rsidRPr="00471C90">
        <w:rPr>
          <w:rFonts w:eastAsia="Trebuchet MS" w:cs="Times New Roman"/>
          <w:i w:val="0"/>
          <w:iCs w:val="0"/>
          <w:color w:val="000000" w:themeColor="text1"/>
          <w:sz w:val="24"/>
          <w:szCs w:val="24"/>
          <w:lang w:val="sr-Cyrl-CS"/>
        </w:rPr>
        <w:t xml:space="preserve"> </w:t>
      </w:r>
      <w:r w:rsidR="00107796" w:rsidRPr="00471C90">
        <w:rPr>
          <w:rFonts w:eastAsia="Trebuchet MS" w:cs="Times New Roman"/>
          <w:i w:val="0"/>
          <w:iCs w:val="0"/>
          <w:color w:val="000000" w:themeColor="text1"/>
          <w:sz w:val="24"/>
          <w:szCs w:val="24"/>
          <w:lang w:val="sr-Cyrl-CS"/>
        </w:rPr>
        <w:t>представљених</w:t>
      </w:r>
      <w:r w:rsidR="00786775" w:rsidRPr="00471C90">
        <w:rPr>
          <w:rFonts w:eastAsia="Trebuchet MS" w:cs="Times New Roman"/>
          <w:i w:val="0"/>
          <w:iCs w:val="0"/>
          <w:color w:val="000000" w:themeColor="text1"/>
          <w:sz w:val="24"/>
          <w:szCs w:val="24"/>
          <w:lang w:val="sr-Cyrl-CS"/>
        </w:rPr>
        <w:t xml:space="preserve"> </w:t>
      </w:r>
      <w:r w:rsidRPr="00471C90">
        <w:rPr>
          <w:rFonts w:eastAsia="Trebuchet MS" w:cs="Times New Roman"/>
          <w:i w:val="0"/>
          <w:iCs w:val="0"/>
          <w:color w:val="000000" w:themeColor="text1"/>
          <w:sz w:val="24"/>
          <w:szCs w:val="24"/>
          <w:lang w:val="sr-Cyrl-CS"/>
        </w:rPr>
        <w:t>у Радној групи</w:t>
      </w:r>
      <w:r w:rsidR="00786775" w:rsidRPr="00471C90">
        <w:rPr>
          <w:rFonts w:eastAsia="Trebuchet MS" w:cs="Times New Roman"/>
          <w:i w:val="0"/>
          <w:iCs w:val="0"/>
          <w:color w:val="000000" w:themeColor="text1"/>
          <w:sz w:val="24"/>
          <w:szCs w:val="24"/>
          <w:lang w:val="sr-Cyrl-CS"/>
        </w:rPr>
        <w:t xml:space="preserve"> за развојно финансирање</w:t>
      </w:r>
      <w:r w:rsidRPr="00471C90">
        <w:rPr>
          <w:rFonts w:eastAsia="Trebuchet MS" w:cs="Times New Roman"/>
          <w:i w:val="0"/>
          <w:iCs w:val="0"/>
          <w:color w:val="000000" w:themeColor="text1"/>
          <w:sz w:val="24"/>
          <w:szCs w:val="24"/>
          <w:lang w:val="sr-Cyrl-CS"/>
        </w:rPr>
        <w:t xml:space="preserve">, донет је закључак да би рад Фонда за развој </w:t>
      </w:r>
      <w:r w:rsidRPr="00471C90">
        <w:rPr>
          <w:rFonts w:eastAsia="Trebuchet MS" w:cs="Times New Roman"/>
          <w:i w:val="0"/>
          <w:iCs w:val="0"/>
          <w:color w:val="000000" w:themeColor="text1"/>
          <w:sz w:val="24"/>
          <w:szCs w:val="24"/>
          <w:lang w:val="sr-Cyrl-CS"/>
        </w:rPr>
        <w:lastRenderedPageBreak/>
        <w:t xml:space="preserve">требало реорганизовати и ускладити са циљевима и Стратегијом </w:t>
      </w:r>
      <w:r w:rsidR="00786775" w:rsidRPr="00471C90">
        <w:rPr>
          <w:rFonts w:eastAsia="Trebuchet MS" w:cs="Times New Roman"/>
          <w:i w:val="0"/>
          <w:iCs w:val="0"/>
          <w:color w:val="000000" w:themeColor="text1"/>
          <w:sz w:val="24"/>
          <w:szCs w:val="24"/>
          <w:lang w:val="sr-Cyrl-CS"/>
        </w:rPr>
        <w:t>индустријске политике Републике Србије од 2021. до 2030. године</w:t>
      </w:r>
      <w:r w:rsidR="004E2F7B" w:rsidRPr="00471C90">
        <w:rPr>
          <w:rFonts w:eastAsia="Trebuchet MS" w:cs="Times New Roman"/>
          <w:i w:val="0"/>
          <w:iCs w:val="0"/>
          <w:color w:val="000000" w:themeColor="text1"/>
          <w:sz w:val="24"/>
          <w:szCs w:val="24"/>
          <w:lang w:val="sr-Cyrl-CS"/>
        </w:rPr>
        <w:t>,</w:t>
      </w:r>
      <w:r w:rsidR="00786775" w:rsidRPr="00471C90">
        <w:rPr>
          <w:rFonts w:eastAsia="Trebuchet MS" w:cs="Times New Roman"/>
          <w:i w:val="0"/>
          <w:iCs w:val="0"/>
          <w:color w:val="000000" w:themeColor="text1"/>
          <w:sz w:val="24"/>
          <w:szCs w:val="24"/>
          <w:lang w:val="sr-Cyrl-CS"/>
        </w:rPr>
        <w:t xml:space="preserve"> </w:t>
      </w:r>
      <w:r w:rsidRPr="00471C90">
        <w:rPr>
          <w:rFonts w:eastAsia="Trebuchet MS" w:cs="Times New Roman"/>
          <w:i w:val="0"/>
          <w:iCs w:val="0"/>
          <w:color w:val="000000" w:themeColor="text1"/>
          <w:sz w:val="24"/>
          <w:szCs w:val="24"/>
          <w:lang w:val="sr-Cyrl-CS"/>
        </w:rPr>
        <w:t xml:space="preserve">као и са </w:t>
      </w:r>
      <w:r w:rsidR="0084451A" w:rsidRPr="00471C90">
        <w:rPr>
          <w:rFonts w:eastAsia="Trebuchet MS" w:cs="Times New Roman"/>
          <w:i w:val="0"/>
          <w:iCs w:val="0"/>
          <w:color w:val="000000" w:themeColor="text1"/>
          <w:sz w:val="24"/>
          <w:szCs w:val="24"/>
          <w:lang w:val="sr-Cyrl-CS"/>
        </w:rPr>
        <w:t xml:space="preserve">будућим документом </w:t>
      </w:r>
      <w:r w:rsidR="00E6752D" w:rsidRPr="00471C90">
        <w:rPr>
          <w:rFonts w:eastAsia="Trebuchet MS" w:cs="Times New Roman"/>
          <w:i w:val="0"/>
          <w:iCs w:val="0"/>
          <w:color w:val="000000" w:themeColor="text1"/>
          <w:sz w:val="24"/>
          <w:szCs w:val="24"/>
          <w:lang w:val="sr-Cyrl-CS"/>
        </w:rPr>
        <w:t xml:space="preserve">јавне политике </w:t>
      </w:r>
      <w:r w:rsidRPr="00471C90">
        <w:rPr>
          <w:rFonts w:eastAsia="Trebuchet MS" w:cs="Times New Roman"/>
          <w:i w:val="0"/>
          <w:iCs w:val="0"/>
          <w:color w:val="000000" w:themeColor="text1"/>
          <w:sz w:val="24"/>
          <w:szCs w:val="24"/>
          <w:lang w:val="sr-Cyrl-CS"/>
        </w:rPr>
        <w:t xml:space="preserve">за развој </w:t>
      </w:r>
      <w:r w:rsidR="0089120E" w:rsidRPr="00471C90">
        <w:rPr>
          <w:rFonts w:eastAsia="Trebuchet MS" w:cs="Times New Roman"/>
          <w:i w:val="0"/>
          <w:iCs w:val="0"/>
          <w:color w:val="000000" w:themeColor="text1"/>
          <w:sz w:val="24"/>
          <w:szCs w:val="24"/>
          <w:lang w:val="sr-Cyrl-CS"/>
        </w:rPr>
        <w:t>МСП</w:t>
      </w:r>
      <w:r w:rsidRPr="00471C90">
        <w:rPr>
          <w:rFonts w:eastAsia="Trebuchet MS" w:cs="Times New Roman"/>
          <w:i w:val="0"/>
          <w:iCs w:val="0"/>
          <w:color w:val="000000" w:themeColor="text1"/>
          <w:sz w:val="24"/>
          <w:szCs w:val="24"/>
          <w:lang w:val="sr-Cyrl-CS"/>
        </w:rPr>
        <w:t xml:space="preserve">, </w:t>
      </w:r>
      <w:r w:rsidR="00107796" w:rsidRPr="00471C90">
        <w:rPr>
          <w:rFonts w:eastAsia="Trebuchet MS" w:cs="Times New Roman"/>
          <w:i w:val="0"/>
          <w:iCs w:val="0"/>
          <w:color w:val="000000" w:themeColor="text1"/>
          <w:sz w:val="24"/>
          <w:szCs w:val="24"/>
          <w:lang w:val="sr-Cyrl-CS"/>
        </w:rPr>
        <w:t xml:space="preserve">који </w:t>
      </w:r>
      <w:r w:rsidRPr="00471C90">
        <w:rPr>
          <w:rFonts w:eastAsia="Trebuchet MS" w:cs="Times New Roman"/>
          <w:i w:val="0"/>
          <w:iCs w:val="0"/>
          <w:color w:val="000000" w:themeColor="text1"/>
          <w:sz w:val="24"/>
          <w:szCs w:val="24"/>
          <w:lang w:val="sr-Cyrl-CS"/>
        </w:rPr>
        <w:t>доноси Влада.</w:t>
      </w:r>
      <w:r w:rsidR="00DD61A6" w:rsidRPr="00471C90">
        <w:rPr>
          <w:rFonts w:eastAsia="Trebuchet MS" w:cs="Times New Roman"/>
          <w:i w:val="0"/>
          <w:iCs w:val="0"/>
          <w:color w:val="000000" w:themeColor="text1"/>
          <w:sz w:val="24"/>
          <w:szCs w:val="24"/>
          <w:lang w:val="sr-Cyrl-CS"/>
        </w:rPr>
        <w:t xml:space="preserve"> Опција реструктурирања је изабрана као најповољнија, имајући у виду врло сличне ефекте у поређењу са опцијом оснивања </w:t>
      </w:r>
      <w:r w:rsidR="00786775" w:rsidRPr="00471C90">
        <w:rPr>
          <w:rFonts w:eastAsia="Trebuchet MS" w:cs="Times New Roman"/>
          <w:i w:val="0"/>
          <w:iCs w:val="0"/>
          <w:color w:val="000000" w:themeColor="text1"/>
          <w:sz w:val="24"/>
          <w:szCs w:val="24"/>
          <w:lang w:val="sr-Cyrl-CS"/>
        </w:rPr>
        <w:t>нове развојне финансијске институције</w:t>
      </w:r>
      <w:r w:rsidR="00DD61A6" w:rsidRPr="00471C90">
        <w:rPr>
          <w:rFonts w:eastAsia="Trebuchet MS" w:cs="Times New Roman"/>
          <w:i w:val="0"/>
          <w:iCs w:val="0"/>
          <w:color w:val="000000" w:themeColor="text1"/>
          <w:sz w:val="24"/>
          <w:szCs w:val="24"/>
          <w:lang w:val="sr-Cyrl-CS"/>
        </w:rPr>
        <w:t xml:space="preserve">, </w:t>
      </w:r>
      <w:r w:rsidR="0062604B" w:rsidRPr="00471C90">
        <w:rPr>
          <w:rFonts w:eastAsia="Trebuchet MS" w:cs="Times New Roman"/>
          <w:i w:val="0"/>
          <w:iCs w:val="0"/>
          <w:color w:val="000000" w:themeColor="text1"/>
          <w:sz w:val="24"/>
          <w:szCs w:val="24"/>
          <w:lang w:val="sr-Cyrl-CS"/>
        </w:rPr>
        <w:t>која би захтевала и значајне додатне ресурсе.</w:t>
      </w:r>
    </w:p>
    <w:p w14:paraId="1307C945" w14:textId="02326511" w:rsidR="00CF73E0" w:rsidRPr="00471C90" w:rsidRDefault="00CF73E0" w:rsidP="00AE0CA2">
      <w:pPr>
        <w:pStyle w:val="Caption"/>
        <w:keepNext/>
        <w:ind w:firstLine="708"/>
        <w:jc w:val="both"/>
        <w:rPr>
          <w:rFonts w:eastAsia="Trebuchet MS" w:cs="Times New Roman"/>
          <w:i w:val="0"/>
          <w:iCs w:val="0"/>
          <w:color w:val="000000" w:themeColor="text1"/>
          <w:sz w:val="24"/>
          <w:szCs w:val="24"/>
          <w:lang w:val="sr-Cyrl-CS"/>
        </w:rPr>
      </w:pPr>
      <w:r w:rsidRPr="00471C90">
        <w:rPr>
          <w:rFonts w:eastAsia="Trebuchet MS" w:cs="Times New Roman"/>
          <w:i w:val="0"/>
          <w:iCs w:val="0"/>
          <w:color w:val="000000" w:themeColor="text1"/>
          <w:sz w:val="24"/>
          <w:szCs w:val="24"/>
          <w:lang w:val="sr-Cyrl-CS"/>
        </w:rPr>
        <w:t>Реструктурирање Фонда за развој подразумева избор модела организације и докапитализације који би, након реструктурирања и обезбеђивања одговарајућих недостајућих ресурса (кадровских, финансијских и информационих), допринео да Фонд</w:t>
      </w:r>
      <w:r w:rsidR="0089120E" w:rsidRPr="00471C90">
        <w:rPr>
          <w:rFonts w:eastAsia="Trebuchet MS" w:cs="Times New Roman"/>
          <w:i w:val="0"/>
          <w:iCs w:val="0"/>
          <w:color w:val="000000" w:themeColor="text1"/>
          <w:sz w:val="24"/>
          <w:szCs w:val="24"/>
          <w:lang w:val="sr-Cyrl-CS"/>
        </w:rPr>
        <w:t xml:space="preserve"> за развој</w:t>
      </w:r>
      <w:r w:rsidRPr="00471C90">
        <w:rPr>
          <w:rFonts w:eastAsia="Trebuchet MS" w:cs="Times New Roman"/>
          <w:i w:val="0"/>
          <w:iCs w:val="0"/>
          <w:color w:val="000000" w:themeColor="text1"/>
          <w:sz w:val="24"/>
          <w:szCs w:val="24"/>
          <w:lang w:val="sr-Cyrl-CS"/>
        </w:rPr>
        <w:t xml:space="preserve"> на ефективан и ефикасан начин одговори задацима и обавезама и подржи реализацију циљева дефинисаних</w:t>
      </w:r>
      <w:r w:rsidR="00BB6F9C" w:rsidRPr="00471C90">
        <w:rPr>
          <w:rFonts w:eastAsia="Trebuchet MS" w:cs="Times New Roman"/>
          <w:i w:val="0"/>
          <w:iCs w:val="0"/>
          <w:color w:val="000000" w:themeColor="text1"/>
          <w:sz w:val="24"/>
          <w:szCs w:val="24"/>
          <w:lang w:val="sr-Cyrl-CS"/>
        </w:rPr>
        <w:t xml:space="preserve"> </w:t>
      </w:r>
      <w:r w:rsidR="00B34747" w:rsidRPr="00471C90">
        <w:rPr>
          <w:rFonts w:eastAsia="Trebuchet MS" w:cs="Times New Roman"/>
          <w:i w:val="0"/>
          <w:iCs w:val="0"/>
          <w:color w:val="000000" w:themeColor="text1"/>
          <w:sz w:val="24"/>
          <w:szCs w:val="24"/>
          <w:lang w:val="sr-Cyrl-CS"/>
        </w:rPr>
        <w:t>стратешким документима у области развоја предузетништва и индустријског развоја</w:t>
      </w:r>
      <w:r w:rsidRPr="00471C90">
        <w:rPr>
          <w:rFonts w:eastAsia="Trebuchet MS" w:cs="Times New Roman"/>
          <w:i w:val="0"/>
          <w:iCs w:val="0"/>
          <w:color w:val="000000" w:themeColor="text1"/>
          <w:sz w:val="24"/>
          <w:szCs w:val="24"/>
          <w:lang w:val="sr-Cyrl-CS"/>
        </w:rPr>
        <w:t xml:space="preserve">. У том процесу ће бити узети у обзир и принципи из </w:t>
      </w:r>
      <w:r w:rsidR="00B114F2" w:rsidRPr="00471C90">
        <w:rPr>
          <w:rFonts w:eastAsia="Trebuchet MS" w:cs="Times New Roman"/>
          <w:i w:val="0"/>
          <w:iCs w:val="0"/>
          <w:color w:val="000000" w:themeColor="text1"/>
          <w:sz w:val="24"/>
          <w:szCs w:val="24"/>
          <w:lang w:val="sr-Cyrl-CS"/>
        </w:rPr>
        <w:t>Стратегије државног власништва и управљања привредним субјектима који су у власништву Републике Србије за период од 2021. до 2027. године</w:t>
      </w:r>
      <w:r w:rsidRPr="00471C90">
        <w:rPr>
          <w:rFonts w:eastAsia="Trebuchet MS" w:cs="Times New Roman"/>
          <w:i w:val="0"/>
          <w:iCs w:val="0"/>
          <w:color w:val="000000" w:themeColor="text1"/>
          <w:sz w:val="24"/>
          <w:szCs w:val="24"/>
          <w:lang w:val="sr-Cyrl-CS"/>
        </w:rPr>
        <w:t>, поготово у области управљања</w:t>
      </w:r>
      <w:r w:rsidR="00BA3932" w:rsidRPr="00471C90">
        <w:rPr>
          <w:rFonts w:eastAsia="Trebuchet MS" w:cs="Times New Roman"/>
          <w:i w:val="0"/>
          <w:iCs w:val="0"/>
          <w:color w:val="000000" w:themeColor="text1"/>
          <w:sz w:val="24"/>
          <w:szCs w:val="24"/>
          <w:lang w:val="sr-Cyrl-CS"/>
        </w:rPr>
        <w:t xml:space="preserve"> привредним субјектима</w:t>
      </w:r>
      <w:r w:rsidRPr="00471C90">
        <w:rPr>
          <w:rFonts w:eastAsia="Trebuchet MS" w:cs="Times New Roman"/>
          <w:i w:val="0"/>
          <w:iCs w:val="0"/>
          <w:color w:val="000000" w:themeColor="text1"/>
          <w:sz w:val="24"/>
          <w:szCs w:val="24"/>
          <w:lang w:val="sr-Cyrl-CS"/>
        </w:rPr>
        <w:t>.</w:t>
      </w:r>
    </w:p>
    <w:p w14:paraId="4B1D06FE" w14:textId="77777777" w:rsidR="007D3D6C" w:rsidRPr="00471C90" w:rsidRDefault="007D3D6C" w:rsidP="00033BC0">
      <w:pPr>
        <w:rPr>
          <w:rFonts w:cs="Times New Roman"/>
          <w:bCs/>
          <w:color w:val="000000" w:themeColor="text1"/>
          <w:szCs w:val="24"/>
          <w:lang w:val="sr-Cyrl-CS"/>
        </w:rPr>
      </w:pPr>
    </w:p>
    <w:p w14:paraId="1F01DF7E" w14:textId="266D3FA6" w:rsidR="003F4ACC" w:rsidRPr="00471C90" w:rsidRDefault="00BB6F9C" w:rsidP="00033BC0">
      <w:pPr>
        <w:rPr>
          <w:rFonts w:cs="Times New Roman"/>
          <w:bCs/>
          <w:color w:val="000000" w:themeColor="text1"/>
          <w:szCs w:val="24"/>
          <w:lang w:val="sr-Cyrl-CS"/>
        </w:rPr>
      </w:pPr>
      <w:r w:rsidRPr="00471C90">
        <w:rPr>
          <w:rFonts w:cs="Times New Roman"/>
          <w:bCs/>
          <w:color w:val="000000" w:themeColor="text1"/>
          <w:szCs w:val="24"/>
          <w:lang w:val="sr-Cyrl-CS"/>
        </w:rPr>
        <w:t>Табела</w:t>
      </w:r>
      <w:r w:rsidR="00CF73E0" w:rsidRPr="00471C90">
        <w:rPr>
          <w:rFonts w:cs="Times New Roman"/>
          <w:bCs/>
          <w:color w:val="000000" w:themeColor="text1"/>
          <w:szCs w:val="24"/>
          <w:lang w:val="sr-Cyrl-CS"/>
        </w:rPr>
        <w:t xml:space="preserve"> 2: Преглед различитих опција за АОФИ</w:t>
      </w:r>
    </w:p>
    <w:tbl>
      <w:tblPr>
        <w:tblStyle w:val="TableGrid"/>
        <w:tblW w:w="0" w:type="auto"/>
        <w:jc w:val="center"/>
        <w:tblLook w:val="04A0" w:firstRow="1" w:lastRow="0" w:firstColumn="1" w:lastColumn="0" w:noHBand="0" w:noVBand="1"/>
      </w:tblPr>
      <w:tblGrid>
        <w:gridCol w:w="2265"/>
        <w:gridCol w:w="2265"/>
        <w:gridCol w:w="2266"/>
        <w:gridCol w:w="2266"/>
      </w:tblGrid>
      <w:tr w:rsidR="00403CB9" w:rsidRPr="00471C90" w14:paraId="770FDFF8" w14:textId="77777777" w:rsidTr="00B07BAE">
        <w:trPr>
          <w:jc w:val="center"/>
        </w:trPr>
        <w:tc>
          <w:tcPr>
            <w:tcW w:w="2265" w:type="dxa"/>
            <w:shd w:val="clear" w:color="auto" w:fill="D9D9D9" w:themeFill="background1" w:themeFillShade="D9"/>
          </w:tcPr>
          <w:p w14:paraId="0D520725" w14:textId="77777777" w:rsidR="00BB6F9C" w:rsidRPr="00471C90" w:rsidRDefault="00BB6F9C" w:rsidP="00B07BAE">
            <w:pPr>
              <w:jc w:val="center"/>
              <w:rPr>
                <w:rFonts w:cs="Times New Roman"/>
                <w:color w:val="000000" w:themeColor="text1"/>
                <w:szCs w:val="24"/>
                <w:lang w:val="sr-Cyrl-CS"/>
              </w:rPr>
            </w:pPr>
          </w:p>
        </w:tc>
        <w:tc>
          <w:tcPr>
            <w:tcW w:w="2265" w:type="dxa"/>
            <w:shd w:val="clear" w:color="auto" w:fill="D9D9D9" w:themeFill="background1" w:themeFillShade="D9"/>
          </w:tcPr>
          <w:p w14:paraId="1EE8D9BB"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Задржавање тренутног стања</w:t>
            </w:r>
          </w:p>
        </w:tc>
        <w:tc>
          <w:tcPr>
            <w:tcW w:w="2266" w:type="dxa"/>
            <w:shd w:val="clear" w:color="auto" w:fill="D9D9D9" w:themeFill="background1" w:themeFillShade="D9"/>
          </w:tcPr>
          <w:p w14:paraId="65F592C1"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Реструктурирање</w:t>
            </w:r>
          </w:p>
        </w:tc>
        <w:tc>
          <w:tcPr>
            <w:tcW w:w="2266" w:type="dxa"/>
            <w:shd w:val="clear" w:color="auto" w:fill="D9D9D9" w:themeFill="background1" w:themeFillShade="D9"/>
          </w:tcPr>
          <w:p w14:paraId="190BDC51" w14:textId="7B0F7524"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Нов</w:t>
            </w:r>
            <w:r w:rsidR="00EA3978" w:rsidRPr="00471C90">
              <w:rPr>
                <w:rFonts w:cs="Times New Roman"/>
                <w:color w:val="000000" w:themeColor="text1"/>
                <w:szCs w:val="24"/>
                <w:lang w:val="sr-Cyrl-CS"/>
              </w:rPr>
              <w:t>а</w:t>
            </w:r>
            <w:r w:rsidRPr="00471C90">
              <w:rPr>
                <w:rFonts w:cs="Times New Roman"/>
                <w:color w:val="000000" w:themeColor="text1"/>
                <w:szCs w:val="24"/>
                <w:lang w:val="sr-Cyrl-CS"/>
              </w:rPr>
              <w:t xml:space="preserve"> </w:t>
            </w:r>
            <w:r w:rsidR="00EA3978" w:rsidRPr="00471C90">
              <w:rPr>
                <w:rFonts w:cs="Times New Roman"/>
                <w:color w:val="000000" w:themeColor="text1"/>
                <w:szCs w:val="24"/>
                <w:lang w:val="sr-Cyrl-CS"/>
              </w:rPr>
              <w:t>развојна финансијска институција</w:t>
            </w:r>
          </w:p>
        </w:tc>
      </w:tr>
      <w:tr w:rsidR="00403CB9" w:rsidRPr="00471C90" w14:paraId="09738B59" w14:textId="77777777" w:rsidTr="00B07BAE">
        <w:trPr>
          <w:jc w:val="center"/>
        </w:trPr>
        <w:tc>
          <w:tcPr>
            <w:tcW w:w="2265" w:type="dxa"/>
            <w:shd w:val="clear" w:color="auto" w:fill="D9D9D9" w:themeFill="background1" w:themeFillShade="D9"/>
          </w:tcPr>
          <w:p w14:paraId="3710376A" w14:textId="215B5394" w:rsidR="00BB6F9C" w:rsidRPr="00471C90" w:rsidRDefault="00BB6F9C" w:rsidP="0055381F">
            <w:pPr>
              <w:jc w:val="center"/>
              <w:rPr>
                <w:rFonts w:cs="Times New Roman"/>
                <w:color w:val="000000" w:themeColor="text1"/>
                <w:szCs w:val="24"/>
                <w:lang w:val="sr-Cyrl-CS"/>
              </w:rPr>
            </w:pPr>
            <w:r w:rsidRPr="00471C90">
              <w:rPr>
                <w:rFonts w:cs="Times New Roman"/>
                <w:color w:val="000000" w:themeColor="text1"/>
                <w:szCs w:val="24"/>
                <w:lang w:val="sr-Cyrl-CS"/>
              </w:rPr>
              <w:t xml:space="preserve">Тренутно поверење и </w:t>
            </w:r>
            <w:r w:rsidR="0055381F" w:rsidRPr="00471C90">
              <w:rPr>
                <w:rFonts w:cs="Times New Roman"/>
                <w:color w:val="000000" w:themeColor="text1"/>
                <w:szCs w:val="24"/>
                <w:lang w:val="sr-Cyrl-CS"/>
              </w:rPr>
              <w:t xml:space="preserve">статус </w:t>
            </w:r>
            <w:r w:rsidRPr="00471C90">
              <w:rPr>
                <w:rFonts w:cs="Times New Roman"/>
                <w:color w:val="000000" w:themeColor="text1"/>
                <w:szCs w:val="24"/>
                <w:lang w:val="sr-Cyrl-CS"/>
              </w:rPr>
              <w:t>на тржишту</w:t>
            </w:r>
          </w:p>
        </w:tc>
        <w:tc>
          <w:tcPr>
            <w:tcW w:w="2265" w:type="dxa"/>
            <w:vAlign w:val="center"/>
          </w:tcPr>
          <w:p w14:paraId="042A9CFA" w14:textId="142D22ED"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p w14:paraId="71D4D086" w14:textId="77777777" w:rsidR="00BB6F9C" w:rsidRPr="00471C90" w:rsidRDefault="00BB6F9C" w:rsidP="00B07BAE">
            <w:pPr>
              <w:jc w:val="center"/>
              <w:rPr>
                <w:rFonts w:cs="Times New Roman"/>
                <w:color w:val="000000" w:themeColor="text1"/>
                <w:szCs w:val="24"/>
                <w:lang w:val="sr-Cyrl-CS"/>
              </w:rPr>
            </w:pPr>
          </w:p>
        </w:tc>
        <w:tc>
          <w:tcPr>
            <w:tcW w:w="2266" w:type="dxa"/>
            <w:vAlign w:val="center"/>
          </w:tcPr>
          <w:p w14:paraId="0C509D3E" w14:textId="2D12524A"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c>
          <w:tcPr>
            <w:tcW w:w="2266" w:type="dxa"/>
            <w:vAlign w:val="center"/>
          </w:tcPr>
          <w:p w14:paraId="0BAD110B"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r>
      <w:tr w:rsidR="00403CB9" w:rsidRPr="00471C90" w14:paraId="75454BF1" w14:textId="77777777" w:rsidTr="00B07BAE">
        <w:trPr>
          <w:jc w:val="center"/>
        </w:trPr>
        <w:tc>
          <w:tcPr>
            <w:tcW w:w="2265" w:type="dxa"/>
            <w:shd w:val="clear" w:color="auto" w:fill="D9D9D9" w:themeFill="background1" w:themeFillShade="D9"/>
          </w:tcPr>
          <w:p w14:paraId="30B57939" w14:textId="3244D49B" w:rsidR="00BB6F9C" w:rsidRPr="00471C90" w:rsidRDefault="0055381F" w:rsidP="0055381F">
            <w:pPr>
              <w:jc w:val="center"/>
              <w:rPr>
                <w:rFonts w:cs="Times New Roman"/>
                <w:color w:val="000000" w:themeColor="text1"/>
                <w:szCs w:val="24"/>
                <w:lang w:val="sr-Cyrl-CS"/>
              </w:rPr>
            </w:pPr>
            <w:r w:rsidRPr="00471C90">
              <w:rPr>
                <w:rFonts w:cs="Times New Roman"/>
                <w:color w:val="000000" w:themeColor="text1"/>
                <w:szCs w:val="24"/>
                <w:lang w:val="sr-Cyrl-CS"/>
              </w:rPr>
              <w:t xml:space="preserve">Тренутни </w:t>
            </w:r>
            <w:r w:rsidR="00BB6F9C" w:rsidRPr="00471C90">
              <w:rPr>
                <w:rFonts w:cs="Times New Roman"/>
                <w:color w:val="000000" w:themeColor="text1"/>
                <w:szCs w:val="24"/>
                <w:lang w:val="sr-Cyrl-CS"/>
              </w:rPr>
              <w:t xml:space="preserve">и </w:t>
            </w:r>
            <w:r w:rsidRPr="00471C90">
              <w:rPr>
                <w:rFonts w:cs="Times New Roman"/>
                <w:color w:val="000000" w:themeColor="text1"/>
                <w:szCs w:val="24"/>
                <w:lang w:val="sr-Cyrl-CS"/>
              </w:rPr>
              <w:t>досадашњи учинак</w:t>
            </w:r>
            <w:r w:rsidR="00BB6F9C" w:rsidRPr="00471C90">
              <w:rPr>
                <w:rFonts w:cs="Times New Roman"/>
                <w:color w:val="000000" w:themeColor="text1"/>
                <w:szCs w:val="24"/>
                <w:lang w:val="sr-Cyrl-CS"/>
              </w:rPr>
              <w:t xml:space="preserve"> и достигнућа</w:t>
            </w:r>
          </w:p>
        </w:tc>
        <w:tc>
          <w:tcPr>
            <w:tcW w:w="2265" w:type="dxa"/>
            <w:vAlign w:val="center"/>
          </w:tcPr>
          <w:p w14:paraId="3CF859C5" w14:textId="15D4DA7F"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1E98C125" w14:textId="1DDFAAC8"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c>
          <w:tcPr>
            <w:tcW w:w="2266" w:type="dxa"/>
            <w:vAlign w:val="center"/>
          </w:tcPr>
          <w:p w14:paraId="65367577"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r>
      <w:tr w:rsidR="00403CB9" w:rsidRPr="00471C90" w14:paraId="256DD11C" w14:textId="77777777" w:rsidTr="00B07BAE">
        <w:trPr>
          <w:jc w:val="center"/>
        </w:trPr>
        <w:tc>
          <w:tcPr>
            <w:tcW w:w="2265" w:type="dxa"/>
            <w:shd w:val="clear" w:color="auto" w:fill="D9D9D9" w:themeFill="background1" w:themeFillShade="D9"/>
          </w:tcPr>
          <w:p w14:paraId="7E7F4419"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Способност привлачења екстерног финансирања</w:t>
            </w:r>
          </w:p>
        </w:tc>
        <w:tc>
          <w:tcPr>
            <w:tcW w:w="2265" w:type="dxa"/>
            <w:vAlign w:val="center"/>
          </w:tcPr>
          <w:p w14:paraId="7364747B" w14:textId="3DFBD4B3"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6FD58732" w14:textId="1E5FE631"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c>
          <w:tcPr>
            <w:tcW w:w="2266" w:type="dxa"/>
            <w:vAlign w:val="center"/>
          </w:tcPr>
          <w:p w14:paraId="6DB07462"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r>
      <w:tr w:rsidR="00403CB9" w:rsidRPr="00471C90" w14:paraId="498F8DAA" w14:textId="77777777" w:rsidTr="00B07BAE">
        <w:trPr>
          <w:jc w:val="center"/>
        </w:trPr>
        <w:tc>
          <w:tcPr>
            <w:tcW w:w="2265" w:type="dxa"/>
            <w:shd w:val="clear" w:color="auto" w:fill="D9D9D9" w:themeFill="background1" w:themeFillShade="D9"/>
          </w:tcPr>
          <w:p w14:paraId="00FBDC3E"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Тренутни институционални капацитет</w:t>
            </w:r>
          </w:p>
        </w:tc>
        <w:tc>
          <w:tcPr>
            <w:tcW w:w="2265" w:type="dxa"/>
            <w:vAlign w:val="center"/>
          </w:tcPr>
          <w:p w14:paraId="593CEB6C" w14:textId="302B7BA4"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11207138" w14:textId="3665EB96"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c>
          <w:tcPr>
            <w:tcW w:w="2266" w:type="dxa"/>
            <w:vAlign w:val="center"/>
          </w:tcPr>
          <w:p w14:paraId="24A42E43"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r>
      <w:tr w:rsidR="00403CB9" w:rsidRPr="00471C90" w14:paraId="2B15D437" w14:textId="77777777" w:rsidTr="00B07BAE">
        <w:trPr>
          <w:jc w:val="center"/>
        </w:trPr>
        <w:tc>
          <w:tcPr>
            <w:tcW w:w="2265" w:type="dxa"/>
            <w:shd w:val="clear" w:color="auto" w:fill="D9D9D9" w:themeFill="background1" w:themeFillShade="D9"/>
          </w:tcPr>
          <w:p w14:paraId="233A9DFB"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Способност обављања основних функција и циљева</w:t>
            </w:r>
          </w:p>
        </w:tc>
        <w:tc>
          <w:tcPr>
            <w:tcW w:w="2265" w:type="dxa"/>
            <w:vAlign w:val="center"/>
          </w:tcPr>
          <w:p w14:paraId="1ACB7D41" w14:textId="7FF129C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0B90DCA4" w14:textId="6CB486A8"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c>
          <w:tcPr>
            <w:tcW w:w="2266" w:type="dxa"/>
            <w:vAlign w:val="center"/>
          </w:tcPr>
          <w:p w14:paraId="4F6D31A1"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r>
      <w:tr w:rsidR="00403CB9" w:rsidRPr="00471C90" w14:paraId="20FA8B92" w14:textId="77777777" w:rsidTr="00B07BAE">
        <w:trPr>
          <w:jc w:val="center"/>
        </w:trPr>
        <w:tc>
          <w:tcPr>
            <w:tcW w:w="2265" w:type="dxa"/>
            <w:shd w:val="clear" w:color="auto" w:fill="D9D9D9" w:themeFill="background1" w:themeFillShade="D9"/>
          </w:tcPr>
          <w:p w14:paraId="7F7B1CF1" w14:textId="159D0352" w:rsidR="00BB6F9C" w:rsidRPr="00471C90" w:rsidRDefault="00BB6F9C" w:rsidP="005100C2">
            <w:pPr>
              <w:jc w:val="center"/>
              <w:rPr>
                <w:rFonts w:cs="Times New Roman"/>
                <w:color w:val="000000" w:themeColor="text1"/>
                <w:szCs w:val="24"/>
                <w:lang w:val="sr-Cyrl-CS"/>
              </w:rPr>
            </w:pPr>
            <w:r w:rsidRPr="00471C90">
              <w:rPr>
                <w:rFonts w:cs="Times New Roman"/>
                <w:color w:val="000000" w:themeColor="text1"/>
                <w:szCs w:val="24"/>
                <w:lang w:val="sr-Cyrl-CS"/>
              </w:rPr>
              <w:t xml:space="preserve">Способност успостављања одговарајућег надзора, </w:t>
            </w:r>
            <w:r w:rsidR="005100C2" w:rsidRPr="00471C90">
              <w:rPr>
                <w:rFonts w:cs="Times New Roman"/>
                <w:color w:val="000000" w:themeColor="text1"/>
                <w:szCs w:val="24"/>
                <w:lang w:val="sr-Cyrl-CS"/>
              </w:rPr>
              <w:t xml:space="preserve">законодавног </w:t>
            </w:r>
            <w:r w:rsidRPr="00471C90">
              <w:rPr>
                <w:rFonts w:cs="Times New Roman"/>
                <w:color w:val="000000" w:themeColor="text1"/>
                <w:szCs w:val="24"/>
                <w:lang w:val="sr-Cyrl-CS"/>
              </w:rPr>
              <w:t>оквира и модела</w:t>
            </w:r>
          </w:p>
        </w:tc>
        <w:tc>
          <w:tcPr>
            <w:tcW w:w="2265" w:type="dxa"/>
            <w:vAlign w:val="center"/>
          </w:tcPr>
          <w:p w14:paraId="31123706" w14:textId="3995E94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22D5A332"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c>
          <w:tcPr>
            <w:tcW w:w="2266" w:type="dxa"/>
            <w:vAlign w:val="center"/>
          </w:tcPr>
          <w:p w14:paraId="78E2699C"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r>
      <w:tr w:rsidR="00403CB9" w:rsidRPr="00471C90" w14:paraId="42D719A3" w14:textId="77777777" w:rsidTr="00B07BAE">
        <w:trPr>
          <w:jc w:val="center"/>
        </w:trPr>
        <w:tc>
          <w:tcPr>
            <w:tcW w:w="2265" w:type="dxa"/>
            <w:shd w:val="clear" w:color="auto" w:fill="D9D9D9" w:themeFill="background1" w:themeFillShade="D9"/>
          </w:tcPr>
          <w:p w14:paraId="46C92A4B"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Једноставност трансформације из тренутног стања</w:t>
            </w:r>
          </w:p>
        </w:tc>
        <w:tc>
          <w:tcPr>
            <w:tcW w:w="2265" w:type="dxa"/>
            <w:vAlign w:val="center"/>
          </w:tcPr>
          <w:p w14:paraId="2E685950"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3</w:t>
            </w:r>
          </w:p>
        </w:tc>
        <w:tc>
          <w:tcPr>
            <w:tcW w:w="2266" w:type="dxa"/>
            <w:vAlign w:val="center"/>
          </w:tcPr>
          <w:p w14:paraId="74371246"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2</w:t>
            </w:r>
          </w:p>
        </w:tc>
        <w:tc>
          <w:tcPr>
            <w:tcW w:w="2266" w:type="dxa"/>
            <w:vAlign w:val="center"/>
          </w:tcPr>
          <w:p w14:paraId="7FC4FAD1"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1</w:t>
            </w:r>
          </w:p>
        </w:tc>
      </w:tr>
      <w:tr w:rsidR="00403CB9" w:rsidRPr="00471C90" w14:paraId="2C5845C0" w14:textId="77777777" w:rsidTr="00B07BAE">
        <w:trPr>
          <w:jc w:val="center"/>
        </w:trPr>
        <w:tc>
          <w:tcPr>
            <w:tcW w:w="2265" w:type="dxa"/>
            <w:shd w:val="clear" w:color="auto" w:fill="D9D9D9" w:themeFill="background1" w:themeFillShade="D9"/>
          </w:tcPr>
          <w:p w14:paraId="50FF69D7"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 xml:space="preserve">Потреба за издвајањем пословних линија </w:t>
            </w:r>
            <w:r w:rsidRPr="00471C90">
              <w:rPr>
                <w:rFonts w:cs="Times New Roman"/>
                <w:color w:val="000000" w:themeColor="text1"/>
                <w:szCs w:val="24"/>
                <w:lang w:val="sr-Cyrl-CS"/>
              </w:rPr>
              <w:lastRenderedPageBreak/>
              <w:t>и/или оснивањем повезаних лица</w:t>
            </w:r>
          </w:p>
        </w:tc>
        <w:tc>
          <w:tcPr>
            <w:tcW w:w="6797" w:type="dxa"/>
            <w:gridSpan w:val="3"/>
            <w:vAlign w:val="center"/>
          </w:tcPr>
          <w:p w14:paraId="718C3EF6" w14:textId="43951F6E" w:rsidR="00BB6F9C" w:rsidRPr="00471C90" w:rsidRDefault="00BB6F9C" w:rsidP="00107796">
            <w:pPr>
              <w:jc w:val="center"/>
              <w:rPr>
                <w:rFonts w:cs="Times New Roman"/>
                <w:color w:val="000000" w:themeColor="text1"/>
                <w:szCs w:val="24"/>
                <w:lang w:val="sr-Cyrl-CS"/>
              </w:rPr>
            </w:pPr>
            <w:r w:rsidRPr="00471C90">
              <w:rPr>
                <w:rFonts w:cs="Times New Roman"/>
                <w:color w:val="000000" w:themeColor="text1"/>
                <w:szCs w:val="24"/>
                <w:lang w:val="sr-Cyrl-CS"/>
              </w:rPr>
              <w:lastRenderedPageBreak/>
              <w:t xml:space="preserve">Требало би успоставити посебно, повезано лице задужено за осигурање извоза, услед другачије природе пословања и </w:t>
            </w:r>
            <w:r w:rsidR="00107796" w:rsidRPr="00471C90">
              <w:rPr>
                <w:rFonts w:cs="Times New Roman"/>
                <w:color w:val="000000" w:themeColor="text1"/>
                <w:szCs w:val="24"/>
                <w:lang w:val="sr-Cyrl-CS"/>
              </w:rPr>
              <w:t>законодавног</w:t>
            </w:r>
            <w:r w:rsidRPr="00471C90">
              <w:rPr>
                <w:rFonts w:cs="Times New Roman"/>
                <w:color w:val="000000" w:themeColor="text1"/>
                <w:szCs w:val="24"/>
                <w:lang w:val="sr-Cyrl-CS"/>
              </w:rPr>
              <w:t xml:space="preserve"> оквира</w:t>
            </w:r>
          </w:p>
        </w:tc>
      </w:tr>
      <w:tr w:rsidR="00403CB9" w:rsidRPr="00471C90" w14:paraId="0B302DED" w14:textId="77777777" w:rsidTr="00B07BAE">
        <w:trPr>
          <w:jc w:val="center"/>
        </w:trPr>
        <w:tc>
          <w:tcPr>
            <w:tcW w:w="2265" w:type="dxa"/>
            <w:shd w:val="clear" w:color="auto" w:fill="D9D9D9" w:themeFill="background1" w:themeFillShade="D9"/>
          </w:tcPr>
          <w:p w14:paraId="51789D42"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Резултат</w:t>
            </w:r>
          </w:p>
        </w:tc>
        <w:tc>
          <w:tcPr>
            <w:tcW w:w="2265" w:type="dxa"/>
          </w:tcPr>
          <w:p w14:paraId="1B35C3E5" w14:textId="2756B0A8"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15</w:t>
            </w:r>
          </w:p>
        </w:tc>
        <w:tc>
          <w:tcPr>
            <w:tcW w:w="2266" w:type="dxa"/>
          </w:tcPr>
          <w:p w14:paraId="78A8F6A3" w14:textId="4FFC7985"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20</w:t>
            </w:r>
          </w:p>
        </w:tc>
        <w:tc>
          <w:tcPr>
            <w:tcW w:w="2266" w:type="dxa"/>
          </w:tcPr>
          <w:p w14:paraId="050AD23D" w14:textId="77777777" w:rsidR="00BB6F9C" w:rsidRPr="00471C90" w:rsidRDefault="00BB6F9C" w:rsidP="00B07BAE">
            <w:pPr>
              <w:jc w:val="center"/>
              <w:rPr>
                <w:rFonts w:cs="Times New Roman"/>
                <w:color w:val="000000" w:themeColor="text1"/>
                <w:szCs w:val="24"/>
                <w:lang w:val="sr-Cyrl-CS"/>
              </w:rPr>
            </w:pPr>
            <w:r w:rsidRPr="00471C90">
              <w:rPr>
                <w:rFonts w:cs="Times New Roman"/>
                <w:color w:val="000000" w:themeColor="text1"/>
                <w:szCs w:val="24"/>
                <w:lang w:val="sr-Cyrl-CS"/>
              </w:rPr>
              <w:t>13</w:t>
            </w:r>
          </w:p>
        </w:tc>
      </w:tr>
    </w:tbl>
    <w:p w14:paraId="607BE65F" w14:textId="77777777" w:rsidR="00BB6F9C" w:rsidRPr="00471C90" w:rsidRDefault="00BB6F9C" w:rsidP="00033BC0">
      <w:pPr>
        <w:rPr>
          <w:rFonts w:cs="Times New Roman"/>
          <w:color w:val="000000" w:themeColor="text1"/>
          <w:szCs w:val="24"/>
          <w:lang w:val="sr-Cyrl-CS"/>
        </w:rPr>
      </w:pPr>
    </w:p>
    <w:p w14:paraId="233968D1" w14:textId="1FFB14C4" w:rsidR="00BB6F9C" w:rsidRPr="00471C90" w:rsidRDefault="00107796" w:rsidP="00BB6F9C">
      <w:pPr>
        <w:rPr>
          <w:rFonts w:cs="Times New Roman"/>
          <w:color w:val="000000" w:themeColor="text1"/>
          <w:szCs w:val="24"/>
          <w:lang w:val="sr-Cyrl-CS"/>
        </w:rPr>
      </w:pPr>
      <w:r w:rsidRPr="00471C90">
        <w:rPr>
          <w:rFonts w:cs="Times New Roman"/>
          <w:color w:val="000000" w:themeColor="text1"/>
          <w:szCs w:val="24"/>
          <w:lang w:val="sr-Cyrl-CS"/>
        </w:rPr>
        <w:t xml:space="preserve">Легенда: </w:t>
      </w:r>
      <w:r w:rsidR="00BB6F9C" w:rsidRPr="00471C90">
        <w:rPr>
          <w:rFonts w:cs="Times New Roman"/>
          <w:color w:val="000000" w:themeColor="text1"/>
          <w:szCs w:val="24"/>
          <w:lang w:val="sr-Cyrl-CS"/>
        </w:rPr>
        <w:t>Могућност и ефективност трансформације</w:t>
      </w:r>
    </w:p>
    <w:p w14:paraId="6C76DFC2" w14:textId="77777777" w:rsidR="00BB6F9C" w:rsidRPr="00471C90" w:rsidRDefault="00BB6F9C" w:rsidP="00BB6F9C">
      <w:pPr>
        <w:rPr>
          <w:rFonts w:cs="Times New Roman"/>
          <w:color w:val="000000" w:themeColor="text1"/>
          <w:szCs w:val="24"/>
          <w:lang w:val="sr-Cyrl-CS"/>
        </w:rPr>
      </w:pPr>
      <w:r w:rsidRPr="00471C90">
        <w:rPr>
          <w:rFonts w:cs="Times New Roman"/>
          <w:color w:val="000000" w:themeColor="text1"/>
          <w:szCs w:val="24"/>
          <w:lang w:val="sr-Cyrl-CS"/>
        </w:rPr>
        <w:t>1 Потребни значајни напори и/или ниска ефективност</w:t>
      </w:r>
    </w:p>
    <w:p w14:paraId="2772FA68" w14:textId="77777777" w:rsidR="00BB6F9C" w:rsidRPr="00471C90" w:rsidRDefault="00BB6F9C" w:rsidP="00BB6F9C">
      <w:pPr>
        <w:rPr>
          <w:rFonts w:cs="Times New Roman"/>
          <w:color w:val="000000" w:themeColor="text1"/>
          <w:szCs w:val="24"/>
          <w:lang w:val="sr-Cyrl-CS"/>
        </w:rPr>
      </w:pPr>
      <w:r w:rsidRPr="00471C90">
        <w:rPr>
          <w:rFonts w:cs="Times New Roman"/>
          <w:color w:val="000000" w:themeColor="text1"/>
          <w:szCs w:val="24"/>
          <w:lang w:val="sr-Cyrl-CS"/>
        </w:rPr>
        <w:t>2 Потребни умерени напори и/или ниска ефективност</w:t>
      </w:r>
    </w:p>
    <w:p w14:paraId="00FD3509" w14:textId="3E869CD2" w:rsidR="00BB6F9C" w:rsidRPr="00471C90" w:rsidRDefault="00BB6F9C" w:rsidP="00BB6F9C">
      <w:pPr>
        <w:rPr>
          <w:rFonts w:cs="Times New Roman"/>
          <w:color w:val="000000" w:themeColor="text1"/>
          <w:szCs w:val="24"/>
          <w:lang w:val="sr-Cyrl-CS"/>
        </w:rPr>
      </w:pPr>
      <w:r w:rsidRPr="00471C90">
        <w:rPr>
          <w:rFonts w:cs="Times New Roman"/>
          <w:color w:val="000000" w:themeColor="text1"/>
          <w:szCs w:val="24"/>
          <w:lang w:val="sr-Cyrl-CS"/>
        </w:rPr>
        <w:t>3</w:t>
      </w:r>
      <w:r w:rsidR="00471C90">
        <w:rPr>
          <w:rFonts w:cs="Times New Roman"/>
          <w:color w:val="000000" w:themeColor="text1"/>
          <w:szCs w:val="24"/>
          <w:lang w:val="en-US"/>
        </w:rPr>
        <w:t xml:space="preserve"> </w:t>
      </w:r>
      <w:r w:rsidR="00107796" w:rsidRPr="00471C90">
        <w:rPr>
          <w:rFonts w:cs="Times New Roman"/>
          <w:color w:val="000000" w:themeColor="text1"/>
          <w:szCs w:val="24"/>
          <w:lang w:val="sr-Cyrl-CS"/>
        </w:rPr>
        <w:t xml:space="preserve">Потребни </w:t>
      </w:r>
      <w:r w:rsidRPr="00471C90">
        <w:rPr>
          <w:rFonts w:cs="Times New Roman"/>
          <w:color w:val="000000" w:themeColor="text1"/>
          <w:szCs w:val="24"/>
          <w:lang w:val="sr-Cyrl-CS"/>
        </w:rPr>
        <w:t xml:space="preserve"> Минимални и/или никакви напори и/или висока ефективност</w:t>
      </w:r>
    </w:p>
    <w:p w14:paraId="4C21156A" w14:textId="77777777" w:rsidR="00BB6F9C" w:rsidRPr="00471C90" w:rsidRDefault="00BB6F9C" w:rsidP="00033BC0">
      <w:pPr>
        <w:rPr>
          <w:rFonts w:cs="Times New Roman"/>
          <w:color w:val="000000" w:themeColor="text1"/>
          <w:szCs w:val="24"/>
          <w:lang w:val="sr-Cyrl-CS"/>
        </w:rPr>
      </w:pPr>
    </w:p>
    <w:p w14:paraId="7CAA35B0" w14:textId="34D4593E" w:rsidR="00850816" w:rsidRPr="00471C90" w:rsidRDefault="00CF73E0" w:rsidP="00AE0CA2">
      <w:pPr>
        <w:ind w:firstLine="708"/>
        <w:jc w:val="both"/>
        <w:rPr>
          <w:rFonts w:cs="Times New Roman"/>
          <w:color w:val="000000" w:themeColor="text1"/>
          <w:szCs w:val="24"/>
          <w:lang w:val="sr-Cyrl-CS"/>
        </w:rPr>
      </w:pPr>
      <w:r w:rsidRPr="00471C90">
        <w:rPr>
          <w:rFonts w:cs="Times New Roman"/>
          <w:color w:val="000000" w:themeColor="text1"/>
          <w:szCs w:val="24"/>
          <w:lang w:val="sr-Cyrl-CS"/>
        </w:rPr>
        <w:t>Иако</w:t>
      </w:r>
      <w:r w:rsidR="00107796" w:rsidRPr="00471C90">
        <w:rPr>
          <w:rFonts w:cs="Times New Roman"/>
          <w:color w:val="000000" w:themeColor="text1"/>
          <w:szCs w:val="24"/>
          <w:lang w:val="sr-Cyrl-CS"/>
        </w:rPr>
        <w:t xml:space="preserve"> је</w:t>
      </w:r>
      <w:r w:rsidRPr="00471C90">
        <w:rPr>
          <w:rFonts w:cs="Times New Roman"/>
          <w:color w:val="000000" w:themeColor="text1"/>
          <w:szCs w:val="24"/>
          <w:lang w:val="sr-Cyrl-CS"/>
        </w:rPr>
        <w:t xml:space="preserve"> АОФИ </w:t>
      </w:r>
      <w:r w:rsidR="00107796" w:rsidRPr="00471C90">
        <w:rPr>
          <w:rFonts w:cs="Times New Roman"/>
          <w:color w:val="000000" w:themeColor="text1"/>
          <w:szCs w:val="24"/>
          <w:lang w:val="sr-Cyrl-CS"/>
        </w:rPr>
        <w:t>у мањој</w:t>
      </w:r>
      <w:r w:rsidRPr="00471C90">
        <w:rPr>
          <w:rFonts w:cs="Times New Roman"/>
          <w:color w:val="000000" w:themeColor="text1"/>
          <w:szCs w:val="24"/>
          <w:lang w:val="sr-Cyrl-CS"/>
        </w:rPr>
        <w:t xml:space="preserve"> мери </w:t>
      </w:r>
      <w:r w:rsidR="00107796" w:rsidRPr="00471C90">
        <w:rPr>
          <w:rFonts w:cs="Times New Roman"/>
          <w:color w:val="000000" w:themeColor="text1"/>
          <w:szCs w:val="24"/>
          <w:lang w:val="sr-Cyrl-CS"/>
        </w:rPr>
        <w:t xml:space="preserve">од Фонда за развој </w:t>
      </w:r>
      <w:r w:rsidRPr="00471C90">
        <w:rPr>
          <w:rFonts w:cs="Times New Roman"/>
          <w:color w:val="000000" w:themeColor="text1"/>
          <w:szCs w:val="24"/>
          <w:lang w:val="sr-Cyrl-CS"/>
        </w:rPr>
        <w:t>оптерећен високим нивоом резервисања за кредитне губитке и проблематичних кредита (</w:t>
      </w:r>
      <w:r w:rsidR="006815D5" w:rsidRPr="00471C90">
        <w:rPr>
          <w:rFonts w:cs="Times New Roman"/>
          <w:color w:val="000000" w:themeColor="text1"/>
          <w:szCs w:val="24"/>
          <w:lang w:val="sr-Cyrl-CS"/>
        </w:rPr>
        <w:t xml:space="preserve">енгл: </w:t>
      </w:r>
      <w:r w:rsidR="00786775" w:rsidRPr="00471C90">
        <w:rPr>
          <w:rFonts w:cs="Times New Roman"/>
          <w:i/>
          <w:color w:val="000000" w:themeColor="text1"/>
          <w:szCs w:val="24"/>
          <w:lang w:val="sr-Cyrl-CS"/>
        </w:rPr>
        <w:t>NPL</w:t>
      </w:r>
      <w:r w:rsidR="006815D5" w:rsidRPr="00471C90">
        <w:rPr>
          <w:rFonts w:cs="Times New Roman"/>
          <w:color w:val="000000" w:themeColor="text1"/>
          <w:szCs w:val="24"/>
          <w:lang w:val="sr-Cyrl-CS"/>
        </w:rPr>
        <w:t>),</w:t>
      </w:r>
      <w:r w:rsidRPr="00471C90">
        <w:rPr>
          <w:rFonts w:cs="Times New Roman"/>
          <w:color w:val="000000" w:themeColor="text1"/>
          <w:szCs w:val="24"/>
          <w:lang w:val="sr-Cyrl-CS"/>
        </w:rPr>
        <w:t xml:space="preserve"> </w:t>
      </w:r>
      <w:r w:rsidR="00107796" w:rsidRPr="00471C90">
        <w:rPr>
          <w:rFonts w:cs="Times New Roman"/>
          <w:color w:val="000000" w:themeColor="text1"/>
          <w:szCs w:val="24"/>
          <w:lang w:val="sr-Cyrl-CS"/>
        </w:rPr>
        <w:t>одређени проблеми</w:t>
      </w:r>
      <w:r w:rsidRPr="00471C90">
        <w:rPr>
          <w:rFonts w:cs="Times New Roman"/>
          <w:color w:val="000000" w:themeColor="text1"/>
          <w:szCs w:val="24"/>
          <w:lang w:val="sr-Cyrl-CS"/>
        </w:rPr>
        <w:t xml:space="preserve"> би </w:t>
      </w:r>
      <w:r w:rsidR="00107796" w:rsidRPr="00471C90">
        <w:rPr>
          <w:rFonts w:cs="Times New Roman"/>
          <w:color w:val="000000" w:themeColor="text1"/>
          <w:szCs w:val="24"/>
          <w:lang w:val="sr-Cyrl-CS"/>
        </w:rPr>
        <w:t xml:space="preserve">представљали </w:t>
      </w:r>
      <w:r w:rsidRPr="00471C90">
        <w:rPr>
          <w:rFonts w:cs="Times New Roman"/>
          <w:color w:val="000000" w:themeColor="text1"/>
          <w:szCs w:val="24"/>
          <w:lang w:val="sr-Cyrl-CS"/>
        </w:rPr>
        <w:t>терет у пословању и испуњавању његових циљева ако би се наставило са постојећим праксама</w:t>
      </w:r>
      <w:r w:rsidR="00107796" w:rsidRPr="00471C90">
        <w:rPr>
          <w:rFonts w:cs="Times New Roman"/>
          <w:color w:val="000000" w:themeColor="text1"/>
          <w:szCs w:val="24"/>
          <w:lang w:val="sr-Cyrl-CS"/>
        </w:rPr>
        <w:t>,</w:t>
      </w:r>
      <w:r w:rsidRPr="00471C90">
        <w:rPr>
          <w:rFonts w:cs="Times New Roman"/>
          <w:color w:val="000000" w:themeColor="text1"/>
          <w:szCs w:val="24"/>
          <w:lang w:val="sr-Cyrl-CS"/>
        </w:rPr>
        <w:t xml:space="preserve"> укључују</w:t>
      </w:r>
      <w:r w:rsidR="00107796" w:rsidRPr="00471C90">
        <w:rPr>
          <w:rFonts w:cs="Times New Roman"/>
          <w:color w:val="000000" w:themeColor="text1"/>
          <w:szCs w:val="24"/>
          <w:lang w:val="sr-Cyrl-CS"/>
        </w:rPr>
        <w:t>ћи</w:t>
      </w:r>
      <w:r w:rsidRPr="00471C90">
        <w:rPr>
          <w:rFonts w:cs="Times New Roman"/>
          <w:color w:val="000000" w:themeColor="text1"/>
          <w:szCs w:val="24"/>
          <w:lang w:val="sr-Cyrl-CS"/>
        </w:rPr>
        <w:t xml:space="preserve"> препреке које проистичу из </w:t>
      </w:r>
      <w:r w:rsidR="00107796" w:rsidRPr="00471C90">
        <w:rPr>
          <w:rFonts w:cs="Times New Roman"/>
          <w:color w:val="000000" w:themeColor="text1"/>
          <w:szCs w:val="24"/>
          <w:lang w:val="sr-Cyrl-CS"/>
        </w:rPr>
        <w:t>законодавног</w:t>
      </w:r>
      <w:r w:rsidRPr="00471C90">
        <w:rPr>
          <w:rFonts w:cs="Times New Roman"/>
          <w:color w:val="000000" w:themeColor="text1"/>
          <w:szCs w:val="24"/>
          <w:lang w:val="sr-Cyrl-CS"/>
        </w:rPr>
        <w:t xml:space="preserve"> оквира, ограничено спољно финансирање, недостатак интерних капацитета и недовољно структурирано управљање</w:t>
      </w:r>
      <w:r w:rsidR="00AE0CA2" w:rsidRPr="00471C90">
        <w:rPr>
          <w:rFonts w:cs="Times New Roman"/>
          <w:color w:val="000000" w:themeColor="text1"/>
          <w:szCs w:val="24"/>
          <w:lang w:val="sr-Cyrl-CS"/>
        </w:rPr>
        <w:t xml:space="preserve"> привредним субјектима</w:t>
      </w:r>
      <w:r w:rsidRPr="00471C90">
        <w:rPr>
          <w:rFonts w:cs="Times New Roman"/>
          <w:color w:val="000000" w:themeColor="text1"/>
          <w:szCs w:val="24"/>
          <w:lang w:val="sr-Cyrl-CS"/>
        </w:rPr>
        <w:t xml:space="preserve">. Ипак, решавање ових </w:t>
      </w:r>
      <w:r w:rsidR="00107796" w:rsidRPr="00471C90">
        <w:rPr>
          <w:rFonts w:cs="Times New Roman"/>
          <w:color w:val="000000" w:themeColor="text1"/>
          <w:szCs w:val="24"/>
          <w:lang w:val="sr-Cyrl-CS"/>
        </w:rPr>
        <w:t xml:space="preserve">проблема </w:t>
      </w:r>
      <w:r w:rsidRPr="00471C90">
        <w:rPr>
          <w:rFonts w:cs="Times New Roman"/>
          <w:color w:val="000000" w:themeColor="text1"/>
          <w:szCs w:val="24"/>
          <w:lang w:val="sr-Cyrl-CS"/>
        </w:rPr>
        <w:t>не захтева значајне напоре и прелазне трошкове</w:t>
      </w:r>
      <w:r w:rsidR="00107796" w:rsidRPr="00471C90">
        <w:rPr>
          <w:rFonts w:cs="Times New Roman"/>
          <w:color w:val="000000" w:themeColor="text1"/>
          <w:szCs w:val="24"/>
          <w:lang w:val="sr-Cyrl-CS"/>
        </w:rPr>
        <w:t>. Д</w:t>
      </w:r>
      <w:r w:rsidRPr="00471C90">
        <w:rPr>
          <w:rFonts w:cs="Times New Roman"/>
          <w:color w:val="000000" w:themeColor="text1"/>
          <w:szCs w:val="24"/>
          <w:lang w:val="sr-Cyrl-CS"/>
        </w:rPr>
        <w:t xml:space="preserve">остизање жељеног стања </w:t>
      </w:r>
      <w:r w:rsidR="00107796" w:rsidRPr="00471C90">
        <w:rPr>
          <w:rFonts w:cs="Times New Roman"/>
          <w:color w:val="000000" w:themeColor="text1"/>
          <w:szCs w:val="24"/>
          <w:lang w:val="sr-Cyrl-CS"/>
        </w:rPr>
        <w:t xml:space="preserve"> би се </w:t>
      </w:r>
      <w:r w:rsidRPr="00471C90">
        <w:rPr>
          <w:rFonts w:cs="Times New Roman"/>
          <w:color w:val="000000" w:themeColor="text1"/>
          <w:szCs w:val="24"/>
          <w:lang w:val="sr-Cyrl-CS"/>
        </w:rPr>
        <w:t xml:space="preserve">могло постићи реструктурирањем, односно трансформацијом </w:t>
      </w:r>
      <w:r w:rsidR="00C31D11" w:rsidRPr="00471C90">
        <w:rPr>
          <w:rFonts w:cs="Times New Roman"/>
          <w:color w:val="000000" w:themeColor="text1"/>
          <w:szCs w:val="24"/>
          <w:lang w:val="sr-Cyrl-CS"/>
        </w:rPr>
        <w:t>постојеће развојне финансијске институције</w:t>
      </w:r>
      <w:r w:rsidRPr="00471C90">
        <w:rPr>
          <w:rFonts w:cs="Times New Roman"/>
          <w:color w:val="000000" w:themeColor="text1"/>
          <w:szCs w:val="24"/>
          <w:lang w:val="sr-Cyrl-CS"/>
        </w:rPr>
        <w:t xml:space="preserve">. </w:t>
      </w:r>
      <w:r w:rsidR="0062604B" w:rsidRPr="00471C90">
        <w:rPr>
          <w:rFonts w:cs="Times New Roman"/>
          <w:color w:val="000000" w:themeColor="text1"/>
          <w:szCs w:val="24"/>
          <w:lang w:val="sr-Cyrl-CS"/>
        </w:rPr>
        <w:t>Разлог за одабир опције реструктурирања је</w:t>
      </w:r>
      <w:r w:rsidR="00581637" w:rsidRPr="00471C90">
        <w:rPr>
          <w:rFonts w:cs="Times New Roman"/>
          <w:color w:val="000000" w:themeColor="text1"/>
          <w:szCs w:val="24"/>
          <w:lang w:val="sr-Cyrl-CS"/>
        </w:rPr>
        <w:t>,</w:t>
      </w:r>
      <w:r w:rsidR="00F86D0F" w:rsidRPr="00471C90">
        <w:rPr>
          <w:rFonts w:cs="Times New Roman"/>
          <w:color w:val="000000" w:themeColor="text1"/>
          <w:szCs w:val="24"/>
          <w:lang w:val="sr-Cyrl-CS"/>
        </w:rPr>
        <w:t xml:space="preserve"> као и код Фонда за развој</w:t>
      </w:r>
      <w:r w:rsidR="00581637" w:rsidRPr="00471C90">
        <w:rPr>
          <w:rFonts w:cs="Times New Roman"/>
          <w:color w:val="000000" w:themeColor="text1"/>
          <w:szCs w:val="24"/>
          <w:lang w:val="sr-Cyrl-CS"/>
        </w:rPr>
        <w:t xml:space="preserve">, </w:t>
      </w:r>
      <w:r w:rsidR="009D01CE" w:rsidRPr="00471C90">
        <w:rPr>
          <w:rFonts w:cs="Times New Roman"/>
          <w:color w:val="000000" w:themeColor="text1"/>
          <w:szCs w:val="24"/>
          <w:lang w:val="sr-Cyrl-CS"/>
        </w:rPr>
        <w:t xml:space="preserve">сличност ефеката </w:t>
      </w:r>
      <w:r w:rsidR="00107796" w:rsidRPr="00471C90">
        <w:rPr>
          <w:rFonts w:cs="Times New Roman"/>
          <w:color w:val="000000" w:themeColor="text1"/>
          <w:szCs w:val="24"/>
          <w:lang w:val="sr-Cyrl-CS"/>
        </w:rPr>
        <w:t>у односу на опцију</w:t>
      </w:r>
      <w:r w:rsidR="009D01CE" w:rsidRPr="00471C90">
        <w:rPr>
          <w:rFonts w:cs="Times New Roman"/>
          <w:color w:val="000000" w:themeColor="text1"/>
          <w:szCs w:val="24"/>
          <w:lang w:val="sr-Cyrl-CS"/>
        </w:rPr>
        <w:t xml:space="preserve"> оснивања </w:t>
      </w:r>
      <w:r w:rsidR="00C31D11" w:rsidRPr="00471C90">
        <w:rPr>
          <w:rFonts w:cs="Times New Roman"/>
          <w:color w:val="000000" w:themeColor="text1"/>
          <w:szCs w:val="24"/>
          <w:lang w:val="sr-Cyrl-CS"/>
        </w:rPr>
        <w:t>нове развојне финансијске институције</w:t>
      </w:r>
      <w:r w:rsidR="009D01CE" w:rsidRPr="00471C90">
        <w:rPr>
          <w:rFonts w:cs="Times New Roman"/>
          <w:color w:val="000000" w:themeColor="text1"/>
          <w:szCs w:val="24"/>
          <w:lang w:val="sr-Cyrl-CS"/>
        </w:rPr>
        <w:t>, уз</w:t>
      </w:r>
      <w:r w:rsidR="004E2129" w:rsidRPr="00471C90">
        <w:rPr>
          <w:rFonts w:cs="Times New Roman"/>
          <w:color w:val="000000" w:themeColor="text1"/>
          <w:szCs w:val="24"/>
          <w:lang w:val="sr-Cyrl-CS"/>
        </w:rPr>
        <w:t xml:space="preserve"> потенцијално ниже трошкове и утрошке осталих ресурса, како временских, тако и кадровских</w:t>
      </w:r>
      <w:r w:rsidR="00F86D0F" w:rsidRPr="00471C90">
        <w:rPr>
          <w:rFonts w:cs="Times New Roman"/>
          <w:color w:val="000000" w:themeColor="text1"/>
          <w:szCs w:val="24"/>
          <w:lang w:val="sr-Cyrl-CS"/>
        </w:rPr>
        <w:t>.</w:t>
      </w:r>
    </w:p>
    <w:p w14:paraId="39A97AB3" w14:textId="33A21C3C" w:rsidR="00C31D11" w:rsidRPr="00471C90" w:rsidRDefault="00CF73E0" w:rsidP="00587627">
      <w:pPr>
        <w:ind w:firstLine="708"/>
        <w:jc w:val="both"/>
        <w:rPr>
          <w:rFonts w:cs="Times New Roman"/>
          <w:color w:val="000000" w:themeColor="text1"/>
          <w:szCs w:val="24"/>
          <w:lang w:val="sr-Cyrl-CS"/>
        </w:rPr>
      </w:pPr>
      <w:r w:rsidRPr="00471C90">
        <w:rPr>
          <w:rFonts w:cs="Times New Roman"/>
          <w:color w:val="000000" w:themeColor="text1"/>
          <w:szCs w:val="24"/>
          <w:lang w:val="sr-Cyrl-CS"/>
        </w:rPr>
        <w:t xml:space="preserve">Једна од значајнијих промена била би издвајање услуга осигурања из АОФИ у </w:t>
      </w:r>
      <w:r w:rsidR="0089120E" w:rsidRPr="00471C90">
        <w:rPr>
          <w:rFonts w:cs="Times New Roman"/>
          <w:color w:val="000000" w:themeColor="text1"/>
          <w:szCs w:val="24"/>
          <w:lang w:val="sr-Cyrl-CS"/>
        </w:rPr>
        <w:t>нову повезану развојну финансијску институцију</w:t>
      </w:r>
      <w:r w:rsidRPr="00471C90">
        <w:rPr>
          <w:rFonts w:cs="Times New Roman"/>
          <w:color w:val="000000" w:themeColor="text1"/>
          <w:szCs w:val="24"/>
          <w:lang w:val="sr-Cyrl-CS"/>
        </w:rPr>
        <w:t>, с обзиром да се природа делатности осигурања значајно разликује од активности финансирања као што су кредити, гаранције и факторинг</w:t>
      </w:r>
      <w:r w:rsidR="00850816" w:rsidRPr="00471C90">
        <w:rPr>
          <w:rFonts w:cs="Times New Roman"/>
          <w:color w:val="000000" w:themeColor="text1"/>
          <w:szCs w:val="24"/>
          <w:lang w:val="sr-Cyrl-CS"/>
        </w:rPr>
        <w:t>.</w:t>
      </w:r>
    </w:p>
    <w:p w14:paraId="60216CDA" w14:textId="0FF55707" w:rsidR="00CF73E0" w:rsidRPr="00471C90" w:rsidRDefault="0089120E" w:rsidP="00587627">
      <w:pPr>
        <w:pStyle w:val="Heading1"/>
        <w:numPr>
          <w:ilvl w:val="0"/>
          <w:numId w:val="0"/>
        </w:numPr>
        <w:ind w:left="142"/>
        <w:jc w:val="center"/>
        <w:rPr>
          <w:rFonts w:cs="Times New Roman"/>
          <w:b w:val="0"/>
          <w:color w:val="000000" w:themeColor="text1"/>
          <w:sz w:val="24"/>
          <w:szCs w:val="24"/>
          <w:lang w:val="sr-Cyrl-CS"/>
        </w:rPr>
      </w:pPr>
      <w:bookmarkStart w:id="7" w:name="_Toc86450217"/>
      <w:r w:rsidRPr="00471C90">
        <w:rPr>
          <w:rFonts w:cs="Times New Roman"/>
          <w:b w:val="0"/>
          <w:color w:val="000000" w:themeColor="text1"/>
          <w:sz w:val="24"/>
          <w:szCs w:val="24"/>
          <w:lang w:val="sr-Cyrl-CS"/>
        </w:rPr>
        <w:t>V</w:t>
      </w:r>
      <w:r w:rsidR="00453209" w:rsidRPr="00471C90">
        <w:rPr>
          <w:rFonts w:cs="Times New Roman"/>
          <w:b w:val="0"/>
          <w:color w:val="000000" w:themeColor="text1"/>
          <w:sz w:val="24"/>
          <w:szCs w:val="24"/>
          <w:lang w:val="sr-Cyrl-CS"/>
        </w:rPr>
        <w:t>I</w:t>
      </w:r>
      <w:r w:rsidRPr="00471C90">
        <w:rPr>
          <w:rFonts w:cs="Times New Roman"/>
          <w:b w:val="0"/>
          <w:color w:val="000000" w:themeColor="text1"/>
          <w:sz w:val="24"/>
          <w:szCs w:val="24"/>
          <w:lang w:val="sr-Cyrl-CS"/>
        </w:rPr>
        <w:t>.</w:t>
      </w:r>
      <w:r w:rsidR="007F0E5C" w:rsidRPr="00471C90">
        <w:rPr>
          <w:rFonts w:cs="Times New Roman"/>
          <w:b w:val="0"/>
          <w:color w:val="000000" w:themeColor="text1"/>
          <w:sz w:val="24"/>
          <w:szCs w:val="24"/>
          <w:lang w:val="sr-Cyrl-CS"/>
        </w:rPr>
        <w:t xml:space="preserve"> </w:t>
      </w:r>
      <w:bookmarkEnd w:id="7"/>
      <w:r w:rsidR="00C31D11" w:rsidRPr="00471C90">
        <w:rPr>
          <w:rFonts w:cs="Times New Roman"/>
          <w:b w:val="0"/>
          <w:color w:val="000000" w:themeColor="text1"/>
          <w:sz w:val="24"/>
          <w:szCs w:val="24"/>
          <w:lang w:val="sr-Cyrl-CS"/>
        </w:rPr>
        <w:t>СПРОВЕДЕНЕ КОНСУЛТАЦИЈЕ И ДОДАТНЕ АНАЛИЗЕ</w:t>
      </w:r>
    </w:p>
    <w:p w14:paraId="3D483160" w14:textId="1B0DEED3" w:rsidR="00B14123" w:rsidRPr="00471C90" w:rsidRDefault="007F0E5C" w:rsidP="00587627">
      <w:pPr>
        <w:jc w:val="both"/>
        <w:rPr>
          <w:rFonts w:cs="Times New Roman"/>
          <w:color w:val="000000" w:themeColor="text1"/>
          <w:szCs w:val="24"/>
          <w:lang w:val="sr-Cyrl-CS"/>
        </w:rPr>
      </w:pPr>
      <w:r w:rsidRPr="00471C90">
        <w:rPr>
          <w:rFonts w:eastAsiaTheme="majorEastAsia" w:cs="Times New Roman"/>
          <w:bCs/>
          <w:color w:val="000000" w:themeColor="text1"/>
          <w:szCs w:val="24"/>
          <w:lang w:val="sr-Cyrl-CS"/>
        </w:rPr>
        <w:tab/>
      </w:r>
      <w:r w:rsidRPr="00471C90">
        <w:rPr>
          <w:rFonts w:eastAsiaTheme="majorEastAsia" w:cs="Times New Roman"/>
          <w:bCs/>
          <w:color w:val="000000" w:themeColor="text1"/>
          <w:szCs w:val="24"/>
          <w:lang w:val="sr-Cyrl-CS"/>
        </w:rPr>
        <w:tab/>
      </w:r>
      <w:r w:rsidR="00CF73E0" w:rsidRPr="00471C90">
        <w:rPr>
          <w:rFonts w:eastAsiaTheme="majorEastAsia" w:cs="Times New Roman"/>
          <w:bCs/>
          <w:color w:val="000000" w:themeColor="text1"/>
          <w:szCs w:val="24"/>
          <w:lang w:val="sr-Cyrl-CS"/>
        </w:rPr>
        <w:t xml:space="preserve">Током израде </w:t>
      </w:r>
      <w:r w:rsidR="00F86437" w:rsidRPr="00471C90">
        <w:rPr>
          <w:rFonts w:eastAsiaTheme="majorEastAsia" w:cs="Times New Roman"/>
          <w:bCs/>
          <w:color w:val="000000" w:themeColor="text1"/>
          <w:szCs w:val="24"/>
          <w:lang w:val="sr-Cyrl-CS"/>
        </w:rPr>
        <w:t>Концепта</w:t>
      </w:r>
      <w:r w:rsidR="00CF73E0" w:rsidRPr="00471C90">
        <w:rPr>
          <w:rFonts w:eastAsiaTheme="majorEastAsia" w:cs="Times New Roman"/>
          <w:bCs/>
          <w:color w:val="000000" w:themeColor="text1"/>
          <w:szCs w:val="24"/>
          <w:lang w:val="sr-Cyrl-CS"/>
        </w:rPr>
        <w:t xml:space="preserve"> и </w:t>
      </w:r>
      <w:r w:rsidR="002E7E0A" w:rsidRPr="00471C90">
        <w:rPr>
          <w:rFonts w:eastAsiaTheme="majorEastAsia" w:cs="Times New Roman"/>
          <w:bCs/>
          <w:color w:val="000000" w:themeColor="text1"/>
          <w:szCs w:val="24"/>
          <w:lang w:val="sr-Cyrl-CS"/>
        </w:rPr>
        <w:t xml:space="preserve">студије </w:t>
      </w:r>
      <w:r w:rsidR="00CF73E0" w:rsidRPr="00471C90">
        <w:rPr>
          <w:rFonts w:eastAsiaTheme="majorEastAsia" w:cs="Times New Roman"/>
          <w:bCs/>
          <w:color w:val="000000" w:themeColor="text1"/>
          <w:szCs w:val="24"/>
          <w:lang w:val="sr-Cyrl-CS"/>
        </w:rPr>
        <w:t xml:space="preserve">која </w:t>
      </w:r>
      <w:r w:rsidR="002E7E0A" w:rsidRPr="00471C90">
        <w:rPr>
          <w:rFonts w:eastAsiaTheme="majorEastAsia" w:cs="Times New Roman"/>
          <w:bCs/>
          <w:color w:val="000000" w:themeColor="text1"/>
          <w:szCs w:val="24"/>
          <w:lang w:val="sr-Cyrl-CS"/>
        </w:rPr>
        <w:t>је сачињена пре Концепта</w:t>
      </w:r>
      <w:r w:rsidR="00CF73E0" w:rsidRPr="00471C90">
        <w:rPr>
          <w:rFonts w:eastAsiaTheme="majorEastAsia" w:cs="Times New Roman"/>
          <w:bCs/>
          <w:color w:val="000000" w:themeColor="text1"/>
          <w:szCs w:val="24"/>
          <w:lang w:val="sr-Cyrl-CS"/>
        </w:rPr>
        <w:t xml:space="preserve">, </w:t>
      </w:r>
      <w:r w:rsidR="002E7E0A" w:rsidRPr="00471C90">
        <w:rPr>
          <w:rFonts w:eastAsiaTheme="majorEastAsia" w:cs="Times New Roman"/>
          <w:bCs/>
          <w:color w:val="000000" w:themeColor="text1"/>
          <w:szCs w:val="24"/>
          <w:lang w:val="sr-Cyrl-CS"/>
        </w:rPr>
        <w:t xml:space="preserve">образована </w:t>
      </w:r>
      <w:r w:rsidR="00CF73E0" w:rsidRPr="00471C90">
        <w:rPr>
          <w:rFonts w:eastAsiaTheme="majorEastAsia" w:cs="Times New Roman"/>
          <w:bCs/>
          <w:color w:val="000000" w:themeColor="text1"/>
          <w:szCs w:val="24"/>
          <w:lang w:val="sr-Cyrl-CS"/>
        </w:rPr>
        <w:t>је Радна група</w:t>
      </w:r>
      <w:r w:rsidR="002E7E0A" w:rsidRPr="00471C90">
        <w:rPr>
          <w:rFonts w:eastAsiaTheme="majorEastAsia" w:cs="Times New Roman"/>
          <w:bCs/>
          <w:color w:val="000000" w:themeColor="text1"/>
          <w:szCs w:val="24"/>
          <w:lang w:val="sr-Cyrl-CS"/>
        </w:rPr>
        <w:t xml:space="preserve"> за</w:t>
      </w:r>
      <w:r w:rsidR="00C31D11" w:rsidRPr="00471C90">
        <w:rPr>
          <w:rFonts w:eastAsiaTheme="majorEastAsia" w:cs="Times New Roman"/>
          <w:bCs/>
          <w:color w:val="000000" w:themeColor="text1"/>
          <w:szCs w:val="24"/>
          <w:lang w:val="sr-Cyrl-CS"/>
        </w:rPr>
        <w:t xml:space="preserve"> развојно финансирање </w:t>
      </w:r>
      <w:r w:rsidR="00CF73E0" w:rsidRPr="00471C90">
        <w:rPr>
          <w:rFonts w:eastAsiaTheme="majorEastAsia" w:cs="Times New Roman"/>
          <w:bCs/>
          <w:color w:val="000000" w:themeColor="text1"/>
          <w:szCs w:val="24"/>
          <w:lang w:val="sr-Cyrl-CS"/>
        </w:rPr>
        <w:t>сачињена од представника релевантних институција. Чланови Радне групе</w:t>
      </w:r>
      <w:r w:rsidR="002E7E0A" w:rsidRPr="00471C90">
        <w:rPr>
          <w:rFonts w:eastAsiaTheme="majorEastAsia" w:cs="Times New Roman"/>
          <w:bCs/>
          <w:color w:val="000000" w:themeColor="text1"/>
          <w:szCs w:val="24"/>
          <w:lang w:val="sr-Cyrl-CS"/>
        </w:rPr>
        <w:t xml:space="preserve"> за</w:t>
      </w:r>
      <w:r w:rsidR="00C31D11" w:rsidRPr="00471C90">
        <w:rPr>
          <w:rFonts w:eastAsiaTheme="majorEastAsia" w:cs="Times New Roman"/>
          <w:bCs/>
          <w:color w:val="000000" w:themeColor="text1"/>
          <w:szCs w:val="24"/>
          <w:lang w:val="sr-Cyrl-CS"/>
        </w:rPr>
        <w:t xml:space="preserve"> развојно финансирање </w:t>
      </w:r>
      <w:r w:rsidR="00CF73E0" w:rsidRPr="00471C90">
        <w:rPr>
          <w:rFonts w:eastAsiaTheme="majorEastAsia" w:cs="Times New Roman"/>
          <w:bCs/>
          <w:color w:val="000000" w:themeColor="text1"/>
          <w:szCs w:val="24"/>
          <w:lang w:val="sr-Cyrl-CS"/>
        </w:rPr>
        <w:t>су непрекидно били укључени у процес консултација и усаглашавања ставова о даљем правцу унапређења институција за развојно финансирање.</w:t>
      </w:r>
      <w:r w:rsidR="00CF73E0" w:rsidRPr="00471C90">
        <w:rPr>
          <w:rFonts w:cs="Times New Roman"/>
          <w:color w:val="000000" w:themeColor="text1"/>
          <w:szCs w:val="24"/>
          <w:lang w:val="sr-Cyrl-CS"/>
        </w:rPr>
        <w:t xml:space="preserve"> </w:t>
      </w:r>
    </w:p>
    <w:p w14:paraId="78A6ED46" w14:textId="2AC17CC4" w:rsidR="00CF73E0" w:rsidRPr="00471C90" w:rsidRDefault="00482130" w:rsidP="00587627">
      <w:pPr>
        <w:ind w:firstLine="708"/>
        <w:jc w:val="both"/>
        <w:rPr>
          <w:rFonts w:cs="Times New Roman"/>
          <w:color w:val="000000" w:themeColor="text1"/>
          <w:szCs w:val="24"/>
          <w:lang w:val="sr-Cyrl-CS"/>
        </w:rPr>
      </w:pPr>
      <w:r w:rsidRPr="00471C90">
        <w:rPr>
          <w:rFonts w:cs="Times New Roman"/>
          <w:color w:val="000000" w:themeColor="text1"/>
          <w:szCs w:val="24"/>
          <w:lang w:val="sr-Cyrl-CS"/>
        </w:rPr>
        <w:t xml:space="preserve">Техничка подршка коју је пружио </w:t>
      </w:r>
      <w:r w:rsidR="00CF73E0" w:rsidRPr="00471C90">
        <w:rPr>
          <w:rFonts w:cs="Times New Roman"/>
          <w:color w:val="000000" w:themeColor="text1"/>
          <w:szCs w:val="24"/>
          <w:lang w:val="sr-Cyrl-CS"/>
        </w:rPr>
        <w:t xml:space="preserve">конзорцијум састављен од </w:t>
      </w:r>
      <w:r w:rsidR="001C65C4">
        <w:rPr>
          <w:rFonts w:cs="Times New Roman"/>
          <w:color w:val="000000" w:themeColor="text1"/>
          <w:szCs w:val="24"/>
          <w:lang w:val="sr-Cyrl-CS"/>
        </w:rPr>
        <w:t>ЕУ</w:t>
      </w:r>
      <w:r w:rsidR="006167FE" w:rsidRPr="00471C90">
        <w:rPr>
          <w:rFonts w:cs="Times New Roman"/>
          <w:color w:val="000000" w:themeColor="text1"/>
          <w:szCs w:val="24"/>
          <w:lang w:val="sr-Cyrl-CS"/>
        </w:rPr>
        <w:t>-а</w:t>
      </w:r>
      <w:r w:rsidR="00CF73E0" w:rsidRPr="00471C90">
        <w:rPr>
          <w:rFonts w:cs="Times New Roman"/>
          <w:color w:val="000000" w:themeColor="text1"/>
          <w:szCs w:val="24"/>
          <w:lang w:val="sr-Cyrl-CS"/>
        </w:rPr>
        <w:t xml:space="preserve"> и ФРЕН</w:t>
      </w:r>
      <w:r w:rsidR="0089120E" w:rsidRPr="00471C90">
        <w:rPr>
          <w:rFonts w:cs="Times New Roman"/>
          <w:color w:val="000000" w:themeColor="text1"/>
          <w:szCs w:val="24"/>
          <w:lang w:val="sr-Cyrl-CS"/>
        </w:rPr>
        <w:t>-a</w:t>
      </w:r>
      <w:r w:rsidR="00CF73E0" w:rsidRPr="00471C90">
        <w:rPr>
          <w:rFonts w:cs="Times New Roman"/>
          <w:color w:val="000000" w:themeColor="text1"/>
          <w:szCs w:val="24"/>
          <w:lang w:val="sr-Cyrl-CS"/>
        </w:rPr>
        <w:t>, довел</w:t>
      </w:r>
      <w:r w:rsidRPr="00471C90">
        <w:rPr>
          <w:rFonts w:cs="Times New Roman"/>
          <w:color w:val="000000" w:themeColor="text1"/>
          <w:szCs w:val="24"/>
          <w:lang w:val="sr-Cyrl-CS"/>
        </w:rPr>
        <w:t>а</w:t>
      </w:r>
      <w:r w:rsidR="00CF73E0" w:rsidRPr="00471C90">
        <w:rPr>
          <w:rFonts w:cs="Times New Roman"/>
          <w:color w:val="000000" w:themeColor="text1"/>
          <w:szCs w:val="24"/>
          <w:lang w:val="sr-Cyrl-CS"/>
        </w:rPr>
        <w:t xml:space="preserve"> је до размене искустава из раширене међународне мреже </w:t>
      </w:r>
      <w:r w:rsidR="001C65C4">
        <w:rPr>
          <w:rFonts w:cs="Times New Roman"/>
          <w:color w:val="000000" w:themeColor="text1"/>
          <w:szCs w:val="24"/>
          <w:lang w:val="sr-Cyrl-CS"/>
        </w:rPr>
        <w:t>ЕУ</w:t>
      </w:r>
      <w:r w:rsidR="00CF73E0" w:rsidRPr="00471C90">
        <w:rPr>
          <w:rFonts w:cs="Times New Roman"/>
          <w:color w:val="000000" w:themeColor="text1"/>
          <w:szCs w:val="24"/>
          <w:lang w:val="sr-Cyrl-CS"/>
        </w:rPr>
        <w:t xml:space="preserve">, укључујући и искуства тима који је учествовао у успостављању Развојне банке Малте, као и </w:t>
      </w:r>
      <w:r w:rsidR="006167FE" w:rsidRPr="00471C90">
        <w:rPr>
          <w:rFonts w:cs="Times New Roman"/>
          <w:color w:val="000000" w:themeColor="text1"/>
          <w:szCs w:val="24"/>
          <w:lang w:val="sr-Cyrl-CS"/>
        </w:rPr>
        <w:t xml:space="preserve">академску перспективу представника </w:t>
      </w:r>
      <w:r w:rsidR="00CF73E0" w:rsidRPr="00471C90">
        <w:rPr>
          <w:rFonts w:cs="Times New Roman"/>
          <w:color w:val="000000" w:themeColor="text1"/>
          <w:szCs w:val="24"/>
          <w:lang w:val="sr-Cyrl-CS"/>
        </w:rPr>
        <w:t>ФРЕН-а.</w:t>
      </w:r>
    </w:p>
    <w:p w14:paraId="163CB8B0" w14:textId="67623369" w:rsidR="007D3D6C" w:rsidRPr="00471C90" w:rsidRDefault="00CF73E0" w:rsidP="00587627">
      <w:pPr>
        <w:ind w:firstLine="708"/>
        <w:jc w:val="both"/>
        <w:rPr>
          <w:rFonts w:cs="Times New Roman"/>
          <w:color w:val="000000" w:themeColor="text1"/>
          <w:szCs w:val="24"/>
          <w:lang w:val="sr-Cyrl-CS"/>
        </w:rPr>
      </w:pPr>
      <w:r w:rsidRPr="00471C90">
        <w:rPr>
          <w:rFonts w:cs="Times New Roman"/>
          <w:color w:val="000000" w:themeColor="text1"/>
          <w:szCs w:val="24"/>
          <w:lang w:val="sr-Cyrl-CS"/>
        </w:rPr>
        <w:t xml:space="preserve">Укљученост широког спектра учесника обезбедила је </w:t>
      </w:r>
      <w:r w:rsidR="00587627" w:rsidRPr="00471C90">
        <w:rPr>
          <w:rFonts w:cs="Times New Roman"/>
          <w:color w:val="000000" w:themeColor="text1"/>
          <w:szCs w:val="24"/>
          <w:lang w:val="sr-Cyrl-CS"/>
        </w:rPr>
        <w:t xml:space="preserve">уравнотежено </w:t>
      </w:r>
      <w:r w:rsidR="006167FE" w:rsidRPr="00471C90">
        <w:rPr>
          <w:rFonts w:cs="Times New Roman"/>
          <w:color w:val="000000" w:themeColor="text1"/>
          <w:szCs w:val="24"/>
          <w:lang w:val="sr-Cyrl-CS"/>
        </w:rPr>
        <w:t>сагледавањ</w:t>
      </w:r>
      <w:r w:rsidR="0055381F" w:rsidRPr="00471C90">
        <w:rPr>
          <w:rFonts w:cs="Times New Roman"/>
          <w:color w:val="000000" w:themeColor="text1"/>
          <w:szCs w:val="24"/>
          <w:lang w:val="sr-Cyrl-CS"/>
        </w:rPr>
        <w:t>е</w:t>
      </w:r>
      <w:r w:rsidR="006167FE" w:rsidRPr="00471C90">
        <w:rPr>
          <w:rFonts w:cs="Times New Roman"/>
          <w:color w:val="000000" w:themeColor="text1"/>
          <w:szCs w:val="24"/>
          <w:lang w:val="sr-Cyrl-CS"/>
        </w:rPr>
        <w:t xml:space="preserve"> тренутног стања и опција</w:t>
      </w:r>
      <w:r w:rsidRPr="00471C90">
        <w:rPr>
          <w:rFonts w:cs="Times New Roman"/>
          <w:color w:val="000000" w:themeColor="text1"/>
          <w:szCs w:val="24"/>
          <w:lang w:val="sr-Cyrl-CS"/>
        </w:rPr>
        <w:t xml:space="preserve">, што је резултирало дефинисањем мера за које се очекује да допринесу остварењу циљева дефинисаних </w:t>
      </w:r>
      <w:r w:rsidR="00926922" w:rsidRPr="00471C90">
        <w:rPr>
          <w:rFonts w:cs="Times New Roman"/>
          <w:color w:val="000000" w:themeColor="text1"/>
          <w:szCs w:val="24"/>
          <w:lang w:val="sr-Cyrl-CS"/>
        </w:rPr>
        <w:t>Концептом</w:t>
      </w:r>
      <w:r w:rsidRPr="00471C90">
        <w:rPr>
          <w:rFonts w:cs="Times New Roman"/>
          <w:color w:val="000000" w:themeColor="text1"/>
          <w:szCs w:val="24"/>
          <w:lang w:val="sr-Cyrl-CS"/>
        </w:rPr>
        <w:t>.</w:t>
      </w:r>
    </w:p>
    <w:p w14:paraId="1E631770" w14:textId="1900EF39" w:rsidR="009C108A" w:rsidRPr="00471C90" w:rsidRDefault="0089120E" w:rsidP="00587627">
      <w:pPr>
        <w:pStyle w:val="Heading1"/>
        <w:numPr>
          <w:ilvl w:val="0"/>
          <w:numId w:val="0"/>
        </w:numPr>
        <w:ind w:left="426"/>
        <w:jc w:val="center"/>
        <w:rPr>
          <w:rFonts w:eastAsiaTheme="minorHAnsi" w:cs="Times New Roman"/>
          <w:b w:val="0"/>
          <w:sz w:val="24"/>
          <w:szCs w:val="24"/>
          <w:lang w:val="sr-Cyrl-CS"/>
        </w:rPr>
      </w:pPr>
      <w:bookmarkStart w:id="8" w:name="_Toc86450218"/>
      <w:r w:rsidRPr="00471C90">
        <w:rPr>
          <w:rFonts w:cs="Times New Roman"/>
          <w:b w:val="0"/>
          <w:sz w:val="24"/>
          <w:szCs w:val="24"/>
          <w:lang w:val="sr-Cyrl-CS"/>
        </w:rPr>
        <w:lastRenderedPageBreak/>
        <w:t>VI</w:t>
      </w:r>
      <w:r w:rsidR="00453209" w:rsidRPr="00471C90">
        <w:rPr>
          <w:rFonts w:cs="Times New Roman"/>
          <w:b w:val="0"/>
          <w:sz w:val="24"/>
          <w:szCs w:val="24"/>
          <w:lang w:val="sr-Cyrl-CS"/>
        </w:rPr>
        <w:t>I</w:t>
      </w:r>
      <w:r w:rsidRPr="00471C90">
        <w:rPr>
          <w:rFonts w:cs="Times New Roman"/>
          <w:b w:val="0"/>
          <w:sz w:val="24"/>
          <w:szCs w:val="24"/>
          <w:lang w:val="sr-Cyrl-CS"/>
        </w:rPr>
        <w:t>.</w:t>
      </w:r>
      <w:bookmarkEnd w:id="8"/>
      <w:r w:rsidR="00005D0F" w:rsidRPr="00471C90">
        <w:rPr>
          <w:rFonts w:cs="Times New Roman"/>
          <w:b w:val="0"/>
          <w:sz w:val="24"/>
          <w:szCs w:val="24"/>
          <w:lang w:val="sr-Cyrl-CS"/>
        </w:rPr>
        <w:t xml:space="preserve"> </w:t>
      </w:r>
      <w:r w:rsidR="00C31D11" w:rsidRPr="00471C90">
        <w:rPr>
          <w:rFonts w:cs="Times New Roman"/>
          <w:b w:val="0"/>
          <w:sz w:val="24"/>
          <w:szCs w:val="24"/>
          <w:lang w:val="sr-Cyrl-CS"/>
        </w:rPr>
        <w:t>МЕРЕ ЗА ОСТВАРИВАЊЕ ПОСЕБНИХ ЦИЉЕВА</w:t>
      </w:r>
    </w:p>
    <w:p w14:paraId="5B8D6E99" w14:textId="2DCBA26E" w:rsidR="009C108A" w:rsidRPr="00471C90" w:rsidRDefault="009C108A" w:rsidP="00AE0CA2">
      <w:pPr>
        <w:ind w:firstLine="576"/>
        <w:jc w:val="both"/>
        <w:rPr>
          <w:rFonts w:eastAsiaTheme="majorEastAsia" w:cs="Times New Roman"/>
          <w:szCs w:val="24"/>
          <w:lang w:val="sr-Cyrl-CS"/>
        </w:rPr>
      </w:pPr>
      <w:r w:rsidRPr="00471C90">
        <w:rPr>
          <w:rFonts w:eastAsiaTheme="majorEastAsia" w:cs="Times New Roman"/>
          <w:bCs/>
          <w:szCs w:val="24"/>
          <w:lang w:val="sr-Cyrl-CS"/>
        </w:rPr>
        <w:t>Свеобухватна анализа институција за развојно финансирање и њихови</w:t>
      </w:r>
      <w:r w:rsidR="00B14123" w:rsidRPr="00471C90">
        <w:rPr>
          <w:rFonts w:eastAsiaTheme="majorEastAsia" w:cs="Times New Roman"/>
          <w:bCs/>
          <w:szCs w:val="24"/>
          <w:lang w:val="sr-Cyrl-CS"/>
        </w:rPr>
        <w:t xml:space="preserve">х </w:t>
      </w:r>
      <w:r w:rsidRPr="00471C90">
        <w:rPr>
          <w:rFonts w:eastAsiaTheme="majorEastAsia" w:cs="Times New Roman"/>
          <w:bCs/>
          <w:szCs w:val="24"/>
          <w:lang w:val="sr-Cyrl-CS"/>
        </w:rPr>
        <w:t>пословни</w:t>
      </w:r>
      <w:r w:rsidR="00B14123" w:rsidRPr="00471C90">
        <w:rPr>
          <w:rFonts w:eastAsiaTheme="majorEastAsia" w:cs="Times New Roman"/>
          <w:bCs/>
          <w:szCs w:val="24"/>
          <w:lang w:val="sr-Cyrl-CS"/>
        </w:rPr>
        <w:t>х</w:t>
      </w:r>
      <w:r w:rsidR="00B82627" w:rsidRPr="00471C90">
        <w:rPr>
          <w:rFonts w:eastAsiaTheme="majorEastAsia" w:cs="Times New Roman"/>
          <w:bCs/>
          <w:szCs w:val="24"/>
          <w:lang w:val="sr-Cyrl-CS"/>
        </w:rPr>
        <w:t xml:space="preserve"> </w:t>
      </w:r>
      <w:r w:rsidRPr="00471C90">
        <w:rPr>
          <w:rFonts w:eastAsiaTheme="majorEastAsia" w:cs="Times New Roman"/>
          <w:bCs/>
          <w:szCs w:val="24"/>
          <w:lang w:val="sr-Cyrl-CS"/>
        </w:rPr>
        <w:t>модела у ширем региону, као и добре праксе у оквиру постојећег институционалног модела у</w:t>
      </w:r>
      <w:r w:rsidR="0089120E" w:rsidRPr="00471C90">
        <w:rPr>
          <w:rFonts w:eastAsiaTheme="majorEastAsia" w:cs="Times New Roman"/>
          <w:bCs/>
          <w:szCs w:val="24"/>
          <w:lang w:val="sr-Cyrl-CS"/>
        </w:rPr>
        <w:t xml:space="preserve"> Републици</w:t>
      </w:r>
      <w:r w:rsidRPr="00471C90">
        <w:rPr>
          <w:rFonts w:eastAsiaTheme="majorEastAsia" w:cs="Times New Roman"/>
          <w:bCs/>
          <w:szCs w:val="24"/>
          <w:lang w:val="sr-Cyrl-CS"/>
        </w:rPr>
        <w:t xml:space="preserve"> Србији, </w:t>
      </w:r>
      <w:r w:rsidR="00926922" w:rsidRPr="00471C90">
        <w:rPr>
          <w:rFonts w:eastAsiaTheme="majorEastAsia" w:cs="Times New Roman"/>
          <w:bCs/>
          <w:szCs w:val="24"/>
          <w:lang w:val="sr-Cyrl-CS"/>
        </w:rPr>
        <w:t>представља основу</w:t>
      </w:r>
      <w:r w:rsidRPr="00471C90">
        <w:rPr>
          <w:rFonts w:eastAsiaTheme="majorEastAsia" w:cs="Times New Roman"/>
          <w:bCs/>
          <w:szCs w:val="24"/>
          <w:lang w:val="sr-Cyrl-CS"/>
        </w:rPr>
        <w:t xml:space="preserve"> за </w:t>
      </w:r>
      <w:r w:rsidR="00111E2F" w:rsidRPr="00471C90">
        <w:rPr>
          <w:rFonts w:eastAsiaTheme="majorEastAsia" w:cs="Times New Roman"/>
          <w:bCs/>
          <w:szCs w:val="24"/>
          <w:lang w:val="sr-Cyrl-CS"/>
        </w:rPr>
        <w:t>дефинисање мера које ће допринети остваривању наведених посебних циљева</w:t>
      </w:r>
      <w:r w:rsidRPr="00471C90">
        <w:rPr>
          <w:rFonts w:eastAsiaTheme="majorEastAsia" w:cs="Times New Roman"/>
          <w:bCs/>
          <w:szCs w:val="24"/>
          <w:lang w:val="sr-Cyrl-CS"/>
        </w:rPr>
        <w:t>.</w:t>
      </w:r>
    </w:p>
    <w:p w14:paraId="6F4232EE" w14:textId="5BA9A73C" w:rsidR="009C108A" w:rsidRPr="00471C90" w:rsidRDefault="00453209" w:rsidP="00AE0CA2">
      <w:pPr>
        <w:pStyle w:val="Heading2"/>
        <w:numPr>
          <w:ilvl w:val="0"/>
          <w:numId w:val="0"/>
        </w:numPr>
        <w:ind w:left="284"/>
        <w:rPr>
          <w:rFonts w:cs="Times New Roman"/>
          <w:sz w:val="24"/>
          <w:szCs w:val="24"/>
          <w:lang w:val="sr-Cyrl-CS"/>
        </w:rPr>
      </w:pPr>
      <w:bookmarkStart w:id="9" w:name="_Toc86450219"/>
      <w:r w:rsidRPr="00471C90">
        <w:rPr>
          <w:rFonts w:cs="Times New Roman"/>
          <w:sz w:val="24"/>
          <w:szCs w:val="24"/>
          <w:lang w:val="sr-Cyrl-CS"/>
        </w:rPr>
        <w:t>7</w:t>
      </w:r>
      <w:r w:rsidR="0089120E" w:rsidRPr="00471C90">
        <w:rPr>
          <w:rFonts w:cs="Times New Roman"/>
          <w:sz w:val="24"/>
          <w:szCs w:val="24"/>
          <w:lang w:val="sr-Cyrl-CS"/>
        </w:rPr>
        <w:t xml:space="preserve">.1 </w:t>
      </w:r>
      <w:r w:rsidR="009C108A" w:rsidRPr="00471C90">
        <w:rPr>
          <w:rFonts w:cs="Times New Roman"/>
          <w:sz w:val="24"/>
          <w:szCs w:val="24"/>
          <w:lang w:val="sr-Cyrl-CS"/>
        </w:rPr>
        <w:t>Мере за први посебни циљ</w:t>
      </w:r>
      <w:bookmarkEnd w:id="9"/>
    </w:p>
    <w:tbl>
      <w:tblPr>
        <w:tblStyle w:val="TableGrid"/>
        <w:tblW w:w="0" w:type="auto"/>
        <w:tblLook w:val="04A0" w:firstRow="1" w:lastRow="0" w:firstColumn="1" w:lastColumn="0" w:noHBand="0" w:noVBand="1"/>
      </w:tblPr>
      <w:tblGrid>
        <w:gridCol w:w="9062"/>
      </w:tblGrid>
      <w:tr w:rsidR="00041C66" w:rsidRPr="00471C90" w14:paraId="7C53669C" w14:textId="77777777" w:rsidTr="001E7736">
        <w:tc>
          <w:tcPr>
            <w:tcW w:w="9298" w:type="dxa"/>
            <w:shd w:val="clear" w:color="auto" w:fill="FFE600"/>
            <w:vAlign w:val="center"/>
          </w:tcPr>
          <w:p w14:paraId="3265895C" w14:textId="564AEA57" w:rsidR="00041C66" w:rsidRPr="00471C90" w:rsidRDefault="009C108A" w:rsidP="001E7736">
            <w:pPr>
              <w:rPr>
                <w:rFonts w:cs="Times New Roman"/>
                <w:bCs/>
                <w:szCs w:val="24"/>
                <w:lang w:val="sr-Cyrl-CS"/>
              </w:rPr>
            </w:pPr>
            <w:r w:rsidRPr="00471C90">
              <w:rPr>
                <w:rFonts w:cs="Times New Roman"/>
                <w:bCs/>
                <w:szCs w:val="24"/>
                <w:lang w:val="sr-Cyrl-CS"/>
              </w:rPr>
              <w:t>Мера 1: Јачање функције подизања свести у развојним</w:t>
            </w:r>
            <w:r w:rsidR="00DA7257" w:rsidRPr="00471C90">
              <w:rPr>
                <w:rFonts w:cs="Times New Roman"/>
                <w:bCs/>
                <w:szCs w:val="24"/>
                <w:lang w:val="sr-Cyrl-CS"/>
              </w:rPr>
              <w:t xml:space="preserve"> финансијским</w:t>
            </w:r>
            <w:r w:rsidRPr="00471C90">
              <w:rPr>
                <w:rFonts w:cs="Times New Roman"/>
                <w:bCs/>
                <w:szCs w:val="24"/>
                <w:lang w:val="sr-Cyrl-CS"/>
              </w:rPr>
              <w:t xml:space="preserve"> институцијама</w:t>
            </w:r>
          </w:p>
        </w:tc>
      </w:tr>
      <w:tr w:rsidR="00041C66" w:rsidRPr="00471C90" w14:paraId="263AC6E3" w14:textId="77777777" w:rsidTr="001E7736">
        <w:trPr>
          <w:trHeight w:val="270"/>
        </w:trPr>
        <w:tc>
          <w:tcPr>
            <w:tcW w:w="9298" w:type="dxa"/>
            <w:shd w:val="clear" w:color="auto" w:fill="FFFBD5"/>
            <w:vAlign w:val="center"/>
          </w:tcPr>
          <w:p w14:paraId="269466DC" w14:textId="4AAD45C4" w:rsidR="00041C66" w:rsidRPr="00471C90" w:rsidRDefault="00B82627" w:rsidP="001E7736">
            <w:pPr>
              <w:rPr>
                <w:rFonts w:cs="Times New Roman"/>
                <w:bCs/>
                <w:i/>
                <w:iCs/>
                <w:szCs w:val="24"/>
                <w:lang w:val="sr-Cyrl-CS"/>
              </w:rPr>
            </w:pPr>
            <w:r w:rsidRPr="00471C90">
              <w:rPr>
                <w:rFonts w:cs="Times New Roman"/>
                <w:bCs/>
                <w:i/>
                <w:iCs/>
                <w:szCs w:val="24"/>
                <w:lang w:val="sr-Cyrl-CS"/>
              </w:rPr>
              <w:t>Врста мере:</w:t>
            </w:r>
          </w:p>
        </w:tc>
      </w:tr>
      <w:tr w:rsidR="00041C66" w:rsidRPr="00471C90" w14:paraId="0F6CE048" w14:textId="77777777" w:rsidTr="001E7736">
        <w:trPr>
          <w:trHeight w:val="270"/>
        </w:trPr>
        <w:tc>
          <w:tcPr>
            <w:tcW w:w="9298" w:type="dxa"/>
            <w:shd w:val="clear" w:color="auto" w:fill="auto"/>
            <w:vAlign w:val="center"/>
          </w:tcPr>
          <w:p w14:paraId="37ECB873" w14:textId="7C093683" w:rsidR="00041C66" w:rsidRPr="00471C90" w:rsidRDefault="009C108A" w:rsidP="001E7736">
            <w:pPr>
              <w:rPr>
                <w:rFonts w:cs="Times New Roman"/>
                <w:szCs w:val="24"/>
                <w:lang w:val="sr-Cyrl-CS"/>
              </w:rPr>
            </w:pPr>
            <w:r w:rsidRPr="00471C90">
              <w:rPr>
                <w:rFonts w:cs="Times New Roman"/>
                <w:szCs w:val="24"/>
                <w:lang w:val="sr-Cyrl-CS"/>
              </w:rPr>
              <w:t>Информативно едукативна</w:t>
            </w:r>
          </w:p>
        </w:tc>
      </w:tr>
      <w:tr w:rsidR="00041C66" w:rsidRPr="00471C90" w14:paraId="0FB52365" w14:textId="77777777" w:rsidTr="001E7736">
        <w:tc>
          <w:tcPr>
            <w:tcW w:w="9298" w:type="dxa"/>
            <w:shd w:val="clear" w:color="auto" w:fill="FFFBD5"/>
            <w:vAlign w:val="center"/>
          </w:tcPr>
          <w:p w14:paraId="5EE4EF17" w14:textId="16152212" w:rsidR="00041C66" w:rsidRPr="00471C90" w:rsidRDefault="009C108A" w:rsidP="001E7736">
            <w:pPr>
              <w:rPr>
                <w:rFonts w:cs="Times New Roman"/>
                <w:szCs w:val="24"/>
                <w:lang w:val="sr-Cyrl-CS"/>
              </w:rPr>
            </w:pPr>
            <w:r w:rsidRPr="00471C90">
              <w:rPr>
                <w:rFonts w:cs="Times New Roman"/>
                <w:bCs/>
                <w:i/>
                <w:iCs/>
                <w:szCs w:val="24"/>
                <w:lang w:val="sr-Cyrl-CS"/>
              </w:rPr>
              <w:t xml:space="preserve">Рок за примену </w:t>
            </w:r>
            <w:r w:rsidR="00612656" w:rsidRPr="00471C90">
              <w:rPr>
                <w:rFonts w:cs="Times New Roman"/>
                <w:bCs/>
                <w:i/>
                <w:iCs/>
                <w:szCs w:val="24"/>
                <w:lang w:val="sr-Cyrl-CS"/>
              </w:rPr>
              <w:t>:</w:t>
            </w:r>
          </w:p>
        </w:tc>
      </w:tr>
      <w:tr w:rsidR="00041C66" w:rsidRPr="00471C90" w14:paraId="42C71F02" w14:textId="77777777" w:rsidTr="001E7736">
        <w:tc>
          <w:tcPr>
            <w:tcW w:w="9298" w:type="dxa"/>
            <w:vAlign w:val="center"/>
          </w:tcPr>
          <w:p w14:paraId="331B8B98" w14:textId="641BFC2C" w:rsidR="00041C66" w:rsidRPr="00471C90" w:rsidRDefault="00453209" w:rsidP="00453209">
            <w:pPr>
              <w:rPr>
                <w:rFonts w:cs="Times New Roman"/>
                <w:szCs w:val="24"/>
                <w:lang w:val="sr-Cyrl-CS"/>
              </w:rPr>
            </w:pPr>
            <w:r w:rsidRPr="00471C90">
              <w:rPr>
                <w:rFonts w:cs="Times New Roman"/>
                <w:szCs w:val="24"/>
                <w:lang w:val="sr-Cyrl-CS"/>
              </w:rPr>
              <w:t>1</w:t>
            </w:r>
            <w:r w:rsidR="00AB1242" w:rsidRPr="00471C90">
              <w:rPr>
                <w:rFonts w:cs="Times New Roman"/>
                <w:szCs w:val="24"/>
                <w:lang w:val="sr-Cyrl-CS"/>
              </w:rPr>
              <w:t xml:space="preserve">. </w:t>
            </w:r>
            <w:r w:rsidR="009C108A" w:rsidRPr="00471C90">
              <w:rPr>
                <w:rFonts w:cs="Times New Roman"/>
                <w:szCs w:val="24"/>
                <w:lang w:val="sr-Cyrl-CS"/>
              </w:rPr>
              <w:t xml:space="preserve">квартал </w:t>
            </w:r>
            <w:r w:rsidRPr="00471C90">
              <w:rPr>
                <w:rFonts w:cs="Times New Roman"/>
                <w:szCs w:val="24"/>
                <w:lang w:val="sr-Cyrl-CS"/>
              </w:rPr>
              <w:t>2023</w:t>
            </w:r>
            <w:r w:rsidR="00AB1242" w:rsidRPr="00471C90">
              <w:rPr>
                <w:rFonts w:cs="Times New Roman"/>
                <w:szCs w:val="24"/>
                <w:lang w:val="sr-Cyrl-CS"/>
              </w:rPr>
              <w:t xml:space="preserve">. </w:t>
            </w:r>
          </w:p>
        </w:tc>
      </w:tr>
      <w:tr w:rsidR="00041C66" w:rsidRPr="00471C90" w14:paraId="752F012E" w14:textId="77777777" w:rsidTr="001E7736">
        <w:tc>
          <w:tcPr>
            <w:tcW w:w="9298" w:type="dxa"/>
            <w:shd w:val="clear" w:color="auto" w:fill="FFFBD5"/>
            <w:vAlign w:val="center"/>
          </w:tcPr>
          <w:p w14:paraId="6BFD72EE" w14:textId="44105A57" w:rsidR="00041C66" w:rsidRPr="00471C90" w:rsidRDefault="00C83B54" w:rsidP="001E7736">
            <w:pPr>
              <w:rPr>
                <w:rFonts w:cs="Times New Roman"/>
                <w:bCs/>
                <w:i/>
                <w:iCs/>
                <w:szCs w:val="24"/>
                <w:lang w:val="sr-Cyrl-CS"/>
              </w:rPr>
            </w:pPr>
            <w:r w:rsidRPr="00471C90">
              <w:rPr>
                <w:rFonts w:cs="Times New Roman"/>
                <w:bCs/>
                <w:i/>
                <w:iCs/>
                <w:szCs w:val="24"/>
                <w:lang w:val="sr-Cyrl-CS"/>
              </w:rPr>
              <w:t>Показатељи учинка:</w:t>
            </w:r>
          </w:p>
        </w:tc>
      </w:tr>
      <w:tr w:rsidR="00041C66" w:rsidRPr="00471C90" w14:paraId="57629CB9" w14:textId="77777777" w:rsidTr="00612656">
        <w:tc>
          <w:tcPr>
            <w:tcW w:w="9298" w:type="dxa"/>
            <w:vAlign w:val="center"/>
          </w:tcPr>
          <w:p w14:paraId="274D3122" w14:textId="2E55F248" w:rsidR="00041C66" w:rsidRPr="00471C90" w:rsidRDefault="00E22130">
            <w:pPr>
              <w:rPr>
                <w:rFonts w:cs="Times New Roman"/>
                <w:szCs w:val="24"/>
                <w:lang w:val="sr-Cyrl-CS"/>
              </w:rPr>
            </w:pPr>
            <w:r w:rsidRPr="00471C90">
              <w:rPr>
                <w:rFonts w:cs="Times New Roman"/>
                <w:szCs w:val="24"/>
                <w:lang w:val="sr-Cyrl-CS"/>
              </w:rPr>
              <w:t xml:space="preserve">1) </w:t>
            </w:r>
            <w:r w:rsidR="009C108A" w:rsidRPr="00471C90">
              <w:rPr>
                <w:rFonts w:cs="Times New Roman"/>
                <w:szCs w:val="24"/>
                <w:lang w:val="sr-Cyrl-CS"/>
              </w:rPr>
              <w:t xml:space="preserve">Успостављен </w:t>
            </w:r>
            <w:r w:rsidR="00FE4CE9" w:rsidRPr="00471C90">
              <w:rPr>
                <w:rFonts w:cs="Times New Roman"/>
                <w:szCs w:val="24"/>
                <w:lang w:val="sr-Cyrl-CS"/>
              </w:rPr>
              <w:t xml:space="preserve">концепт годишњег циклуса </w:t>
            </w:r>
            <w:r w:rsidR="009C108A" w:rsidRPr="00471C90">
              <w:rPr>
                <w:rFonts w:cs="Times New Roman"/>
                <w:szCs w:val="24"/>
                <w:lang w:val="sr-Cyrl-CS"/>
              </w:rPr>
              <w:t>информационих кампања за подизање свести о спољном финансирању код предузетника и МСП</w:t>
            </w:r>
          </w:p>
        </w:tc>
      </w:tr>
      <w:tr w:rsidR="00623E84" w:rsidRPr="00471C90" w14:paraId="57FE2F01" w14:textId="77777777" w:rsidTr="00623E84">
        <w:tc>
          <w:tcPr>
            <w:tcW w:w="9298" w:type="dxa"/>
            <w:shd w:val="clear" w:color="auto" w:fill="FFFBD5"/>
            <w:vAlign w:val="center"/>
          </w:tcPr>
          <w:p w14:paraId="5815D0F5" w14:textId="7D705A82" w:rsidR="00623E84" w:rsidRPr="00471C90" w:rsidRDefault="00103338" w:rsidP="001E7736">
            <w:pPr>
              <w:rPr>
                <w:rFonts w:cs="Times New Roman"/>
                <w:bCs/>
                <w:i/>
                <w:iCs/>
                <w:szCs w:val="24"/>
                <w:lang w:val="sr-Cyrl-CS"/>
              </w:rPr>
            </w:pPr>
            <w:r w:rsidRPr="00471C90">
              <w:rPr>
                <w:rFonts w:cs="Times New Roman"/>
                <w:bCs/>
                <w:i/>
                <w:iCs/>
                <w:szCs w:val="24"/>
                <w:lang w:val="sr-Cyrl-CS"/>
              </w:rPr>
              <w:t>Надлежна институција:</w:t>
            </w:r>
          </w:p>
        </w:tc>
      </w:tr>
      <w:tr w:rsidR="00623E84" w:rsidRPr="00471C90" w14:paraId="21411F6A" w14:textId="77777777" w:rsidTr="00612656">
        <w:tc>
          <w:tcPr>
            <w:tcW w:w="9298" w:type="dxa"/>
            <w:vAlign w:val="center"/>
          </w:tcPr>
          <w:p w14:paraId="2F77C804" w14:textId="73B24F78" w:rsidR="00623E84" w:rsidRPr="00471C90" w:rsidRDefault="009C108A" w:rsidP="001E7736">
            <w:pPr>
              <w:rPr>
                <w:rFonts w:cs="Times New Roman"/>
                <w:szCs w:val="24"/>
                <w:lang w:val="sr-Cyrl-CS"/>
              </w:rPr>
            </w:pPr>
            <w:r w:rsidRPr="00471C90">
              <w:rPr>
                <w:rFonts w:cs="Times New Roman"/>
                <w:szCs w:val="24"/>
                <w:lang w:val="sr-Cyrl-CS"/>
              </w:rPr>
              <w:t>Фонд за развој</w:t>
            </w:r>
            <w:r w:rsidR="00623E84" w:rsidRPr="00471C90">
              <w:rPr>
                <w:rFonts w:cs="Times New Roman"/>
                <w:szCs w:val="24"/>
                <w:lang w:val="sr-Cyrl-CS"/>
              </w:rPr>
              <w:t xml:space="preserve">; </w:t>
            </w:r>
            <w:r w:rsidR="00B82627" w:rsidRPr="00471C90">
              <w:rPr>
                <w:rFonts w:cs="Times New Roman"/>
                <w:szCs w:val="24"/>
                <w:lang w:val="sr-Cyrl-CS"/>
              </w:rPr>
              <w:t>АОФИ</w:t>
            </w:r>
          </w:p>
        </w:tc>
      </w:tr>
      <w:tr w:rsidR="00612656" w:rsidRPr="00471C90" w14:paraId="55CB079D" w14:textId="77777777" w:rsidTr="00612656">
        <w:tc>
          <w:tcPr>
            <w:tcW w:w="9298" w:type="dxa"/>
            <w:shd w:val="clear" w:color="auto" w:fill="FFFBD5"/>
            <w:vAlign w:val="center"/>
          </w:tcPr>
          <w:p w14:paraId="7C4DF55E" w14:textId="1FBDB0F3" w:rsidR="00612656" w:rsidRPr="00471C90" w:rsidRDefault="009C108A" w:rsidP="001E7736">
            <w:pPr>
              <w:rPr>
                <w:rFonts w:cs="Times New Roman"/>
                <w:bCs/>
                <w:i/>
                <w:iCs/>
                <w:szCs w:val="24"/>
                <w:lang w:val="sr-Cyrl-CS"/>
              </w:rPr>
            </w:pPr>
            <w:r w:rsidRPr="00471C90">
              <w:rPr>
                <w:rFonts w:cs="Times New Roman"/>
                <w:bCs/>
                <w:i/>
                <w:iCs/>
                <w:szCs w:val="24"/>
                <w:lang w:val="sr-Cyrl-CS"/>
              </w:rPr>
              <w:t>Опис</w:t>
            </w:r>
            <w:r w:rsidR="00612656" w:rsidRPr="00471C90">
              <w:rPr>
                <w:rFonts w:cs="Times New Roman"/>
                <w:bCs/>
                <w:i/>
                <w:iCs/>
                <w:szCs w:val="24"/>
                <w:lang w:val="sr-Cyrl-CS"/>
              </w:rPr>
              <w:t>:</w:t>
            </w:r>
          </w:p>
        </w:tc>
      </w:tr>
      <w:tr w:rsidR="00612656" w:rsidRPr="00471C90" w14:paraId="7267344A" w14:textId="77777777" w:rsidTr="001E7736">
        <w:tc>
          <w:tcPr>
            <w:tcW w:w="9298" w:type="dxa"/>
            <w:tcBorders>
              <w:bottom w:val="single" w:sz="4" w:space="0" w:color="auto"/>
            </w:tcBorders>
            <w:vAlign w:val="center"/>
          </w:tcPr>
          <w:p w14:paraId="2E4FA308" w14:textId="38CF76E1" w:rsidR="009C108A" w:rsidRPr="00471C90" w:rsidRDefault="009C108A" w:rsidP="009C108A">
            <w:pPr>
              <w:spacing w:after="120"/>
              <w:jc w:val="both"/>
              <w:rPr>
                <w:rFonts w:cs="Times New Roman"/>
                <w:szCs w:val="24"/>
                <w:lang w:val="sr-Cyrl-CS"/>
              </w:rPr>
            </w:pPr>
            <w:r w:rsidRPr="00471C90">
              <w:rPr>
                <w:rFonts w:cs="Times New Roman"/>
                <w:szCs w:val="24"/>
                <w:lang w:val="sr-Cyrl-CS"/>
              </w:rPr>
              <w:t xml:space="preserve">Повећање финансијске писмености међу предузетницима и </w:t>
            </w:r>
            <w:r w:rsidR="0089120E" w:rsidRPr="00471C90">
              <w:rPr>
                <w:rFonts w:cs="Times New Roman"/>
                <w:szCs w:val="24"/>
                <w:lang w:val="sr-Cyrl-CS"/>
              </w:rPr>
              <w:t>МСП</w:t>
            </w:r>
            <w:r w:rsidRPr="00471C90">
              <w:rPr>
                <w:rFonts w:cs="Times New Roman"/>
                <w:szCs w:val="24"/>
                <w:lang w:val="sr-Cyrl-CS"/>
              </w:rPr>
              <w:t xml:space="preserve"> требало би да буде један од главних приоритета свих развојно-финансијских институција. Потребна је већа свест и познавање могућности финансирања за даљи развој МСП у </w:t>
            </w:r>
            <w:r w:rsidR="00E05281" w:rsidRPr="00471C90">
              <w:rPr>
                <w:rFonts w:cs="Times New Roman"/>
                <w:szCs w:val="24"/>
                <w:lang w:val="sr-Cyrl-CS"/>
              </w:rPr>
              <w:t xml:space="preserve">Републици </w:t>
            </w:r>
            <w:r w:rsidRPr="00471C90">
              <w:rPr>
                <w:rFonts w:cs="Times New Roman"/>
                <w:szCs w:val="24"/>
                <w:lang w:val="sr-Cyrl-CS"/>
              </w:rPr>
              <w:t>Србији</w:t>
            </w:r>
            <w:r w:rsidR="00FE4CE9" w:rsidRPr="00471C90">
              <w:rPr>
                <w:rFonts w:cs="Times New Roman"/>
                <w:szCs w:val="24"/>
                <w:lang w:val="sr-Cyrl-CS"/>
              </w:rPr>
              <w:t xml:space="preserve"> и успоставити дијалог о приступу финансирању</w:t>
            </w:r>
            <w:r w:rsidRPr="00471C90">
              <w:rPr>
                <w:rFonts w:cs="Times New Roman"/>
                <w:szCs w:val="24"/>
                <w:lang w:val="sr-Cyrl-CS"/>
              </w:rPr>
              <w:t>.</w:t>
            </w:r>
          </w:p>
          <w:p w14:paraId="219CB887" w14:textId="36790264" w:rsidR="009C108A" w:rsidRPr="00471C90" w:rsidRDefault="00B0549A" w:rsidP="00587627">
            <w:pPr>
              <w:spacing w:after="120"/>
              <w:jc w:val="both"/>
              <w:rPr>
                <w:rFonts w:cs="Times New Roman"/>
                <w:szCs w:val="24"/>
                <w:lang w:val="sr-Cyrl-CS"/>
              </w:rPr>
            </w:pPr>
            <w:r w:rsidRPr="00471C90">
              <w:rPr>
                <w:rFonts w:cs="Times New Roman"/>
                <w:szCs w:val="24"/>
                <w:lang w:val="sr-Cyrl-CS"/>
              </w:rPr>
              <w:t>Мера се може</w:t>
            </w:r>
            <w:r w:rsidR="009C108A" w:rsidRPr="00471C90">
              <w:rPr>
                <w:rFonts w:cs="Times New Roman"/>
                <w:szCs w:val="24"/>
                <w:lang w:val="sr-Cyrl-CS"/>
              </w:rPr>
              <w:t xml:space="preserve"> постићи услугама као што су:</w:t>
            </w:r>
            <w:r w:rsidR="00587627" w:rsidRPr="00471C90">
              <w:rPr>
                <w:rFonts w:cs="Times New Roman"/>
                <w:szCs w:val="24"/>
                <w:lang w:val="sr-Cyrl-CS"/>
              </w:rPr>
              <w:t xml:space="preserve"> </w:t>
            </w:r>
            <w:r w:rsidR="009C108A" w:rsidRPr="00471C90">
              <w:rPr>
                <w:rFonts w:cs="Times New Roman"/>
                <w:szCs w:val="24"/>
                <w:lang w:val="sr-Cyrl-CS"/>
              </w:rPr>
              <w:t>образовн</w:t>
            </w:r>
            <w:r w:rsidR="00FE4CE9" w:rsidRPr="00471C90">
              <w:rPr>
                <w:rFonts w:cs="Times New Roman"/>
                <w:szCs w:val="24"/>
                <w:lang w:val="sr-Cyrl-CS"/>
              </w:rPr>
              <w:t>о информативне</w:t>
            </w:r>
            <w:r w:rsidR="009C108A" w:rsidRPr="00471C90">
              <w:rPr>
                <w:rFonts w:cs="Times New Roman"/>
                <w:szCs w:val="24"/>
                <w:lang w:val="sr-Cyrl-CS"/>
              </w:rPr>
              <w:t xml:space="preserve"> кампање - услуге усмерене на јачање пословне и финансијске писмености сектора МСП</w:t>
            </w:r>
            <w:r w:rsidR="00FE4CE9" w:rsidRPr="00471C90">
              <w:rPr>
                <w:rFonts w:cs="Times New Roman"/>
                <w:szCs w:val="24"/>
                <w:lang w:val="sr-Cyrl-CS"/>
              </w:rPr>
              <w:t xml:space="preserve"> и упознатости са расположивим видовима финансирања</w:t>
            </w:r>
            <w:r w:rsidR="009C108A" w:rsidRPr="00471C90">
              <w:rPr>
                <w:rFonts w:cs="Times New Roman"/>
                <w:szCs w:val="24"/>
                <w:lang w:val="sr-Cyrl-CS"/>
              </w:rPr>
              <w:t>;</w:t>
            </w:r>
            <w:r w:rsidR="00C31D11" w:rsidRPr="00471C90">
              <w:rPr>
                <w:rFonts w:cs="Times New Roman"/>
                <w:szCs w:val="24"/>
                <w:lang w:val="sr-Cyrl-CS"/>
              </w:rPr>
              <w:t xml:space="preserve"> </w:t>
            </w:r>
            <w:r w:rsidR="009C108A" w:rsidRPr="00471C90">
              <w:rPr>
                <w:rFonts w:cs="Times New Roman"/>
                <w:szCs w:val="24"/>
                <w:lang w:val="sr-Cyrl-CS"/>
              </w:rPr>
              <w:t xml:space="preserve">извозне консултантске услуге </w:t>
            </w:r>
            <w:r w:rsidR="00A220E2" w:rsidRPr="00471C90">
              <w:rPr>
                <w:rFonts w:cs="Times New Roman"/>
                <w:szCs w:val="24"/>
                <w:lang w:val="sr-Cyrl-CS"/>
              </w:rPr>
              <w:t>–</w:t>
            </w:r>
            <w:r w:rsidR="009C108A" w:rsidRPr="00471C90">
              <w:rPr>
                <w:rFonts w:cs="Times New Roman"/>
                <w:szCs w:val="24"/>
                <w:lang w:val="sr-Cyrl-CS"/>
              </w:rPr>
              <w:t xml:space="preserve"> </w:t>
            </w:r>
            <w:r w:rsidR="00A220E2" w:rsidRPr="00471C90">
              <w:rPr>
                <w:rFonts w:cs="Times New Roman"/>
                <w:szCs w:val="24"/>
                <w:lang w:val="sr-Cyrl-CS"/>
              </w:rPr>
              <w:t>њихова сврха је</w:t>
            </w:r>
            <w:r w:rsidR="009C108A" w:rsidRPr="00471C90">
              <w:rPr>
                <w:rFonts w:cs="Times New Roman"/>
                <w:szCs w:val="24"/>
                <w:lang w:val="sr-Cyrl-CS"/>
              </w:rPr>
              <w:t xml:space="preserve"> да омогуће клијентима да открију и користе могућности повезивања са постојећим и новим купцима, науче о могућностима финансирања извоза, повећају продају на међународним тржиштима и размене идеје;</w:t>
            </w:r>
            <w:r w:rsidR="00C31D11" w:rsidRPr="00471C90">
              <w:rPr>
                <w:rFonts w:cs="Times New Roman"/>
                <w:szCs w:val="24"/>
                <w:lang w:val="sr-Cyrl-CS"/>
              </w:rPr>
              <w:t xml:space="preserve"> </w:t>
            </w:r>
            <w:r w:rsidR="009C108A" w:rsidRPr="00471C90">
              <w:rPr>
                <w:rFonts w:cs="Times New Roman"/>
                <w:szCs w:val="24"/>
                <w:lang w:val="sr-Cyrl-CS"/>
              </w:rPr>
              <w:t xml:space="preserve">дијалог о </w:t>
            </w:r>
            <w:r w:rsidR="00B34747" w:rsidRPr="00471C90">
              <w:rPr>
                <w:rFonts w:cs="Times New Roman"/>
                <w:szCs w:val="24"/>
                <w:lang w:val="sr-Cyrl-CS"/>
              </w:rPr>
              <w:t>унапређењу приступа финансирању</w:t>
            </w:r>
            <w:r w:rsidR="009C108A" w:rsidRPr="00471C90">
              <w:rPr>
                <w:rFonts w:cs="Times New Roman"/>
                <w:szCs w:val="24"/>
                <w:lang w:val="sr-Cyrl-CS"/>
              </w:rPr>
              <w:t xml:space="preserve">- развојно-финансијске институције </w:t>
            </w:r>
            <w:r w:rsidR="007568AB" w:rsidRPr="00471C90">
              <w:rPr>
                <w:rFonts w:cs="Times New Roman"/>
                <w:szCs w:val="24"/>
                <w:lang w:val="sr-Cyrl-CS"/>
              </w:rPr>
              <w:t>успостављају</w:t>
            </w:r>
            <w:r w:rsidR="009C108A" w:rsidRPr="00471C90">
              <w:rPr>
                <w:rFonts w:cs="Times New Roman"/>
                <w:szCs w:val="24"/>
                <w:lang w:val="sr-Cyrl-CS"/>
              </w:rPr>
              <w:t xml:space="preserve"> вез</w:t>
            </w:r>
            <w:r w:rsidR="007568AB" w:rsidRPr="00471C90">
              <w:rPr>
                <w:rFonts w:cs="Times New Roman"/>
                <w:szCs w:val="24"/>
                <w:lang w:val="sr-Cyrl-CS"/>
              </w:rPr>
              <w:t>у</w:t>
            </w:r>
            <w:r w:rsidR="009C108A" w:rsidRPr="00471C90">
              <w:rPr>
                <w:rFonts w:cs="Times New Roman"/>
                <w:szCs w:val="24"/>
                <w:lang w:val="sr-Cyrl-CS"/>
              </w:rPr>
              <w:t xml:space="preserve"> између МСП и финансијских институција на једној страни и креатора </w:t>
            </w:r>
            <w:r w:rsidR="00B34747" w:rsidRPr="00471C90">
              <w:rPr>
                <w:rFonts w:cs="Times New Roman"/>
                <w:szCs w:val="24"/>
                <w:lang w:val="sr-Cyrl-CS"/>
              </w:rPr>
              <w:t xml:space="preserve">развојних политика </w:t>
            </w:r>
            <w:r w:rsidR="009C108A" w:rsidRPr="00471C90">
              <w:rPr>
                <w:rFonts w:cs="Times New Roman"/>
                <w:szCs w:val="24"/>
                <w:lang w:val="sr-Cyrl-CS"/>
              </w:rPr>
              <w:t xml:space="preserve">на другој страни, делећи своју правну и економску стручност и свест о постојећим препрекама, кроз дијалог о </w:t>
            </w:r>
            <w:r w:rsidR="00926922" w:rsidRPr="00471C90">
              <w:rPr>
                <w:rFonts w:cs="Times New Roman"/>
                <w:szCs w:val="24"/>
                <w:lang w:val="sr-Cyrl-CS"/>
              </w:rPr>
              <w:t xml:space="preserve">прописима </w:t>
            </w:r>
            <w:r w:rsidR="009C108A" w:rsidRPr="00471C90">
              <w:rPr>
                <w:rFonts w:cs="Times New Roman"/>
                <w:szCs w:val="24"/>
                <w:lang w:val="sr-Cyrl-CS"/>
              </w:rPr>
              <w:t xml:space="preserve">који ће помоћи у побољшању </w:t>
            </w:r>
            <w:r w:rsidR="003413B4" w:rsidRPr="00471C90">
              <w:rPr>
                <w:rFonts w:cs="Times New Roman"/>
                <w:szCs w:val="24"/>
                <w:lang w:val="sr-Cyrl-CS"/>
              </w:rPr>
              <w:t>приступа спољном финансирању</w:t>
            </w:r>
            <w:r w:rsidR="009C108A" w:rsidRPr="00471C90">
              <w:rPr>
                <w:rFonts w:cs="Times New Roman"/>
                <w:szCs w:val="24"/>
                <w:lang w:val="sr-Cyrl-CS"/>
              </w:rPr>
              <w:t>.</w:t>
            </w:r>
          </w:p>
          <w:p w14:paraId="02EDA889" w14:textId="5AE41813" w:rsidR="00612656" w:rsidRPr="00471C90" w:rsidRDefault="009C108A" w:rsidP="00926922">
            <w:pPr>
              <w:spacing w:after="120"/>
              <w:jc w:val="both"/>
              <w:rPr>
                <w:rFonts w:cs="Times New Roman"/>
                <w:szCs w:val="24"/>
                <w:lang w:val="sr-Cyrl-CS"/>
              </w:rPr>
            </w:pPr>
            <w:r w:rsidRPr="00471C90">
              <w:rPr>
                <w:rFonts w:cs="Times New Roman"/>
                <w:szCs w:val="24"/>
                <w:lang w:val="sr-Cyrl-CS"/>
              </w:rPr>
              <w:t>Развојн</w:t>
            </w:r>
            <w:r w:rsidR="00DA7257" w:rsidRPr="00471C90">
              <w:rPr>
                <w:rFonts w:cs="Times New Roman"/>
                <w:szCs w:val="24"/>
                <w:lang w:val="sr-Cyrl-CS"/>
              </w:rPr>
              <w:t>е</w:t>
            </w:r>
            <w:r w:rsidR="00C31D11" w:rsidRPr="00471C90">
              <w:rPr>
                <w:rFonts w:cs="Times New Roman"/>
                <w:szCs w:val="24"/>
                <w:lang w:val="sr-Cyrl-CS"/>
              </w:rPr>
              <w:t xml:space="preserve"> </w:t>
            </w:r>
            <w:r w:rsidRPr="00471C90">
              <w:rPr>
                <w:rFonts w:cs="Times New Roman"/>
                <w:szCs w:val="24"/>
                <w:lang w:val="sr-Cyrl-CS"/>
              </w:rPr>
              <w:t xml:space="preserve">финансијске институције ове услуге могу нудити и у сарадњи са осталим институцијама које нуде или би нудиле ове услуге, како би се олакшао приступ </w:t>
            </w:r>
            <w:r w:rsidR="00926922" w:rsidRPr="00471C90">
              <w:rPr>
                <w:rFonts w:cs="Times New Roman"/>
                <w:szCs w:val="24"/>
                <w:lang w:val="sr-Cyrl-CS"/>
              </w:rPr>
              <w:t>тим услугама</w:t>
            </w:r>
            <w:r w:rsidRPr="00471C90">
              <w:rPr>
                <w:rFonts w:cs="Times New Roman"/>
                <w:szCs w:val="24"/>
                <w:lang w:val="sr-Cyrl-CS"/>
              </w:rPr>
              <w:t>.</w:t>
            </w:r>
          </w:p>
        </w:tc>
      </w:tr>
    </w:tbl>
    <w:p w14:paraId="2CA604C6" w14:textId="7811E622" w:rsidR="009878BE" w:rsidRPr="00471C90" w:rsidRDefault="009878BE" w:rsidP="001D6DCE">
      <w:pPr>
        <w:rPr>
          <w:rFonts w:cs="Times New Roman"/>
          <w:szCs w:val="24"/>
          <w:lang w:val="sr-Cyrl-CS"/>
        </w:rPr>
      </w:pPr>
    </w:p>
    <w:p w14:paraId="464319DF" w14:textId="77777777" w:rsidR="00690967" w:rsidRPr="00471C90" w:rsidRDefault="00690967" w:rsidP="00E00ADF">
      <w:pPr>
        <w:spacing w:after="0"/>
        <w:rPr>
          <w:rFonts w:cs="Times New Roman"/>
          <w:szCs w:val="24"/>
          <w:lang w:val="sr-Cyrl-CS"/>
        </w:rPr>
      </w:pPr>
    </w:p>
    <w:tbl>
      <w:tblPr>
        <w:tblStyle w:val="TableGrid"/>
        <w:tblW w:w="0" w:type="auto"/>
        <w:tblLook w:val="04A0" w:firstRow="1" w:lastRow="0" w:firstColumn="1" w:lastColumn="0" w:noHBand="0" w:noVBand="1"/>
      </w:tblPr>
      <w:tblGrid>
        <w:gridCol w:w="9062"/>
      </w:tblGrid>
      <w:tr w:rsidR="00451BEB" w:rsidRPr="00471C90" w14:paraId="4C32EB24" w14:textId="77777777" w:rsidTr="00A0277A">
        <w:tc>
          <w:tcPr>
            <w:tcW w:w="9062" w:type="dxa"/>
            <w:shd w:val="clear" w:color="auto" w:fill="FFE600"/>
            <w:vAlign w:val="center"/>
          </w:tcPr>
          <w:p w14:paraId="1A5BBB73" w14:textId="64C0FB29" w:rsidR="00451BEB" w:rsidRPr="00471C90" w:rsidRDefault="009C108A" w:rsidP="001E7736">
            <w:pPr>
              <w:rPr>
                <w:rFonts w:cs="Times New Roman"/>
                <w:bCs/>
                <w:szCs w:val="24"/>
                <w:lang w:val="sr-Cyrl-CS"/>
              </w:rPr>
            </w:pPr>
            <w:r w:rsidRPr="00471C90">
              <w:rPr>
                <w:rFonts w:cs="Times New Roman"/>
                <w:bCs/>
                <w:szCs w:val="24"/>
                <w:lang w:val="sr-Cyrl-CS"/>
              </w:rPr>
              <w:t>Мера 2: Побољшање постојећих типова зајмова и гаранција</w:t>
            </w:r>
          </w:p>
        </w:tc>
      </w:tr>
      <w:tr w:rsidR="00451BEB" w:rsidRPr="00471C90" w14:paraId="66A9301A" w14:textId="77777777" w:rsidTr="00A0277A">
        <w:trPr>
          <w:trHeight w:val="270"/>
        </w:trPr>
        <w:tc>
          <w:tcPr>
            <w:tcW w:w="9062" w:type="dxa"/>
            <w:shd w:val="clear" w:color="auto" w:fill="FFFBD5"/>
            <w:vAlign w:val="center"/>
          </w:tcPr>
          <w:p w14:paraId="58739F0A" w14:textId="494FBD37" w:rsidR="00451BEB" w:rsidRPr="00471C90" w:rsidRDefault="00B82627" w:rsidP="001E7736">
            <w:pPr>
              <w:rPr>
                <w:rFonts w:cs="Times New Roman"/>
                <w:szCs w:val="24"/>
                <w:lang w:val="sr-Cyrl-CS"/>
              </w:rPr>
            </w:pPr>
            <w:r w:rsidRPr="00471C90">
              <w:rPr>
                <w:rFonts w:cs="Times New Roman"/>
                <w:bCs/>
                <w:i/>
                <w:iCs/>
                <w:szCs w:val="24"/>
                <w:lang w:val="sr-Cyrl-CS"/>
              </w:rPr>
              <w:t>В</w:t>
            </w:r>
            <w:r w:rsidR="009C108A" w:rsidRPr="00471C90">
              <w:rPr>
                <w:rFonts w:cs="Times New Roman"/>
                <w:bCs/>
                <w:i/>
                <w:iCs/>
                <w:szCs w:val="24"/>
                <w:lang w:val="sr-Cyrl-CS"/>
              </w:rPr>
              <w:t>рста мере</w:t>
            </w:r>
            <w:r w:rsidR="00451BEB" w:rsidRPr="00471C90">
              <w:rPr>
                <w:rFonts w:cs="Times New Roman"/>
                <w:bCs/>
                <w:i/>
                <w:iCs/>
                <w:szCs w:val="24"/>
                <w:lang w:val="sr-Cyrl-CS"/>
              </w:rPr>
              <w:t>:</w:t>
            </w:r>
          </w:p>
        </w:tc>
      </w:tr>
      <w:tr w:rsidR="00451BEB" w:rsidRPr="00471C90" w14:paraId="41F89C3B" w14:textId="77777777" w:rsidTr="00A0277A">
        <w:trPr>
          <w:trHeight w:val="270"/>
        </w:trPr>
        <w:tc>
          <w:tcPr>
            <w:tcW w:w="9062" w:type="dxa"/>
            <w:shd w:val="clear" w:color="auto" w:fill="auto"/>
            <w:vAlign w:val="center"/>
          </w:tcPr>
          <w:p w14:paraId="03A73DC0" w14:textId="6A20D20A" w:rsidR="00451BEB" w:rsidRPr="00471C90" w:rsidRDefault="008D73ED" w:rsidP="001E7736">
            <w:pPr>
              <w:rPr>
                <w:rFonts w:cs="Times New Roman"/>
                <w:szCs w:val="24"/>
                <w:lang w:val="sr-Cyrl-CS"/>
              </w:rPr>
            </w:pPr>
            <w:r w:rsidRPr="00471C90">
              <w:rPr>
                <w:rFonts w:cs="Times New Roman"/>
                <w:szCs w:val="24"/>
                <w:lang w:val="sr-Cyrl-CS"/>
              </w:rPr>
              <w:t>институционално управљачко организациона</w:t>
            </w:r>
          </w:p>
        </w:tc>
      </w:tr>
      <w:tr w:rsidR="00451BEB" w:rsidRPr="00471C90" w14:paraId="6715A728" w14:textId="77777777" w:rsidTr="00A0277A">
        <w:tc>
          <w:tcPr>
            <w:tcW w:w="9062" w:type="dxa"/>
            <w:shd w:val="clear" w:color="auto" w:fill="FFFBD5"/>
            <w:vAlign w:val="center"/>
          </w:tcPr>
          <w:p w14:paraId="798E6716" w14:textId="09285628" w:rsidR="00451BEB" w:rsidRPr="00471C90" w:rsidRDefault="009C108A" w:rsidP="001E7736">
            <w:pPr>
              <w:rPr>
                <w:rFonts w:cs="Times New Roman"/>
                <w:szCs w:val="24"/>
                <w:lang w:val="sr-Cyrl-CS"/>
              </w:rPr>
            </w:pPr>
            <w:r w:rsidRPr="00471C90">
              <w:rPr>
                <w:rFonts w:cs="Times New Roman"/>
                <w:bCs/>
                <w:i/>
                <w:iCs/>
                <w:szCs w:val="24"/>
                <w:lang w:val="sr-Cyrl-CS"/>
              </w:rPr>
              <w:t>Рок за примену</w:t>
            </w:r>
            <w:r w:rsidR="00451BEB" w:rsidRPr="00471C90">
              <w:rPr>
                <w:rFonts w:cs="Times New Roman"/>
                <w:bCs/>
                <w:i/>
                <w:iCs/>
                <w:szCs w:val="24"/>
                <w:lang w:val="sr-Cyrl-CS"/>
              </w:rPr>
              <w:t>:</w:t>
            </w:r>
          </w:p>
        </w:tc>
      </w:tr>
      <w:tr w:rsidR="00451BEB" w:rsidRPr="00471C90" w14:paraId="4795A866" w14:textId="77777777" w:rsidTr="00A0277A">
        <w:tc>
          <w:tcPr>
            <w:tcW w:w="9062" w:type="dxa"/>
            <w:vAlign w:val="center"/>
          </w:tcPr>
          <w:p w14:paraId="44BAA696" w14:textId="5B5D80A8" w:rsidR="00451BEB" w:rsidRPr="00471C90" w:rsidRDefault="00453209" w:rsidP="00C31D11">
            <w:pPr>
              <w:rPr>
                <w:rFonts w:cs="Times New Roman"/>
                <w:szCs w:val="24"/>
                <w:lang w:val="sr-Cyrl-CS"/>
              </w:rPr>
            </w:pPr>
            <w:r w:rsidRPr="00471C90">
              <w:rPr>
                <w:rFonts w:cs="Times New Roman"/>
                <w:szCs w:val="24"/>
                <w:lang w:val="sr-Cyrl-CS"/>
              </w:rPr>
              <w:t>1</w:t>
            </w:r>
            <w:r w:rsidR="00451BEB" w:rsidRPr="00471C90">
              <w:rPr>
                <w:rFonts w:cs="Times New Roman"/>
                <w:szCs w:val="24"/>
                <w:lang w:val="sr-Cyrl-CS"/>
              </w:rPr>
              <w:t xml:space="preserve">. </w:t>
            </w:r>
            <w:r w:rsidR="009C108A" w:rsidRPr="00471C90">
              <w:rPr>
                <w:rFonts w:cs="Times New Roman"/>
                <w:szCs w:val="24"/>
                <w:lang w:val="sr-Cyrl-CS"/>
              </w:rPr>
              <w:t>квартал</w:t>
            </w:r>
            <w:r w:rsidR="00451BEB" w:rsidRPr="00471C90">
              <w:rPr>
                <w:rFonts w:cs="Times New Roman"/>
                <w:szCs w:val="24"/>
                <w:lang w:val="sr-Cyrl-CS"/>
              </w:rPr>
              <w:t xml:space="preserve"> </w:t>
            </w:r>
            <w:r w:rsidR="00331FFE" w:rsidRPr="00471C90">
              <w:rPr>
                <w:rFonts w:cs="Times New Roman"/>
                <w:szCs w:val="24"/>
                <w:lang w:val="sr-Cyrl-CS"/>
              </w:rPr>
              <w:t>202</w:t>
            </w:r>
            <w:r w:rsidRPr="00471C90">
              <w:rPr>
                <w:rFonts w:cs="Times New Roman"/>
                <w:szCs w:val="24"/>
                <w:lang w:val="sr-Cyrl-CS"/>
              </w:rPr>
              <w:t>3</w:t>
            </w:r>
            <w:r w:rsidR="00451BEB" w:rsidRPr="00471C90">
              <w:rPr>
                <w:rFonts w:cs="Times New Roman"/>
                <w:szCs w:val="24"/>
                <w:lang w:val="sr-Cyrl-CS"/>
              </w:rPr>
              <w:t xml:space="preserve">. </w:t>
            </w:r>
            <w:r w:rsidR="009C108A" w:rsidRPr="00471C90">
              <w:rPr>
                <w:rFonts w:cs="Times New Roman"/>
                <w:szCs w:val="24"/>
                <w:lang w:val="sr-Cyrl-CS"/>
              </w:rPr>
              <w:t>године</w:t>
            </w:r>
          </w:p>
        </w:tc>
      </w:tr>
      <w:tr w:rsidR="00C83B54" w:rsidRPr="00471C90" w14:paraId="2DDC43C2" w14:textId="77777777" w:rsidTr="00A0277A">
        <w:tc>
          <w:tcPr>
            <w:tcW w:w="9062" w:type="dxa"/>
            <w:shd w:val="clear" w:color="auto" w:fill="FFFBD5"/>
            <w:vAlign w:val="center"/>
          </w:tcPr>
          <w:p w14:paraId="536A3E13" w14:textId="14D02E33" w:rsidR="00C83B54" w:rsidRPr="00471C90" w:rsidRDefault="00C83B54" w:rsidP="00C83B54">
            <w:pPr>
              <w:rPr>
                <w:rFonts w:cs="Times New Roman"/>
                <w:bCs/>
                <w:i/>
                <w:iCs/>
                <w:szCs w:val="24"/>
                <w:lang w:val="sr-Cyrl-CS"/>
              </w:rPr>
            </w:pPr>
            <w:r w:rsidRPr="00471C90">
              <w:rPr>
                <w:rFonts w:cs="Times New Roman"/>
                <w:bCs/>
                <w:i/>
                <w:iCs/>
                <w:szCs w:val="24"/>
                <w:lang w:val="sr-Cyrl-CS"/>
              </w:rPr>
              <w:t>Показатељи учинка:</w:t>
            </w:r>
          </w:p>
        </w:tc>
      </w:tr>
      <w:tr w:rsidR="00451BEB" w:rsidRPr="00471C90" w14:paraId="4BD22DFB" w14:textId="77777777" w:rsidTr="00A0277A">
        <w:tc>
          <w:tcPr>
            <w:tcW w:w="9062" w:type="dxa"/>
            <w:vAlign w:val="center"/>
          </w:tcPr>
          <w:p w14:paraId="76202FAE" w14:textId="4FE978F0" w:rsidR="00143929" w:rsidRPr="00471C90" w:rsidRDefault="009C108A" w:rsidP="008D73ED">
            <w:pPr>
              <w:rPr>
                <w:rFonts w:cs="Times New Roman"/>
                <w:szCs w:val="24"/>
                <w:lang w:val="sr-Cyrl-CS"/>
              </w:rPr>
            </w:pPr>
            <w:r w:rsidRPr="00471C90">
              <w:rPr>
                <w:rFonts w:cs="Times New Roman"/>
                <w:szCs w:val="24"/>
                <w:lang w:val="sr-Cyrl-CS"/>
              </w:rPr>
              <w:t xml:space="preserve">1) Дефинисан план за </w:t>
            </w:r>
            <w:r w:rsidR="006C265E" w:rsidRPr="00471C90">
              <w:rPr>
                <w:rFonts w:cs="Times New Roman"/>
                <w:szCs w:val="24"/>
                <w:lang w:val="sr-Cyrl-CS"/>
              </w:rPr>
              <w:t xml:space="preserve">унапређење постојећих производа и </w:t>
            </w:r>
            <w:r w:rsidRPr="00471C90">
              <w:rPr>
                <w:rFonts w:cs="Times New Roman"/>
                <w:szCs w:val="24"/>
                <w:lang w:val="sr-Cyrl-CS"/>
              </w:rPr>
              <w:t>развој производа који се нуде заједно са комерцијалним финансијским институцијама</w:t>
            </w:r>
          </w:p>
        </w:tc>
      </w:tr>
      <w:tr w:rsidR="00A0277A" w:rsidRPr="00471C90" w14:paraId="410AF39E" w14:textId="77777777" w:rsidTr="00FD3BDA">
        <w:tc>
          <w:tcPr>
            <w:tcW w:w="9062" w:type="dxa"/>
            <w:shd w:val="clear" w:color="auto" w:fill="FFFBD5"/>
            <w:vAlign w:val="center"/>
          </w:tcPr>
          <w:p w14:paraId="2CEDFCE0" w14:textId="76777F35" w:rsidR="00A0277A" w:rsidRPr="00471C90" w:rsidRDefault="009C108A" w:rsidP="00A0277A">
            <w:pPr>
              <w:rPr>
                <w:rFonts w:cs="Times New Roman"/>
                <w:szCs w:val="24"/>
                <w:highlight w:val="yellow"/>
                <w:lang w:val="sr-Cyrl-CS"/>
              </w:rPr>
            </w:pPr>
            <w:r w:rsidRPr="00471C90">
              <w:rPr>
                <w:rFonts w:cs="Times New Roman"/>
                <w:bCs/>
                <w:i/>
                <w:iCs/>
                <w:szCs w:val="24"/>
                <w:lang w:val="sr-Cyrl-CS"/>
              </w:rPr>
              <w:t>Надлежна институција</w:t>
            </w:r>
            <w:r w:rsidR="00A0277A" w:rsidRPr="00471C90">
              <w:rPr>
                <w:rFonts w:cs="Times New Roman"/>
                <w:bCs/>
                <w:i/>
                <w:iCs/>
                <w:szCs w:val="24"/>
                <w:lang w:val="sr-Cyrl-CS"/>
              </w:rPr>
              <w:t>:</w:t>
            </w:r>
          </w:p>
        </w:tc>
      </w:tr>
      <w:tr w:rsidR="00A0277A" w:rsidRPr="00471C90" w14:paraId="648CFDF1" w14:textId="77777777" w:rsidTr="00A0277A">
        <w:tc>
          <w:tcPr>
            <w:tcW w:w="9062" w:type="dxa"/>
            <w:vAlign w:val="center"/>
          </w:tcPr>
          <w:p w14:paraId="57C9674E" w14:textId="3A2C9A16" w:rsidR="00A0277A" w:rsidRPr="00471C90" w:rsidRDefault="009C108A" w:rsidP="00A0277A">
            <w:pPr>
              <w:rPr>
                <w:rFonts w:cs="Times New Roman"/>
                <w:szCs w:val="24"/>
                <w:highlight w:val="yellow"/>
                <w:lang w:val="sr-Cyrl-CS"/>
              </w:rPr>
            </w:pPr>
            <w:r w:rsidRPr="00471C90">
              <w:rPr>
                <w:rFonts w:cs="Times New Roman"/>
                <w:szCs w:val="24"/>
                <w:lang w:val="sr-Cyrl-CS"/>
              </w:rPr>
              <w:lastRenderedPageBreak/>
              <w:t>Фонд за развој</w:t>
            </w:r>
          </w:p>
        </w:tc>
      </w:tr>
      <w:tr w:rsidR="00451BEB" w:rsidRPr="00471C90" w14:paraId="410EBF0F" w14:textId="77777777" w:rsidTr="00A0277A">
        <w:tc>
          <w:tcPr>
            <w:tcW w:w="9062" w:type="dxa"/>
            <w:shd w:val="clear" w:color="auto" w:fill="FFFBD5"/>
            <w:vAlign w:val="center"/>
          </w:tcPr>
          <w:p w14:paraId="593AD51E" w14:textId="7BC087F4" w:rsidR="00451BEB" w:rsidRPr="00471C90" w:rsidRDefault="009C108A" w:rsidP="001E7736">
            <w:pPr>
              <w:rPr>
                <w:rFonts w:cs="Times New Roman"/>
                <w:bCs/>
                <w:i/>
                <w:iCs/>
                <w:szCs w:val="24"/>
                <w:lang w:val="sr-Cyrl-CS"/>
              </w:rPr>
            </w:pPr>
            <w:r w:rsidRPr="00471C90">
              <w:rPr>
                <w:rFonts w:cs="Times New Roman"/>
                <w:bCs/>
                <w:i/>
                <w:iCs/>
                <w:szCs w:val="24"/>
                <w:lang w:val="sr-Cyrl-CS"/>
              </w:rPr>
              <w:t>Опис</w:t>
            </w:r>
            <w:r w:rsidR="00451BEB" w:rsidRPr="00471C90">
              <w:rPr>
                <w:rFonts w:cs="Times New Roman"/>
                <w:bCs/>
                <w:i/>
                <w:iCs/>
                <w:szCs w:val="24"/>
                <w:lang w:val="sr-Cyrl-CS"/>
              </w:rPr>
              <w:t>:</w:t>
            </w:r>
          </w:p>
        </w:tc>
      </w:tr>
      <w:tr w:rsidR="00451BEB" w:rsidRPr="00471C90" w14:paraId="03166858" w14:textId="77777777" w:rsidTr="00A0277A">
        <w:tc>
          <w:tcPr>
            <w:tcW w:w="9062" w:type="dxa"/>
            <w:tcBorders>
              <w:bottom w:val="single" w:sz="4" w:space="0" w:color="auto"/>
            </w:tcBorders>
            <w:vAlign w:val="center"/>
          </w:tcPr>
          <w:p w14:paraId="4371DCFB" w14:textId="4CF51C03" w:rsidR="009C108A" w:rsidRPr="00471C90" w:rsidRDefault="00C76164" w:rsidP="009C108A">
            <w:pPr>
              <w:spacing w:after="120"/>
              <w:jc w:val="both"/>
              <w:rPr>
                <w:rFonts w:cs="Times New Roman"/>
                <w:szCs w:val="24"/>
                <w:lang w:val="sr-Cyrl-CS"/>
              </w:rPr>
            </w:pPr>
            <w:r w:rsidRPr="00471C90">
              <w:rPr>
                <w:rFonts w:cs="Times New Roman"/>
                <w:szCs w:val="24"/>
                <w:lang w:val="sr-Cyrl-CS"/>
              </w:rPr>
              <w:t>Један од</w:t>
            </w:r>
            <w:r w:rsidR="009C108A" w:rsidRPr="00471C90">
              <w:rPr>
                <w:rFonts w:cs="Times New Roman"/>
                <w:szCs w:val="24"/>
                <w:lang w:val="sr-Cyrl-CS"/>
              </w:rPr>
              <w:t xml:space="preserve"> приоритета водеће развојне институције у </w:t>
            </w:r>
            <w:r w:rsidR="00DA7257" w:rsidRPr="00471C90">
              <w:rPr>
                <w:rFonts w:cs="Times New Roman"/>
                <w:szCs w:val="24"/>
                <w:lang w:val="sr-Cyrl-CS"/>
              </w:rPr>
              <w:t xml:space="preserve">Републици </w:t>
            </w:r>
            <w:r w:rsidR="009C108A" w:rsidRPr="00471C90">
              <w:rPr>
                <w:rFonts w:cs="Times New Roman"/>
                <w:szCs w:val="24"/>
                <w:lang w:val="sr-Cyrl-CS"/>
              </w:rPr>
              <w:t xml:space="preserve">Србији - Фонда за развој и </w:t>
            </w:r>
            <w:r w:rsidRPr="00471C90">
              <w:rPr>
                <w:rFonts w:cs="Times New Roman"/>
                <w:szCs w:val="24"/>
                <w:lang w:val="sr-Cyrl-CS"/>
              </w:rPr>
              <w:t>надаље треба да буде</w:t>
            </w:r>
            <w:r w:rsidR="009C108A" w:rsidRPr="00471C90">
              <w:rPr>
                <w:rFonts w:cs="Times New Roman"/>
                <w:szCs w:val="24"/>
                <w:lang w:val="sr-Cyrl-CS"/>
              </w:rPr>
              <w:t xml:space="preserve">  финансирање развоја МСП са основним циљем побољшања конкурентности и ликвидности привреде</w:t>
            </w:r>
            <w:r w:rsidR="00DA7257" w:rsidRPr="00471C90">
              <w:rPr>
                <w:rFonts w:cs="Times New Roman"/>
                <w:szCs w:val="24"/>
                <w:lang w:val="sr-Cyrl-CS"/>
              </w:rPr>
              <w:t xml:space="preserve"> Републике Србије</w:t>
            </w:r>
            <w:r w:rsidR="009C108A" w:rsidRPr="00471C90">
              <w:rPr>
                <w:rFonts w:cs="Times New Roman"/>
                <w:szCs w:val="24"/>
                <w:lang w:val="sr-Cyrl-CS"/>
              </w:rPr>
              <w:t xml:space="preserve">, поготово ако се има у виду да МСП представљају 99,7% укупног броја предузећа, да генеришу 67% запослених </w:t>
            </w:r>
            <w:r w:rsidR="00E05281" w:rsidRPr="00471C90">
              <w:rPr>
                <w:rFonts w:cs="Times New Roman"/>
                <w:szCs w:val="24"/>
                <w:lang w:val="sr-Cyrl-CS"/>
              </w:rPr>
              <w:t xml:space="preserve">у Републици </w:t>
            </w:r>
            <w:r w:rsidR="009C108A" w:rsidRPr="00471C90">
              <w:rPr>
                <w:rFonts w:cs="Times New Roman"/>
                <w:szCs w:val="24"/>
                <w:lang w:val="sr-Cyrl-CS"/>
              </w:rPr>
              <w:t>Србиј</w:t>
            </w:r>
            <w:r w:rsidR="00E05281" w:rsidRPr="00471C90">
              <w:rPr>
                <w:rFonts w:cs="Times New Roman"/>
                <w:szCs w:val="24"/>
                <w:lang w:val="sr-Cyrl-CS"/>
              </w:rPr>
              <w:t>и</w:t>
            </w:r>
            <w:r w:rsidR="009C108A" w:rsidRPr="00471C90">
              <w:rPr>
                <w:rFonts w:cs="Times New Roman"/>
                <w:szCs w:val="24"/>
                <w:lang w:val="sr-Cyrl-CS"/>
              </w:rPr>
              <w:t xml:space="preserve"> и доприносе стварању половине </w:t>
            </w:r>
            <w:r w:rsidRPr="00471C90">
              <w:rPr>
                <w:rFonts w:cs="Times New Roman"/>
                <w:szCs w:val="24"/>
                <w:lang w:val="sr-Cyrl-CS"/>
              </w:rPr>
              <w:t>БДП-а</w:t>
            </w:r>
            <w:r w:rsidR="00C31D11" w:rsidRPr="00471C90">
              <w:rPr>
                <w:rFonts w:cs="Times New Roman"/>
                <w:szCs w:val="24"/>
                <w:lang w:val="sr-Cyrl-CS"/>
              </w:rPr>
              <w:t xml:space="preserve"> </w:t>
            </w:r>
            <w:r w:rsidRPr="00471C90">
              <w:rPr>
                <w:rFonts w:cs="Times New Roman"/>
                <w:szCs w:val="24"/>
                <w:lang w:val="sr-Cyrl-CS"/>
              </w:rPr>
              <w:t>Републике Србије</w:t>
            </w:r>
            <w:r w:rsidR="009C108A" w:rsidRPr="00471C90">
              <w:rPr>
                <w:rFonts w:cs="Times New Roman"/>
                <w:szCs w:val="24"/>
                <w:lang w:val="sr-Cyrl-CS"/>
              </w:rPr>
              <w:t xml:space="preserve">. У наредном периоду сектору МСП-а, </w:t>
            </w:r>
            <w:r w:rsidR="003A0576" w:rsidRPr="00471C90">
              <w:rPr>
                <w:rFonts w:cs="Times New Roman"/>
                <w:szCs w:val="24"/>
                <w:lang w:val="sr-Cyrl-CS"/>
              </w:rPr>
              <w:t>„</w:t>
            </w:r>
            <w:r w:rsidR="00DA7257" w:rsidRPr="00471C90">
              <w:rPr>
                <w:rFonts w:cs="Times New Roman"/>
                <w:szCs w:val="24"/>
                <w:lang w:val="sr-Cyrl-CS"/>
              </w:rPr>
              <w:t>старт-ап</w:t>
            </w:r>
            <w:r w:rsidR="001757D5" w:rsidRPr="00471C90">
              <w:rPr>
                <w:rFonts w:cs="Times New Roman"/>
                <w:szCs w:val="24"/>
                <w:lang w:val="sr-Cyrl-CS"/>
              </w:rPr>
              <w:t>ˮ</w:t>
            </w:r>
            <w:r w:rsidR="001757D5" w:rsidRPr="00471C90" w:rsidDel="001757D5">
              <w:rPr>
                <w:rFonts w:cs="Times New Roman"/>
                <w:szCs w:val="24"/>
                <w:lang w:val="sr-Cyrl-CS"/>
              </w:rPr>
              <w:t xml:space="preserve"> </w:t>
            </w:r>
            <w:r w:rsidR="00F73A8A" w:rsidRPr="00471C90">
              <w:rPr>
                <w:rFonts w:cs="Times New Roman"/>
                <w:szCs w:val="24"/>
                <w:lang w:val="sr-Cyrl-CS"/>
              </w:rPr>
              <w:t>предузећима</w:t>
            </w:r>
            <w:r w:rsidR="009C108A" w:rsidRPr="00471C90">
              <w:rPr>
                <w:rFonts w:cs="Times New Roman"/>
                <w:szCs w:val="24"/>
                <w:lang w:val="sr-Cyrl-CS"/>
              </w:rPr>
              <w:t xml:space="preserve"> и иноваторима потребан је приступ већем обиму финансијских средстава али и ширем спектру инструмената (већем асортиману финансијских производа) да би наставили кретање путањом раста.</w:t>
            </w:r>
          </w:p>
          <w:p w14:paraId="0237528B" w14:textId="312AE47A" w:rsidR="009C108A" w:rsidRPr="00471C90" w:rsidRDefault="009C108A" w:rsidP="009C108A">
            <w:pPr>
              <w:spacing w:after="120"/>
              <w:jc w:val="both"/>
              <w:rPr>
                <w:rFonts w:cs="Times New Roman"/>
                <w:szCs w:val="24"/>
                <w:lang w:val="sr-Cyrl-CS"/>
              </w:rPr>
            </w:pPr>
            <w:r w:rsidRPr="00471C90">
              <w:rPr>
                <w:rFonts w:cs="Times New Roman"/>
                <w:szCs w:val="24"/>
                <w:lang w:val="sr-Cyrl-CS"/>
              </w:rPr>
              <w:t xml:space="preserve">Поред постојећих директних кредита које пружа Фонд за развој, </w:t>
            </w:r>
            <w:r w:rsidR="00D93240" w:rsidRPr="00471C90">
              <w:rPr>
                <w:rFonts w:cs="Times New Roman"/>
                <w:szCs w:val="24"/>
                <w:lang w:val="sr-Cyrl-CS"/>
              </w:rPr>
              <w:t>у план развоја тре</w:t>
            </w:r>
            <w:r w:rsidR="00AA0BA7" w:rsidRPr="00471C90">
              <w:rPr>
                <w:rFonts w:cs="Times New Roman"/>
                <w:szCs w:val="24"/>
                <w:lang w:val="sr-Cyrl-CS"/>
              </w:rPr>
              <w:t xml:space="preserve">ба укључити и унапређење </w:t>
            </w:r>
            <w:r w:rsidRPr="00471C90">
              <w:rPr>
                <w:rFonts w:cs="Times New Roman"/>
                <w:szCs w:val="24"/>
                <w:lang w:val="sr-Cyrl-CS"/>
              </w:rPr>
              <w:t>кредитн</w:t>
            </w:r>
            <w:r w:rsidR="00AA0BA7" w:rsidRPr="00471C90">
              <w:rPr>
                <w:rFonts w:cs="Times New Roman"/>
                <w:szCs w:val="24"/>
                <w:lang w:val="sr-Cyrl-CS"/>
              </w:rPr>
              <w:t>их</w:t>
            </w:r>
            <w:r w:rsidRPr="00471C90">
              <w:rPr>
                <w:rFonts w:cs="Times New Roman"/>
                <w:szCs w:val="24"/>
                <w:lang w:val="sr-Cyrl-CS"/>
              </w:rPr>
              <w:t xml:space="preserve"> производ</w:t>
            </w:r>
            <w:r w:rsidR="00AA0BA7" w:rsidRPr="00471C90">
              <w:rPr>
                <w:rFonts w:cs="Times New Roman"/>
                <w:szCs w:val="24"/>
                <w:lang w:val="sr-Cyrl-CS"/>
              </w:rPr>
              <w:t xml:space="preserve">а, </w:t>
            </w:r>
            <w:r w:rsidRPr="00471C90">
              <w:rPr>
                <w:rFonts w:cs="Times New Roman"/>
                <w:szCs w:val="24"/>
                <w:lang w:val="sr-Cyrl-CS"/>
              </w:rPr>
              <w:t>тако да укључују механизме поделе ризика, посредничке кредите (енг</w:t>
            </w:r>
            <w:r w:rsidR="003A0576" w:rsidRPr="00471C90">
              <w:rPr>
                <w:rFonts w:cs="Times New Roman"/>
                <w:szCs w:val="24"/>
                <w:lang w:val="sr-Cyrl-CS"/>
              </w:rPr>
              <w:t>л</w:t>
            </w:r>
            <w:r w:rsidRPr="00471C90">
              <w:rPr>
                <w:rFonts w:cs="Times New Roman"/>
                <w:szCs w:val="24"/>
                <w:lang w:val="sr-Cyrl-CS"/>
              </w:rPr>
              <w:t>.</w:t>
            </w:r>
            <w:r w:rsidR="00CE594D" w:rsidRPr="00471C90">
              <w:rPr>
                <w:rFonts w:cs="Times New Roman"/>
                <w:szCs w:val="24"/>
                <w:lang w:val="sr-Cyrl-CS"/>
              </w:rPr>
              <w:t xml:space="preserve"> </w:t>
            </w:r>
            <w:r w:rsidR="003A0576" w:rsidRPr="00471C90">
              <w:rPr>
                <w:rFonts w:cs="Times New Roman"/>
                <w:i/>
                <w:szCs w:val="24"/>
                <w:lang w:val="sr-Cyrl-CS"/>
              </w:rPr>
              <w:t>s</w:t>
            </w:r>
            <w:r w:rsidR="00CE594D" w:rsidRPr="00471C90">
              <w:rPr>
                <w:rFonts w:cs="Times New Roman"/>
                <w:i/>
                <w:szCs w:val="24"/>
                <w:lang w:val="sr-Cyrl-CS"/>
              </w:rPr>
              <w:t>econd-floor loans</w:t>
            </w:r>
            <w:r w:rsidRPr="00471C90">
              <w:rPr>
                <w:rFonts w:cs="Times New Roman"/>
                <w:szCs w:val="24"/>
                <w:lang w:val="sr-Cyrl-CS"/>
              </w:rPr>
              <w:t xml:space="preserve">), синдициране и субординиране кредите намењене комерцијалним банкама и другим финансијским институцијама. То би промовисало сарадњу са другим институцијама, смањујући ризик који прихватају и подстичући их да нуде зајмове циљним групама развојних финансијских институција под повољнијим условима, истовремено смањујући притисак на развојне финансијске институције. Директно кредитирање би требало да буде углавном усмерено на субјекте у одређеној фази животног циклуса (нпр. </w:t>
            </w:r>
            <w:r w:rsidR="00E41395" w:rsidRPr="00471C90">
              <w:rPr>
                <w:rFonts w:cs="Times New Roman"/>
                <w:szCs w:val="24"/>
                <w:lang w:val="sr-Cyrl-CS"/>
              </w:rPr>
              <w:t>нова привредна друштва</w:t>
            </w:r>
            <w:r w:rsidRPr="00471C90">
              <w:rPr>
                <w:rFonts w:cs="Times New Roman"/>
                <w:szCs w:val="24"/>
                <w:lang w:val="sr-Cyrl-CS"/>
              </w:rPr>
              <w:t>, „</w:t>
            </w:r>
            <w:r w:rsidR="00DA7257" w:rsidRPr="00471C90">
              <w:rPr>
                <w:rFonts w:cs="Times New Roman"/>
                <w:szCs w:val="24"/>
                <w:lang w:val="sr-Cyrl-CS"/>
              </w:rPr>
              <w:t>старт-ап</w:t>
            </w:r>
            <w:r w:rsidR="001757D5" w:rsidRPr="00471C90">
              <w:rPr>
                <w:rFonts w:cs="Times New Roman"/>
                <w:szCs w:val="24"/>
                <w:lang w:val="sr-Cyrl-CS"/>
              </w:rPr>
              <w:t>ˮ</w:t>
            </w:r>
            <w:r w:rsidRPr="00471C90">
              <w:rPr>
                <w:rFonts w:cs="Times New Roman"/>
                <w:szCs w:val="24"/>
                <w:lang w:val="sr-Cyrl-CS"/>
              </w:rPr>
              <w:t xml:space="preserve"> предузећа), одређене секторе привреде (јачање стратешки важних сектора), групе становништва које треба оснажити, као и субјекте у неразвијеним подручјима. Треба избегавати истискивање комерцијалних финансијских институција.</w:t>
            </w:r>
          </w:p>
          <w:p w14:paraId="0CDC863C" w14:textId="558BE812" w:rsidR="00451BEB" w:rsidRPr="00471C90" w:rsidRDefault="008A0560" w:rsidP="00C76164">
            <w:pPr>
              <w:spacing w:after="120"/>
              <w:jc w:val="both"/>
              <w:rPr>
                <w:rFonts w:cs="Times New Roman"/>
                <w:szCs w:val="24"/>
                <w:lang w:val="sr-Cyrl-CS"/>
              </w:rPr>
            </w:pPr>
            <w:r w:rsidRPr="00471C90">
              <w:rPr>
                <w:rFonts w:cs="Times New Roman"/>
                <w:szCs w:val="24"/>
                <w:lang w:val="sr-Cyrl-CS"/>
              </w:rPr>
              <w:t xml:space="preserve">План би требало  да буде усмерен ка повећању обима </w:t>
            </w:r>
            <w:r w:rsidR="009C108A" w:rsidRPr="00471C90">
              <w:rPr>
                <w:rFonts w:cs="Times New Roman"/>
                <w:szCs w:val="24"/>
                <w:lang w:val="sr-Cyrl-CS"/>
              </w:rPr>
              <w:t>обезбеђених гаранција</w:t>
            </w:r>
            <w:r w:rsidRPr="00471C90">
              <w:rPr>
                <w:rFonts w:cs="Times New Roman"/>
                <w:szCs w:val="24"/>
                <w:lang w:val="sr-Cyrl-CS"/>
              </w:rPr>
              <w:t>,</w:t>
            </w:r>
            <w:r w:rsidR="009C108A" w:rsidRPr="00471C90">
              <w:rPr>
                <w:rFonts w:cs="Times New Roman"/>
                <w:szCs w:val="24"/>
                <w:lang w:val="sr-Cyrl-CS"/>
              </w:rPr>
              <w:t xml:space="preserve"> како би се одражавала најбоља међународна пракса, али и да би се побољшао приступ финансијама субјеката који имају одрживе пословне моделе, али немају </w:t>
            </w:r>
            <w:r w:rsidR="00F86437" w:rsidRPr="00471C90">
              <w:rPr>
                <w:rFonts w:cs="Times New Roman"/>
                <w:szCs w:val="24"/>
                <w:lang w:val="sr-Cyrl-CS"/>
              </w:rPr>
              <w:t xml:space="preserve">средства обезбеђења </w:t>
            </w:r>
            <w:r w:rsidR="009C108A" w:rsidRPr="00471C90">
              <w:rPr>
                <w:rFonts w:cs="Times New Roman"/>
                <w:szCs w:val="24"/>
                <w:lang w:val="sr-Cyrl-CS"/>
              </w:rPr>
              <w:t>потребн</w:t>
            </w:r>
            <w:r w:rsidR="00F33F0B" w:rsidRPr="00471C90">
              <w:rPr>
                <w:rFonts w:cs="Times New Roman"/>
                <w:szCs w:val="24"/>
                <w:lang w:val="sr-Cyrl-CS"/>
              </w:rPr>
              <w:t>а</w:t>
            </w:r>
            <w:r w:rsidR="009C108A" w:rsidRPr="00471C90">
              <w:rPr>
                <w:rFonts w:cs="Times New Roman"/>
                <w:szCs w:val="24"/>
                <w:lang w:val="sr-Cyrl-CS"/>
              </w:rPr>
              <w:t xml:space="preserve"> за добијање кредита. </w:t>
            </w:r>
            <w:r w:rsidR="00C76164" w:rsidRPr="00471C90">
              <w:rPr>
                <w:rFonts w:cs="Times New Roman"/>
                <w:szCs w:val="24"/>
                <w:lang w:val="sr-Cyrl-CS"/>
              </w:rPr>
              <w:t xml:space="preserve">Побољшање приступа финансијама </w:t>
            </w:r>
            <w:r w:rsidR="009C108A" w:rsidRPr="00471C90">
              <w:rPr>
                <w:rFonts w:cs="Times New Roman"/>
                <w:szCs w:val="24"/>
                <w:lang w:val="sr-Cyrl-CS"/>
              </w:rPr>
              <w:t>је повезано са поверењем у домаће развојне финансијске институције које би требало да се повећа након примене других предложених мера.</w:t>
            </w:r>
          </w:p>
        </w:tc>
      </w:tr>
    </w:tbl>
    <w:p w14:paraId="759F8BF5" w14:textId="77777777" w:rsidR="00834EF8" w:rsidRPr="00471C90" w:rsidRDefault="00834EF8" w:rsidP="001D6DCE">
      <w:pPr>
        <w:rPr>
          <w:rFonts w:cs="Times New Roman"/>
          <w:szCs w:val="24"/>
          <w:lang w:val="sr-Cyrl-CS"/>
        </w:rPr>
      </w:pPr>
    </w:p>
    <w:tbl>
      <w:tblPr>
        <w:tblStyle w:val="TableGrid"/>
        <w:tblW w:w="0" w:type="auto"/>
        <w:tblLook w:val="04A0" w:firstRow="1" w:lastRow="0" w:firstColumn="1" w:lastColumn="0" w:noHBand="0" w:noVBand="1"/>
      </w:tblPr>
      <w:tblGrid>
        <w:gridCol w:w="9062"/>
      </w:tblGrid>
      <w:tr w:rsidR="00451BEB" w:rsidRPr="00471C90" w14:paraId="007E99EB" w14:textId="77777777" w:rsidTr="00E00ADF">
        <w:tc>
          <w:tcPr>
            <w:tcW w:w="9062" w:type="dxa"/>
            <w:shd w:val="clear" w:color="auto" w:fill="FFE600"/>
            <w:vAlign w:val="center"/>
          </w:tcPr>
          <w:p w14:paraId="1857EF28" w14:textId="6C664B1D" w:rsidR="00451BEB" w:rsidRPr="00471C90" w:rsidRDefault="009C108A" w:rsidP="001E7736">
            <w:pPr>
              <w:rPr>
                <w:rFonts w:cs="Times New Roman"/>
                <w:bCs/>
                <w:szCs w:val="24"/>
                <w:lang w:val="sr-Cyrl-CS"/>
              </w:rPr>
            </w:pPr>
            <w:r w:rsidRPr="00471C90">
              <w:rPr>
                <w:rFonts w:cs="Times New Roman"/>
                <w:bCs/>
                <w:szCs w:val="24"/>
                <w:lang w:val="sr-Cyrl-CS"/>
              </w:rPr>
              <w:t>Мера 3: Увођење нових врста финансирања извоза</w:t>
            </w:r>
          </w:p>
        </w:tc>
      </w:tr>
      <w:tr w:rsidR="00451BEB" w:rsidRPr="00471C90" w14:paraId="1698DCF1" w14:textId="77777777" w:rsidTr="00E00ADF">
        <w:trPr>
          <w:trHeight w:val="270"/>
        </w:trPr>
        <w:tc>
          <w:tcPr>
            <w:tcW w:w="9062" w:type="dxa"/>
            <w:shd w:val="clear" w:color="auto" w:fill="FFFBD5"/>
            <w:vAlign w:val="center"/>
          </w:tcPr>
          <w:p w14:paraId="13E36B52" w14:textId="33DBA3B6" w:rsidR="00451BEB" w:rsidRPr="00471C90" w:rsidRDefault="009C108A" w:rsidP="001E7736">
            <w:pPr>
              <w:rPr>
                <w:rFonts w:cs="Times New Roman"/>
                <w:szCs w:val="24"/>
                <w:lang w:val="sr-Cyrl-CS"/>
              </w:rPr>
            </w:pPr>
            <w:r w:rsidRPr="00471C90">
              <w:rPr>
                <w:rFonts w:cs="Times New Roman"/>
                <w:bCs/>
                <w:i/>
                <w:iCs/>
                <w:szCs w:val="24"/>
                <w:lang w:val="sr-Cyrl-CS"/>
              </w:rPr>
              <w:t>Врста мере</w:t>
            </w:r>
            <w:r w:rsidR="00451BEB" w:rsidRPr="00471C90">
              <w:rPr>
                <w:rFonts w:cs="Times New Roman"/>
                <w:bCs/>
                <w:i/>
                <w:iCs/>
                <w:szCs w:val="24"/>
                <w:lang w:val="sr-Cyrl-CS"/>
              </w:rPr>
              <w:t>:</w:t>
            </w:r>
          </w:p>
        </w:tc>
      </w:tr>
      <w:tr w:rsidR="00451BEB" w:rsidRPr="00471C90" w14:paraId="7B66A76D" w14:textId="77777777" w:rsidTr="00E00ADF">
        <w:trPr>
          <w:trHeight w:val="270"/>
        </w:trPr>
        <w:tc>
          <w:tcPr>
            <w:tcW w:w="9062" w:type="dxa"/>
            <w:shd w:val="clear" w:color="auto" w:fill="auto"/>
            <w:vAlign w:val="center"/>
          </w:tcPr>
          <w:p w14:paraId="0160D8B7" w14:textId="0FB7364F" w:rsidR="00451BEB" w:rsidRPr="00471C90" w:rsidRDefault="0035599C" w:rsidP="009C108A">
            <w:pPr>
              <w:rPr>
                <w:rFonts w:cs="Times New Roman"/>
                <w:szCs w:val="24"/>
                <w:lang w:val="sr-Cyrl-CS"/>
              </w:rPr>
            </w:pPr>
            <w:r w:rsidRPr="00471C90">
              <w:rPr>
                <w:rFonts w:cs="Times New Roman"/>
                <w:szCs w:val="24"/>
                <w:lang w:val="sr-Cyrl-CS"/>
              </w:rPr>
              <w:t>институционално управљачко организациона</w:t>
            </w:r>
          </w:p>
        </w:tc>
      </w:tr>
      <w:tr w:rsidR="00451BEB" w:rsidRPr="00471C90" w14:paraId="1429332A" w14:textId="77777777" w:rsidTr="00E00ADF">
        <w:tc>
          <w:tcPr>
            <w:tcW w:w="9062" w:type="dxa"/>
            <w:shd w:val="clear" w:color="auto" w:fill="FFFBD5"/>
            <w:vAlign w:val="center"/>
          </w:tcPr>
          <w:p w14:paraId="2C31F8F9" w14:textId="0D8764A3" w:rsidR="00451BEB" w:rsidRPr="00471C90" w:rsidRDefault="009C108A" w:rsidP="001E7736">
            <w:pPr>
              <w:rPr>
                <w:rFonts w:cs="Times New Roman"/>
                <w:szCs w:val="24"/>
                <w:lang w:val="sr-Cyrl-CS"/>
              </w:rPr>
            </w:pPr>
            <w:r w:rsidRPr="00471C90">
              <w:rPr>
                <w:rFonts w:cs="Times New Roman"/>
                <w:bCs/>
                <w:i/>
                <w:iCs/>
                <w:szCs w:val="24"/>
                <w:lang w:val="sr-Cyrl-CS"/>
              </w:rPr>
              <w:t>Рок за примену</w:t>
            </w:r>
            <w:r w:rsidR="00451BEB" w:rsidRPr="00471C90">
              <w:rPr>
                <w:rFonts w:cs="Times New Roman"/>
                <w:bCs/>
                <w:i/>
                <w:iCs/>
                <w:szCs w:val="24"/>
                <w:lang w:val="sr-Cyrl-CS"/>
              </w:rPr>
              <w:t>:</w:t>
            </w:r>
          </w:p>
        </w:tc>
      </w:tr>
      <w:tr w:rsidR="00451BEB" w:rsidRPr="00471C90" w14:paraId="0F5028A3" w14:textId="77777777" w:rsidTr="00E00ADF">
        <w:tc>
          <w:tcPr>
            <w:tcW w:w="9062" w:type="dxa"/>
            <w:vAlign w:val="center"/>
          </w:tcPr>
          <w:p w14:paraId="0B9C8969" w14:textId="59B8CD16" w:rsidR="00451BEB" w:rsidRPr="00471C90" w:rsidRDefault="00453209" w:rsidP="00453209">
            <w:pPr>
              <w:rPr>
                <w:rFonts w:cs="Times New Roman"/>
                <w:szCs w:val="24"/>
                <w:lang w:val="sr-Cyrl-CS"/>
              </w:rPr>
            </w:pPr>
            <w:r w:rsidRPr="00471C90">
              <w:rPr>
                <w:rFonts w:cs="Times New Roman"/>
                <w:szCs w:val="24"/>
                <w:lang w:val="sr-Cyrl-CS"/>
              </w:rPr>
              <w:t>1</w:t>
            </w:r>
            <w:r w:rsidR="00451BEB" w:rsidRPr="00471C90">
              <w:rPr>
                <w:rFonts w:cs="Times New Roman"/>
                <w:szCs w:val="24"/>
                <w:lang w:val="sr-Cyrl-CS"/>
              </w:rPr>
              <w:t xml:space="preserve">. </w:t>
            </w:r>
            <w:r w:rsidR="009C108A" w:rsidRPr="00471C90">
              <w:rPr>
                <w:rFonts w:cs="Times New Roman"/>
                <w:szCs w:val="24"/>
                <w:lang w:val="sr-Cyrl-CS"/>
              </w:rPr>
              <w:t>квартал</w:t>
            </w:r>
            <w:r w:rsidR="00451BEB" w:rsidRPr="00471C90">
              <w:rPr>
                <w:rFonts w:cs="Times New Roman"/>
                <w:szCs w:val="24"/>
                <w:lang w:val="sr-Cyrl-CS"/>
              </w:rPr>
              <w:t xml:space="preserve"> </w:t>
            </w:r>
            <w:r w:rsidRPr="00471C90">
              <w:rPr>
                <w:rFonts w:cs="Times New Roman"/>
                <w:szCs w:val="24"/>
                <w:lang w:val="sr-Cyrl-CS"/>
              </w:rPr>
              <w:t>2023</w:t>
            </w:r>
            <w:r w:rsidR="00451BEB" w:rsidRPr="00471C90">
              <w:rPr>
                <w:rFonts w:cs="Times New Roman"/>
                <w:szCs w:val="24"/>
                <w:lang w:val="sr-Cyrl-CS"/>
              </w:rPr>
              <w:t xml:space="preserve">. </w:t>
            </w:r>
            <w:r w:rsidR="008B5EB8" w:rsidRPr="00471C90">
              <w:rPr>
                <w:rFonts w:cs="Times New Roman"/>
                <w:szCs w:val="24"/>
                <w:lang w:val="sr-Cyrl-CS"/>
              </w:rPr>
              <w:t>године</w:t>
            </w:r>
          </w:p>
        </w:tc>
      </w:tr>
      <w:tr w:rsidR="00C83B54" w:rsidRPr="00471C90" w14:paraId="04461236" w14:textId="77777777" w:rsidTr="00E00ADF">
        <w:tc>
          <w:tcPr>
            <w:tcW w:w="9062" w:type="dxa"/>
            <w:shd w:val="clear" w:color="auto" w:fill="FFFBD5"/>
            <w:vAlign w:val="center"/>
          </w:tcPr>
          <w:p w14:paraId="11339E21" w14:textId="1D983EF8" w:rsidR="00C83B54" w:rsidRPr="00471C90" w:rsidRDefault="00C83B54" w:rsidP="00C83B54">
            <w:pPr>
              <w:rPr>
                <w:rFonts w:cs="Times New Roman"/>
                <w:bCs/>
                <w:i/>
                <w:iCs/>
                <w:szCs w:val="24"/>
                <w:lang w:val="sr-Cyrl-CS"/>
              </w:rPr>
            </w:pPr>
            <w:r w:rsidRPr="00471C90">
              <w:rPr>
                <w:rFonts w:cs="Times New Roman"/>
                <w:bCs/>
                <w:i/>
                <w:iCs/>
                <w:szCs w:val="24"/>
                <w:lang w:val="sr-Cyrl-CS"/>
              </w:rPr>
              <w:t>Показатељи учинка:</w:t>
            </w:r>
          </w:p>
        </w:tc>
      </w:tr>
      <w:tr w:rsidR="00451BEB" w:rsidRPr="00471C90" w14:paraId="0CD4A278" w14:textId="77777777" w:rsidTr="00E00ADF">
        <w:tc>
          <w:tcPr>
            <w:tcW w:w="9062" w:type="dxa"/>
            <w:vAlign w:val="center"/>
          </w:tcPr>
          <w:p w14:paraId="0F355A44" w14:textId="397122B4" w:rsidR="00451BEB" w:rsidRPr="00471C90" w:rsidRDefault="00E22130" w:rsidP="001E7736">
            <w:pPr>
              <w:rPr>
                <w:rFonts w:cs="Times New Roman"/>
                <w:szCs w:val="24"/>
                <w:lang w:val="sr-Cyrl-CS"/>
              </w:rPr>
            </w:pPr>
            <w:r w:rsidRPr="00471C90">
              <w:rPr>
                <w:rFonts w:cs="Times New Roman"/>
                <w:szCs w:val="24"/>
                <w:lang w:val="sr-Cyrl-CS"/>
              </w:rPr>
              <w:t xml:space="preserve">1) </w:t>
            </w:r>
            <w:r w:rsidR="005C0157" w:rsidRPr="00471C90">
              <w:rPr>
                <w:rFonts w:cs="Times New Roman"/>
                <w:szCs w:val="24"/>
                <w:lang w:val="sr-Cyrl-CS"/>
              </w:rPr>
              <w:t xml:space="preserve">Дефинисање плана за </w:t>
            </w:r>
            <w:r w:rsidR="0035599C" w:rsidRPr="00471C90">
              <w:rPr>
                <w:rFonts w:cs="Times New Roman"/>
                <w:szCs w:val="24"/>
                <w:lang w:val="sr-Cyrl-CS"/>
              </w:rPr>
              <w:t>развој нових врста финансирања извоза</w:t>
            </w:r>
          </w:p>
        </w:tc>
      </w:tr>
      <w:tr w:rsidR="00DB649F" w:rsidRPr="00471C90" w14:paraId="49B6E4B9" w14:textId="77777777" w:rsidTr="00E00ADF">
        <w:tc>
          <w:tcPr>
            <w:tcW w:w="9062" w:type="dxa"/>
            <w:shd w:val="clear" w:color="auto" w:fill="FFFBD5"/>
            <w:vAlign w:val="center"/>
          </w:tcPr>
          <w:p w14:paraId="51732748" w14:textId="6902840C" w:rsidR="00DB649F" w:rsidRPr="00471C90" w:rsidRDefault="008B5EB8" w:rsidP="001E7736">
            <w:pPr>
              <w:rPr>
                <w:rFonts w:cs="Times New Roman"/>
                <w:bCs/>
                <w:i/>
                <w:iCs/>
                <w:szCs w:val="24"/>
                <w:lang w:val="sr-Cyrl-CS"/>
              </w:rPr>
            </w:pPr>
            <w:r w:rsidRPr="00471C90">
              <w:rPr>
                <w:rFonts w:cs="Times New Roman"/>
                <w:bCs/>
                <w:i/>
                <w:iCs/>
                <w:szCs w:val="24"/>
                <w:lang w:val="sr-Cyrl-CS"/>
              </w:rPr>
              <w:t>Надлежна институција</w:t>
            </w:r>
            <w:r w:rsidR="00DB649F" w:rsidRPr="00471C90">
              <w:rPr>
                <w:rFonts w:cs="Times New Roman"/>
                <w:bCs/>
                <w:i/>
                <w:iCs/>
                <w:szCs w:val="24"/>
                <w:lang w:val="sr-Cyrl-CS"/>
              </w:rPr>
              <w:t>:</w:t>
            </w:r>
          </w:p>
        </w:tc>
      </w:tr>
      <w:tr w:rsidR="00DB649F" w:rsidRPr="00471C90" w14:paraId="04344A63" w14:textId="77777777" w:rsidTr="00E00ADF">
        <w:tc>
          <w:tcPr>
            <w:tcW w:w="9062" w:type="dxa"/>
            <w:vAlign w:val="center"/>
          </w:tcPr>
          <w:p w14:paraId="087178CF" w14:textId="43A12226" w:rsidR="00DB649F" w:rsidRPr="00471C90" w:rsidRDefault="008B5EB8" w:rsidP="001E7736">
            <w:pPr>
              <w:rPr>
                <w:rFonts w:cs="Times New Roman"/>
                <w:szCs w:val="24"/>
                <w:lang w:val="sr-Cyrl-CS"/>
              </w:rPr>
            </w:pPr>
            <w:r w:rsidRPr="00471C90">
              <w:rPr>
                <w:rFonts w:cs="Times New Roman"/>
                <w:szCs w:val="24"/>
                <w:lang w:val="sr-Cyrl-CS"/>
              </w:rPr>
              <w:t>АОФИ</w:t>
            </w:r>
          </w:p>
        </w:tc>
      </w:tr>
      <w:tr w:rsidR="00451BEB" w:rsidRPr="00471C90" w14:paraId="730C430F" w14:textId="77777777" w:rsidTr="00E00ADF">
        <w:tc>
          <w:tcPr>
            <w:tcW w:w="9062" w:type="dxa"/>
            <w:shd w:val="clear" w:color="auto" w:fill="FFFBD5"/>
            <w:vAlign w:val="center"/>
          </w:tcPr>
          <w:p w14:paraId="54699F2C" w14:textId="06F8056F" w:rsidR="00451BEB" w:rsidRPr="00471C90" w:rsidRDefault="008B5EB8" w:rsidP="001E7736">
            <w:pPr>
              <w:rPr>
                <w:rFonts w:cs="Times New Roman"/>
                <w:bCs/>
                <w:i/>
                <w:iCs/>
                <w:szCs w:val="24"/>
                <w:lang w:val="sr-Cyrl-CS"/>
              </w:rPr>
            </w:pPr>
            <w:r w:rsidRPr="00471C90">
              <w:rPr>
                <w:rFonts w:cs="Times New Roman"/>
                <w:bCs/>
                <w:i/>
                <w:iCs/>
                <w:szCs w:val="24"/>
                <w:lang w:val="sr-Cyrl-CS"/>
              </w:rPr>
              <w:t>Опис</w:t>
            </w:r>
            <w:r w:rsidR="00451BEB" w:rsidRPr="00471C90">
              <w:rPr>
                <w:rFonts w:cs="Times New Roman"/>
                <w:bCs/>
                <w:i/>
                <w:iCs/>
                <w:szCs w:val="24"/>
                <w:lang w:val="sr-Cyrl-CS"/>
              </w:rPr>
              <w:t>:</w:t>
            </w:r>
          </w:p>
        </w:tc>
      </w:tr>
      <w:tr w:rsidR="00451BEB" w:rsidRPr="00471C90" w14:paraId="0E1964C5" w14:textId="77777777" w:rsidTr="00E00ADF">
        <w:tc>
          <w:tcPr>
            <w:tcW w:w="9062" w:type="dxa"/>
            <w:tcBorders>
              <w:bottom w:val="single" w:sz="4" w:space="0" w:color="auto"/>
            </w:tcBorders>
            <w:vAlign w:val="center"/>
          </w:tcPr>
          <w:p w14:paraId="38757BC1" w14:textId="680C60A1" w:rsidR="00451BEB" w:rsidRPr="00471C90" w:rsidRDefault="008B5EB8">
            <w:pPr>
              <w:jc w:val="both"/>
              <w:rPr>
                <w:rFonts w:cs="Times New Roman"/>
                <w:szCs w:val="24"/>
                <w:lang w:val="sr-Cyrl-CS"/>
              </w:rPr>
            </w:pPr>
            <w:r w:rsidRPr="00471C90">
              <w:rPr>
                <w:rFonts w:cs="Times New Roman"/>
                <w:szCs w:val="24"/>
                <w:lang w:val="sr-Cyrl-CS"/>
              </w:rPr>
              <w:t>Тренутно АОФИ нуди само краткорочне кредите за обртни капитал директно извозницима. Да би се извозницима помогло да смање ризике повезане са извозним активностима, требало би увести производе за финансирање инвестиција или потраживања са дужим роком доспећа, као и кредите иностраним купцима (енг</w:t>
            </w:r>
            <w:r w:rsidR="003A0576" w:rsidRPr="00471C90">
              <w:rPr>
                <w:rFonts w:cs="Times New Roman"/>
                <w:szCs w:val="24"/>
                <w:lang w:val="sr-Cyrl-CS"/>
              </w:rPr>
              <w:t>л</w:t>
            </w:r>
            <w:r w:rsidRPr="00471C90">
              <w:rPr>
                <w:rFonts w:cs="Times New Roman"/>
                <w:szCs w:val="24"/>
                <w:lang w:val="sr-Cyrl-CS"/>
              </w:rPr>
              <w:t xml:space="preserve">. </w:t>
            </w:r>
            <w:r w:rsidR="003A0576" w:rsidRPr="00471C90">
              <w:rPr>
                <w:rFonts w:cs="Times New Roman"/>
                <w:i/>
                <w:szCs w:val="24"/>
                <w:lang w:val="sr-Cyrl-CS"/>
              </w:rPr>
              <w:t>buyers</w:t>
            </w:r>
            <w:r w:rsidRPr="00471C90">
              <w:rPr>
                <w:rFonts w:cs="Times New Roman"/>
                <w:i/>
                <w:szCs w:val="24"/>
                <w:lang w:val="sr-Cyrl-CS"/>
              </w:rPr>
              <w:t xml:space="preserve">’ </w:t>
            </w:r>
            <w:r w:rsidR="003A0576" w:rsidRPr="00471C90">
              <w:rPr>
                <w:rFonts w:cs="Times New Roman"/>
                <w:i/>
                <w:szCs w:val="24"/>
                <w:lang w:val="sr-Cyrl-CS"/>
              </w:rPr>
              <w:t>loans</w:t>
            </w:r>
            <w:r w:rsidRPr="00471C90">
              <w:rPr>
                <w:rFonts w:cs="Times New Roman"/>
                <w:szCs w:val="24"/>
                <w:lang w:val="sr-Cyrl-CS"/>
              </w:rPr>
              <w:t xml:space="preserve">). Такви послови дозвољени су </w:t>
            </w:r>
            <w:r w:rsidR="00C76164" w:rsidRPr="00471C90">
              <w:rPr>
                <w:rFonts w:cs="Times New Roman"/>
                <w:szCs w:val="24"/>
                <w:lang w:val="sr-Cyrl-CS"/>
              </w:rPr>
              <w:t>чланом 18</w:t>
            </w:r>
            <w:r w:rsidR="000F6386" w:rsidRPr="00471C90">
              <w:rPr>
                <w:rFonts w:cs="Times New Roman"/>
                <w:szCs w:val="24"/>
                <w:lang w:val="sr-Cyrl-CS"/>
              </w:rPr>
              <w:t>.</w:t>
            </w:r>
            <w:r w:rsidR="00C76164" w:rsidRPr="00471C90">
              <w:rPr>
                <w:rFonts w:cs="Times New Roman"/>
                <w:szCs w:val="24"/>
                <w:lang w:val="sr-Cyrl-CS"/>
              </w:rPr>
              <w:t xml:space="preserve"> став 8</w:t>
            </w:r>
            <w:r w:rsidR="000F6386" w:rsidRPr="00471C90">
              <w:rPr>
                <w:rFonts w:cs="Times New Roman"/>
                <w:szCs w:val="24"/>
                <w:lang w:val="sr-Cyrl-CS"/>
              </w:rPr>
              <w:t>.</w:t>
            </w:r>
            <w:r w:rsidR="00C76164" w:rsidRPr="00471C90">
              <w:rPr>
                <w:rFonts w:cs="Times New Roman"/>
                <w:szCs w:val="24"/>
                <w:lang w:val="sr-Cyrl-CS"/>
              </w:rPr>
              <w:t xml:space="preserve"> Закона </w:t>
            </w:r>
            <w:r w:rsidRPr="00471C90">
              <w:rPr>
                <w:rFonts w:cs="Times New Roman"/>
                <w:szCs w:val="24"/>
                <w:lang w:val="sr-Cyrl-CS"/>
              </w:rPr>
              <w:t>о девизном пословању</w:t>
            </w:r>
            <w:r w:rsidR="00C76164" w:rsidRPr="00471C90">
              <w:rPr>
                <w:rFonts w:cs="Times New Roman"/>
                <w:szCs w:val="24"/>
                <w:lang w:val="sr-Cyrl-CS"/>
              </w:rPr>
              <w:t xml:space="preserve"> („Службени </w:t>
            </w:r>
            <w:r w:rsidR="00C31D11" w:rsidRPr="00471C90">
              <w:rPr>
                <w:rFonts w:cs="Times New Roman"/>
                <w:szCs w:val="24"/>
                <w:lang w:val="sr-Cyrl-CS"/>
              </w:rPr>
              <w:t>гласник РС</w:t>
            </w:r>
            <w:r w:rsidR="001757D5" w:rsidRPr="00471C90">
              <w:rPr>
                <w:rFonts w:cs="Times New Roman"/>
                <w:szCs w:val="24"/>
                <w:lang w:val="sr-Cyrl-CS"/>
              </w:rPr>
              <w:t>ˮ</w:t>
            </w:r>
            <w:r w:rsidR="00C31D11" w:rsidRPr="00471C90">
              <w:rPr>
                <w:rFonts w:cs="Times New Roman"/>
                <w:szCs w:val="24"/>
                <w:lang w:val="sr-Cyrl-CS"/>
              </w:rPr>
              <w:t xml:space="preserve">, бр. 62/06, 31/11, 119/12, 139/14 </w:t>
            </w:r>
            <w:r w:rsidR="000F6386" w:rsidRPr="00471C90">
              <w:rPr>
                <w:rFonts w:cs="Times New Roman"/>
                <w:szCs w:val="24"/>
                <w:lang w:val="sr-Cyrl-CS"/>
              </w:rPr>
              <w:t>и</w:t>
            </w:r>
            <w:r w:rsidR="00C31D11" w:rsidRPr="00471C90">
              <w:rPr>
                <w:rFonts w:cs="Times New Roman"/>
                <w:szCs w:val="24"/>
                <w:lang w:val="sr-Cyrl-CS"/>
              </w:rPr>
              <w:t xml:space="preserve"> 30/18</w:t>
            </w:r>
            <w:r w:rsidR="000F6386" w:rsidRPr="00471C90">
              <w:rPr>
                <w:rFonts w:cs="Times New Roman"/>
                <w:szCs w:val="24"/>
                <w:lang w:val="sr-Cyrl-CS"/>
              </w:rPr>
              <w:t>)</w:t>
            </w:r>
            <w:r w:rsidRPr="00471C90">
              <w:rPr>
                <w:rFonts w:cs="Times New Roman"/>
                <w:szCs w:val="24"/>
                <w:lang w:val="sr-Cyrl-CS"/>
              </w:rPr>
              <w:t xml:space="preserve">, као и Законом о </w:t>
            </w:r>
            <w:r w:rsidR="00C31D11" w:rsidRPr="00471C90">
              <w:rPr>
                <w:rFonts w:cs="Times New Roman"/>
                <w:szCs w:val="24"/>
                <w:lang w:val="sr-Cyrl-CS"/>
              </w:rPr>
              <w:t xml:space="preserve">Агенцији за осигурање и финансирање извоза </w:t>
            </w:r>
            <w:r w:rsidR="00EB527D" w:rsidRPr="00471C90">
              <w:rPr>
                <w:rFonts w:cs="Times New Roman"/>
                <w:szCs w:val="24"/>
                <w:lang w:val="sr-Cyrl-CS"/>
              </w:rPr>
              <w:t>Републике Србије</w:t>
            </w:r>
            <w:r w:rsidRPr="00471C90">
              <w:rPr>
                <w:rFonts w:cs="Times New Roman"/>
                <w:szCs w:val="24"/>
                <w:lang w:val="sr-Cyrl-CS"/>
              </w:rPr>
              <w:t xml:space="preserve">, али је </w:t>
            </w:r>
            <w:r w:rsidRPr="00471C90">
              <w:rPr>
                <w:rFonts w:cs="Times New Roman"/>
                <w:szCs w:val="24"/>
                <w:lang w:val="sr-Cyrl-CS"/>
              </w:rPr>
              <w:lastRenderedPageBreak/>
              <w:t xml:space="preserve">неопходно дефинисати начин обављања таквих послова одговарајућим </w:t>
            </w:r>
            <w:r w:rsidR="005100C2" w:rsidRPr="00471C90">
              <w:rPr>
                <w:rFonts w:cs="Times New Roman"/>
                <w:szCs w:val="24"/>
                <w:lang w:val="sr-Cyrl-CS"/>
              </w:rPr>
              <w:t xml:space="preserve">законодавним </w:t>
            </w:r>
            <w:r w:rsidRPr="00471C90">
              <w:rPr>
                <w:rFonts w:cs="Times New Roman"/>
                <w:szCs w:val="24"/>
                <w:lang w:val="sr-Cyrl-CS"/>
              </w:rPr>
              <w:t>и интерним актима.</w:t>
            </w:r>
          </w:p>
        </w:tc>
      </w:tr>
    </w:tbl>
    <w:p w14:paraId="2E805751" w14:textId="77777777" w:rsidR="007D3D6C" w:rsidRPr="00471C90" w:rsidRDefault="007D3D6C" w:rsidP="00E00ADF">
      <w:pPr>
        <w:spacing w:after="0"/>
        <w:rPr>
          <w:rFonts w:eastAsiaTheme="majorEastAsia" w:cs="Times New Roman"/>
          <w:szCs w:val="24"/>
          <w:lang w:val="sr-Cyrl-CS"/>
        </w:rPr>
      </w:pPr>
    </w:p>
    <w:p w14:paraId="67D70611" w14:textId="421BB346" w:rsidR="00451BEB" w:rsidRPr="00471C90" w:rsidRDefault="00453209" w:rsidP="00442BCD">
      <w:pPr>
        <w:pStyle w:val="Heading2"/>
        <w:numPr>
          <w:ilvl w:val="0"/>
          <w:numId w:val="0"/>
        </w:numPr>
        <w:rPr>
          <w:rFonts w:cs="Times New Roman"/>
          <w:sz w:val="24"/>
          <w:szCs w:val="24"/>
          <w:lang w:val="sr-Cyrl-CS"/>
        </w:rPr>
      </w:pPr>
      <w:bookmarkStart w:id="10" w:name="_Toc86450220"/>
      <w:r w:rsidRPr="00471C90">
        <w:rPr>
          <w:rFonts w:cs="Times New Roman"/>
          <w:sz w:val="24"/>
          <w:szCs w:val="24"/>
          <w:lang w:val="sr-Cyrl-CS"/>
        </w:rPr>
        <w:t>7</w:t>
      </w:r>
      <w:r w:rsidR="00442BCD" w:rsidRPr="00471C90">
        <w:rPr>
          <w:rFonts w:cs="Times New Roman"/>
          <w:sz w:val="24"/>
          <w:szCs w:val="24"/>
          <w:lang w:val="sr-Cyrl-CS"/>
        </w:rPr>
        <w:t xml:space="preserve">.2  </w:t>
      </w:r>
      <w:r w:rsidR="008B5EB8" w:rsidRPr="00471C90">
        <w:rPr>
          <w:rFonts w:cs="Times New Roman"/>
          <w:sz w:val="24"/>
          <w:szCs w:val="24"/>
          <w:lang w:val="sr-Cyrl-CS"/>
        </w:rPr>
        <w:t>Мере за други посебни циљ</w:t>
      </w:r>
      <w:bookmarkEnd w:id="10"/>
    </w:p>
    <w:tbl>
      <w:tblPr>
        <w:tblStyle w:val="TableGrid"/>
        <w:tblW w:w="0" w:type="auto"/>
        <w:tblLook w:val="04A0" w:firstRow="1" w:lastRow="0" w:firstColumn="1" w:lastColumn="0" w:noHBand="0" w:noVBand="1"/>
      </w:tblPr>
      <w:tblGrid>
        <w:gridCol w:w="9062"/>
      </w:tblGrid>
      <w:tr w:rsidR="00D01BE7" w:rsidRPr="00471C90" w14:paraId="1F083B48" w14:textId="77777777" w:rsidTr="001E7736">
        <w:tc>
          <w:tcPr>
            <w:tcW w:w="9062" w:type="dxa"/>
            <w:shd w:val="clear" w:color="auto" w:fill="FFE600"/>
            <w:vAlign w:val="center"/>
          </w:tcPr>
          <w:p w14:paraId="1040BFBC" w14:textId="6D56741A" w:rsidR="00D01BE7" w:rsidRPr="00471C90" w:rsidRDefault="008B5EB8" w:rsidP="001E7736">
            <w:pPr>
              <w:rPr>
                <w:rFonts w:cs="Times New Roman"/>
                <w:bCs/>
                <w:szCs w:val="24"/>
                <w:lang w:val="sr-Cyrl-CS"/>
              </w:rPr>
            </w:pPr>
            <w:r w:rsidRPr="00471C90">
              <w:rPr>
                <w:rFonts w:cs="Times New Roman"/>
                <w:bCs/>
                <w:szCs w:val="24"/>
                <w:lang w:val="sr-Cyrl-CS"/>
              </w:rPr>
              <w:t>Мера 1: Спољна ревизија</w:t>
            </w:r>
          </w:p>
        </w:tc>
      </w:tr>
      <w:tr w:rsidR="00D01BE7" w:rsidRPr="00471C90" w14:paraId="68D5CB44" w14:textId="77777777" w:rsidTr="001E7736">
        <w:trPr>
          <w:trHeight w:val="270"/>
        </w:trPr>
        <w:tc>
          <w:tcPr>
            <w:tcW w:w="9062" w:type="dxa"/>
            <w:shd w:val="clear" w:color="auto" w:fill="FFFBD5"/>
            <w:vAlign w:val="center"/>
          </w:tcPr>
          <w:p w14:paraId="19D70489" w14:textId="321AD9E8" w:rsidR="00D01BE7" w:rsidRPr="00471C90" w:rsidRDefault="008B5EB8" w:rsidP="001E7736">
            <w:pPr>
              <w:rPr>
                <w:rFonts w:cs="Times New Roman"/>
                <w:szCs w:val="24"/>
                <w:lang w:val="sr-Cyrl-CS"/>
              </w:rPr>
            </w:pPr>
            <w:r w:rsidRPr="00471C90">
              <w:rPr>
                <w:rFonts w:cs="Times New Roman"/>
                <w:bCs/>
                <w:i/>
                <w:iCs/>
                <w:szCs w:val="24"/>
                <w:lang w:val="sr-Cyrl-CS"/>
              </w:rPr>
              <w:t>Врста мере</w:t>
            </w:r>
            <w:r w:rsidR="00D01BE7" w:rsidRPr="00471C90">
              <w:rPr>
                <w:rFonts w:cs="Times New Roman"/>
                <w:bCs/>
                <w:i/>
                <w:iCs/>
                <w:szCs w:val="24"/>
                <w:lang w:val="sr-Cyrl-CS"/>
              </w:rPr>
              <w:t>:</w:t>
            </w:r>
          </w:p>
        </w:tc>
      </w:tr>
      <w:tr w:rsidR="00D01BE7" w:rsidRPr="00471C90" w14:paraId="7DDC5B71" w14:textId="77777777" w:rsidTr="001E7736">
        <w:trPr>
          <w:trHeight w:val="270"/>
        </w:trPr>
        <w:tc>
          <w:tcPr>
            <w:tcW w:w="9062" w:type="dxa"/>
            <w:shd w:val="clear" w:color="auto" w:fill="auto"/>
            <w:vAlign w:val="center"/>
          </w:tcPr>
          <w:p w14:paraId="6CE3E530" w14:textId="5D6AA20F" w:rsidR="00D01BE7" w:rsidRPr="00471C90" w:rsidRDefault="008B5EB8" w:rsidP="001E7736">
            <w:pPr>
              <w:rPr>
                <w:rFonts w:cs="Times New Roman"/>
                <w:szCs w:val="24"/>
                <w:lang w:val="sr-Cyrl-CS"/>
              </w:rPr>
            </w:pPr>
            <w:r w:rsidRPr="00471C90">
              <w:rPr>
                <w:rFonts w:cs="Times New Roman"/>
                <w:szCs w:val="24"/>
                <w:lang w:val="sr-Cyrl-CS"/>
              </w:rPr>
              <w:t>институционално управљачко организациона</w:t>
            </w:r>
          </w:p>
        </w:tc>
      </w:tr>
      <w:tr w:rsidR="00D01BE7" w:rsidRPr="00471C90" w14:paraId="4EA83E15" w14:textId="77777777" w:rsidTr="001E7736">
        <w:tc>
          <w:tcPr>
            <w:tcW w:w="9062" w:type="dxa"/>
            <w:shd w:val="clear" w:color="auto" w:fill="FFFBD5"/>
            <w:vAlign w:val="center"/>
          </w:tcPr>
          <w:p w14:paraId="09AD0BBE" w14:textId="2297EBAE" w:rsidR="00D01BE7" w:rsidRPr="00471C90" w:rsidRDefault="008B5EB8" w:rsidP="001E7736">
            <w:pPr>
              <w:rPr>
                <w:rFonts w:cs="Times New Roman"/>
                <w:szCs w:val="24"/>
                <w:lang w:val="sr-Cyrl-CS"/>
              </w:rPr>
            </w:pPr>
            <w:r w:rsidRPr="00471C90">
              <w:rPr>
                <w:rFonts w:cs="Times New Roman"/>
                <w:bCs/>
                <w:i/>
                <w:iCs/>
                <w:szCs w:val="24"/>
                <w:lang w:val="sr-Cyrl-CS"/>
              </w:rPr>
              <w:t>Рок за примену</w:t>
            </w:r>
            <w:r w:rsidR="00D01BE7" w:rsidRPr="00471C90">
              <w:rPr>
                <w:rFonts w:cs="Times New Roman"/>
                <w:bCs/>
                <w:i/>
                <w:iCs/>
                <w:szCs w:val="24"/>
                <w:lang w:val="sr-Cyrl-CS"/>
              </w:rPr>
              <w:t>:</w:t>
            </w:r>
          </w:p>
        </w:tc>
      </w:tr>
      <w:tr w:rsidR="00D01BE7" w:rsidRPr="00471C90" w14:paraId="08B2C943" w14:textId="77777777" w:rsidTr="001E7736">
        <w:tc>
          <w:tcPr>
            <w:tcW w:w="9062" w:type="dxa"/>
            <w:vAlign w:val="center"/>
          </w:tcPr>
          <w:p w14:paraId="27627F1A" w14:textId="34823546" w:rsidR="00D01BE7" w:rsidRPr="00471C90" w:rsidRDefault="00453209" w:rsidP="00453209">
            <w:pPr>
              <w:rPr>
                <w:rFonts w:cs="Times New Roman"/>
                <w:szCs w:val="24"/>
                <w:lang w:val="sr-Cyrl-CS"/>
              </w:rPr>
            </w:pPr>
            <w:r w:rsidRPr="00471C90">
              <w:rPr>
                <w:rFonts w:cs="Times New Roman"/>
                <w:szCs w:val="24"/>
                <w:lang w:val="sr-Cyrl-CS"/>
              </w:rPr>
              <w:t>1</w:t>
            </w:r>
            <w:r w:rsidR="00D01BE7" w:rsidRPr="00471C90">
              <w:rPr>
                <w:rFonts w:cs="Times New Roman"/>
                <w:szCs w:val="24"/>
                <w:lang w:val="sr-Cyrl-CS"/>
              </w:rPr>
              <w:t xml:space="preserve">. </w:t>
            </w:r>
            <w:r w:rsidR="008B5EB8" w:rsidRPr="00471C90">
              <w:rPr>
                <w:rFonts w:cs="Times New Roman"/>
                <w:szCs w:val="24"/>
                <w:lang w:val="sr-Cyrl-CS"/>
              </w:rPr>
              <w:t>квартал</w:t>
            </w:r>
            <w:r w:rsidR="00D01BE7" w:rsidRPr="00471C90">
              <w:rPr>
                <w:rFonts w:cs="Times New Roman"/>
                <w:szCs w:val="24"/>
                <w:lang w:val="sr-Cyrl-CS"/>
              </w:rPr>
              <w:t xml:space="preserve"> </w:t>
            </w:r>
            <w:r w:rsidRPr="00471C90">
              <w:rPr>
                <w:rFonts w:cs="Times New Roman"/>
                <w:szCs w:val="24"/>
                <w:lang w:val="sr-Cyrl-CS"/>
              </w:rPr>
              <w:t>2023</w:t>
            </w:r>
            <w:r w:rsidR="00D01BE7" w:rsidRPr="00471C90">
              <w:rPr>
                <w:rFonts w:cs="Times New Roman"/>
                <w:szCs w:val="24"/>
                <w:lang w:val="sr-Cyrl-CS"/>
              </w:rPr>
              <w:t xml:space="preserve">. </w:t>
            </w:r>
            <w:r w:rsidR="008B5EB8" w:rsidRPr="00471C90">
              <w:rPr>
                <w:rFonts w:cs="Times New Roman"/>
                <w:szCs w:val="24"/>
                <w:lang w:val="sr-Cyrl-CS"/>
              </w:rPr>
              <w:t>године</w:t>
            </w:r>
          </w:p>
        </w:tc>
      </w:tr>
      <w:tr w:rsidR="00C83B54" w:rsidRPr="00471C90" w14:paraId="1CF0F5B6" w14:textId="77777777" w:rsidTr="001E7736">
        <w:tc>
          <w:tcPr>
            <w:tcW w:w="9062" w:type="dxa"/>
            <w:shd w:val="clear" w:color="auto" w:fill="FFFBD5"/>
            <w:vAlign w:val="center"/>
          </w:tcPr>
          <w:p w14:paraId="4DDFC763" w14:textId="774A6FE7" w:rsidR="00C83B54" w:rsidRPr="00471C90" w:rsidRDefault="00C83B54" w:rsidP="00C83B54">
            <w:pPr>
              <w:rPr>
                <w:rFonts w:cs="Times New Roman"/>
                <w:bCs/>
                <w:i/>
                <w:iCs/>
                <w:szCs w:val="24"/>
                <w:lang w:val="sr-Cyrl-CS"/>
              </w:rPr>
            </w:pPr>
            <w:r w:rsidRPr="00471C90">
              <w:rPr>
                <w:rFonts w:cs="Times New Roman"/>
                <w:bCs/>
                <w:i/>
                <w:iCs/>
                <w:szCs w:val="24"/>
                <w:lang w:val="sr-Cyrl-CS"/>
              </w:rPr>
              <w:t>Показатељи учинка:</w:t>
            </w:r>
          </w:p>
        </w:tc>
      </w:tr>
      <w:tr w:rsidR="00D01BE7" w:rsidRPr="00471C90" w14:paraId="53316E0D" w14:textId="77777777" w:rsidTr="001E7736">
        <w:tc>
          <w:tcPr>
            <w:tcW w:w="9062" w:type="dxa"/>
            <w:vAlign w:val="center"/>
          </w:tcPr>
          <w:p w14:paraId="630F0B4D" w14:textId="14DFA75B" w:rsidR="00D01BE7" w:rsidRPr="00471C90" w:rsidRDefault="00E22130" w:rsidP="001E7736">
            <w:pPr>
              <w:rPr>
                <w:rFonts w:cs="Times New Roman"/>
                <w:szCs w:val="24"/>
                <w:lang w:val="sr-Cyrl-CS"/>
              </w:rPr>
            </w:pPr>
            <w:r w:rsidRPr="00471C90">
              <w:rPr>
                <w:rFonts w:cs="Times New Roman"/>
                <w:szCs w:val="24"/>
                <w:lang w:val="sr-Cyrl-CS"/>
              </w:rPr>
              <w:t xml:space="preserve">1) </w:t>
            </w:r>
            <w:r w:rsidR="00034BE6" w:rsidRPr="00471C90">
              <w:rPr>
                <w:rFonts w:cs="Times New Roman"/>
                <w:szCs w:val="24"/>
                <w:lang w:val="sr-Cyrl-CS"/>
              </w:rPr>
              <w:t>Успостављени критеријуми за избор спољног ревизора</w:t>
            </w:r>
          </w:p>
        </w:tc>
      </w:tr>
      <w:tr w:rsidR="00D01BE7" w:rsidRPr="00471C90" w14:paraId="0400BDCA" w14:textId="77777777" w:rsidTr="001E7736">
        <w:tc>
          <w:tcPr>
            <w:tcW w:w="9062" w:type="dxa"/>
            <w:shd w:val="clear" w:color="auto" w:fill="FFFBD5"/>
            <w:vAlign w:val="center"/>
          </w:tcPr>
          <w:p w14:paraId="2A57C3D6" w14:textId="75F5AA54" w:rsidR="00D01BE7" w:rsidRPr="00471C90" w:rsidRDefault="00034BE6" w:rsidP="001E7736">
            <w:pPr>
              <w:rPr>
                <w:rFonts w:cs="Times New Roman"/>
                <w:szCs w:val="24"/>
                <w:lang w:val="sr-Cyrl-CS"/>
              </w:rPr>
            </w:pPr>
            <w:r w:rsidRPr="00471C90">
              <w:rPr>
                <w:rFonts w:cs="Times New Roman"/>
                <w:bCs/>
                <w:i/>
                <w:iCs/>
                <w:szCs w:val="24"/>
                <w:lang w:val="sr-Cyrl-CS"/>
              </w:rPr>
              <w:t>Надлежна институција</w:t>
            </w:r>
            <w:r w:rsidR="00D01BE7" w:rsidRPr="00471C90">
              <w:rPr>
                <w:rFonts w:cs="Times New Roman"/>
                <w:bCs/>
                <w:i/>
                <w:iCs/>
                <w:szCs w:val="24"/>
                <w:lang w:val="sr-Cyrl-CS"/>
              </w:rPr>
              <w:t>:</w:t>
            </w:r>
          </w:p>
        </w:tc>
      </w:tr>
      <w:tr w:rsidR="00D01BE7" w:rsidRPr="00471C90" w14:paraId="0EA5DBDD" w14:textId="77777777" w:rsidTr="001E7736">
        <w:tc>
          <w:tcPr>
            <w:tcW w:w="9062" w:type="dxa"/>
            <w:vAlign w:val="center"/>
          </w:tcPr>
          <w:p w14:paraId="2B7DA814" w14:textId="2D9B928A" w:rsidR="00D01BE7" w:rsidRPr="00471C90" w:rsidRDefault="00034BE6" w:rsidP="001E7736">
            <w:pPr>
              <w:rPr>
                <w:rFonts w:cs="Times New Roman"/>
                <w:szCs w:val="24"/>
                <w:lang w:val="sr-Cyrl-CS"/>
              </w:rPr>
            </w:pPr>
            <w:r w:rsidRPr="00471C90">
              <w:rPr>
                <w:rFonts w:cs="Times New Roman"/>
                <w:szCs w:val="24"/>
                <w:lang w:val="sr-Cyrl-CS"/>
              </w:rPr>
              <w:t>Фонд за развој</w:t>
            </w:r>
            <w:r w:rsidR="007C7E6D" w:rsidRPr="00471C90">
              <w:rPr>
                <w:rFonts w:cs="Times New Roman"/>
                <w:szCs w:val="24"/>
                <w:lang w:val="sr-Cyrl-CS"/>
              </w:rPr>
              <w:t xml:space="preserve">; </w:t>
            </w:r>
            <w:r w:rsidRPr="00471C90">
              <w:rPr>
                <w:rFonts w:cs="Times New Roman"/>
                <w:szCs w:val="24"/>
                <w:lang w:val="sr-Cyrl-CS"/>
              </w:rPr>
              <w:t>АОФИ</w:t>
            </w:r>
          </w:p>
        </w:tc>
      </w:tr>
      <w:tr w:rsidR="00D01BE7" w:rsidRPr="00471C90" w14:paraId="202745BB" w14:textId="77777777" w:rsidTr="001E7736">
        <w:tc>
          <w:tcPr>
            <w:tcW w:w="9062" w:type="dxa"/>
            <w:shd w:val="clear" w:color="auto" w:fill="FFFBD5"/>
            <w:vAlign w:val="center"/>
          </w:tcPr>
          <w:p w14:paraId="0BF06389" w14:textId="5B272107" w:rsidR="00D01BE7" w:rsidRPr="00471C90" w:rsidRDefault="00034BE6" w:rsidP="001E7736">
            <w:pPr>
              <w:rPr>
                <w:rFonts w:cs="Times New Roman"/>
                <w:bCs/>
                <w:i/>
                <w:iCs/>
                <w:szCs w:val="24"/>
                <w:lang w:val="sr-Cyrl-CS"/>
              </w:rPr>
            </w:pPr>
            <w:r w:rsidRPr="00471C90">
              <w:rPr>
                <w:rFonts w:cs="Times New Roman"/>
                <w:bCs/>
                <w:i/>
                <w:iCs/>
                <w:szCs w:val="24"/>
                <w:lang w:val="sr-Cyrl-CS"/>
              </w:rPr>
              <w:t>Опис</w:t>
            </w:r>
            <w:r w:rsidR="00D01BE7" w:rsidRPr="00471C90">
              <w:rPr>
                <w:rFonts w:cs="Times New Roman"/>
                <w:bCs/>
                <w:i/>
                <w:iCs/>
                <w:szCs w:val="24"/>
                <w:lang w:val="sr-Cyrl-CS"/>
              </w:rPr>
              <w:t>:</w:t>
            </w:r>
          </w:p>
        </w:tc>
      </w:tr>
      <w:tr w:rsidR="00D01BE7" w:rsidRPr="00471C90" w14:paraId="3C380EE9" w14:textId="77777777" w:rsidTr="001E7736">
        <w:tc>
          <w:tcPr>
            <w:tcW w:w="9062" w:type="dxa"/>
            <w:tcBorders>
              <w:bottom w:val="single" w:sz="4" w:space="0" w:color="auto"/>
            </w:tcBorders>
            <w:vAlign w:val="center"/>
          </w:tcPr>
          <w:p w14:paraId="1DAACAF0" w14:textId="46026829" w:rsidR="00D01BE7" w:rsidRPr="00471C90" w:rsidRDefault="00034BE6" w:rsidP="00C76164">
            <w:pPr>
              <w:spacing w:after="120"/>
              <w:jc w:val="both"/>
              <w:rPr>
                <w:rFonts w:cs="Times New Roman"/>
                <w:szCs w:val="24"/>
                <w:lang w:val="sr-Cyrl-CS"/>
              </w:rPr>
            </w:pPr>
            <w:r w:rsidRPr="00471C90">
              <w:rPr>
                <w:rFonts w:cs="Times New Roman"/>
                <w:szCs w:val="24"/>
                <w:lang w:val="sr-Cyrl-CS"/>
              </w:rPr>
              <w:t xml:space="preserve">За спровођење годишње ревизије финансијских извештаја, развојне финансијске институције ангажују </w:t>
            </w:r>
            <w:r w:rsidR="00F7056E" w:rsidRPr="00471C90">
              <w:rPr>
                <w:rFonts w:cs="Times New Roman"/>
                <w:szCs w:val="24"/>
                <w:lang w:val="sr-Cyrl-CS"/>
              </w:rPr>
              <w:t xml:space="preserve">спољне </w:t>
            </w:r>
            <w:r w:rsidRPr="00471C90">
              <w:rPr>
                <w:rFonts w:cs="Times New Roman"/>
                <w:szCs w:val="24"/>
                <w:lang w:val="sr-Cyrl-CS"/>
              </w:rPr>
              <w:t xml:space="preserve">ревизоре који су регистровани у Комори овлашћених ревизора. Поред тога, </w:t>
            </w:r>
            <w:r w:rsidR="00F7056E" w:rsidRPr="00471C90">
              <w:rPr>
                <w:rFonts w:cs="Times New Roman"/>
                <w:szCs w:val="24"/>
                <w:lang w:val="sr-Cyrl-CS"/>
              </w:rPr>
              <w:t>уводи се</w:t>
            </w:r>
            <w:r w:rsidRPr="00471C90">
              <w:rPr>
                <w:rFonts w:cs="Times New Roman"/>
                <w:szCs w:val="24"/>
                <w:lang w:val="sr-Cyrl-CS"/>
              </w:rPr>
              <w:t xml:space="preserve"> захтев да спољни ревизор треба да испуни критеријуме Одлуке о спољној ревизији банака</w:t>
            </w:r>
            <w:r w:rsidR="00C31D11" w:rsidRPr="00471C90">
              <w:rPr>
                <w:rFonts w:cs="Times New Roman"/>
                <w:szCs w:val="24"/>
                <w:lang w:val="sr-Cyrl-CS"/>
              </w:rPr>
              <w:t xml:space="preserve"> </w:t>
            </w:r>
            <w:r w:rsidR="003060E1" w:rsidRPr="00471C90">
              <w:rPr>
                <w:rFonts w:cs="Times New Roman"/>
                <w:szCs w:val="24"/>
                <w:lang w:val="sr-Cyrl-CS"/>
              </w:rPr>
              <w:t>(</w:t>
            </w:r>
            <w:r w:rsidR="001757D5" w:rsidRPr="00471C90">
              <w:rPr>
                <w:rFonts w:cs="Times New Roman"/>
                <w:szCs w:val="24"/>
                <w:lang w:val="sr-Cyrl-CS"/>
              </w:rPr>
              <w:t>„</w:t>
            </w:r>
            <w:r w:rsidR="00C31D11" w:rsidRPr="00471C90">
              <w:rPr>
                <w:rFonts w:cs="Times New Roman"/>
                <w:szCs w:val="24"/>
                <w:lang w:val="sr-Cyrl-CS"/>
              </w:rPr>
              <w:t>Службени гласник РС</w:t>
            </w:r>
            <w:r w:rsidR="001757D5" w:rsidRPr="00471C90">
              <w:rPr>
                <w:rFonts w:cs="Times New Roman"/>
                <w:szCs w:val="24"/>
                <w:lang w:val="sr-Cyrl-CS"/>
              </w:rPr>
              <w:t>ˮ</w:t>
            </w:r>
            <w:r w:rsidR="00C31D11" w:rsidRPr="00471C90">
              <w:rPr>
                <w:rFonts w:cs="Times New Roman"/>
                <w:szCs w:val="24"/>
                <w:lang w:val="sr-Cyrl-CS"/>
              </w:rPr>
              <w:t>, бр. 41/07, 59/08, 67/12 и 18/15</w:t>
            </w:r>
            <w:r w:rsidR="003060E1" w:rsidRPr="00471C90">
              <w:rPr>
                <w:rFonts w:cs="Times New Roman"/>
                <w:szCs w:val="24"/>
                <w:lang w:val="sr-Cyrl-CS"/>
              </w:rPr>
              <w:t>)</w:t>
            </w:r>
            <w:r w:rsidRPr="00471C90">
              <w:rPr>
                <w:rFonts w:cs="Times New Roman"/>
                <w:szCs w:val="24"/>
                <w:lang w:val="sr-Cyrl-CS"/>
              </w:rPr>
              <w:t xml:space="preserve">, које је дефинисала Народна банка Србије, с обзиром на сличну природу ових институција. </w:t>
            </w:r>
            <w:r w:rsidR="00471C90">
              <w:rPr>
                <w:rFonts w:cs="Times New Roman"/>
                <w:szCs w:val="24"/>
                <w:lang w:val="sr-Cyrl-CS"/>
              </w:rPr>
              <w:t>Спољ</w:t>
            </w:r>
            <w:r w:rsidR="00471C90">
              <w:rPr>
                <w:rFonts w:cs="Times New Roman"/>
                <w:szCs w:val="24"/>
                <w:lang w:val="sr-Cyrl-RS"/>
              </w:rPr>
              <w:t>њ</w:t>
            </w:r>
            <w:r w:rsidR="00C76164" w:rsidRPr="00471C90">
              <w:rPr>
                <w:rFonts w:cs="Times New Roman"/>
                <w:szCs w:val="24"/>
                <w:lang w:val="sr-Cyrl-CS"/>
              </w:rPr>
              <w:t xml:space="preserve">ег </w:t>
            </w:r>
            <w:r w:rsidRPr="00471C90">
              <w:rPr>
                <w:rFonts w:cs="Times New Roman"/>
                <w:szCs w:val="24"/>
                <w:lang w:val="sr-Cyrl-CS"/>
              </w:rPr>
              <w:t xml:space="preserve">ревизора треба да предложи </w:t>
            </w:r>
            <w:r w:rsidR="00C76164" w:rsidRPr="00471C90">
              <w:rPr>
                <w:rFonts w:cs="Times New Roman"/>
                <w:szCs w:val="24"/>
                <w:lang w:val="sr-Cyrl-CS"/>
              </w:rPr>
              <w:t xml:space="preserve">комисија </w:t>
            </w:r>
            <w:r w:rsidRPr="00471C90">
              <w:rPr>
                <w:rFonts w:cs="Times New Roman"/>
                <w:szCs w:val="24"/>
                <w:lang w:val="sr-Cyrl-CS"/>
              </w:rPr>
              <w:t xml:space="preserve">за ревизију, а да га одабере </w:t>
            </w:r>
            <w:r w:rsidR="00C76164" w:rsidRPr="00471C90">
              <w:rPr>
                <w:rFonts w:cs="Times New Roman"/>
                <w:szCs w:val="24"/>
                <w:lang w:val="sr-Cyrl-CS"/>
              </w:rPr>
              <w:t xml:space="preserve">скупштина </w:t>
            </w:r>
            <w:r w:rsidRPr="00471C90">
              <w:rPr>
                <w:rFonts w:cs="Times New Roman"/>
                <w:szCs w:val="24"/>
                <w:lang w:val="sr-Cyrl-CS"/>
              </w:rPr>
              <w:t>акционара.</w:t>
            </w:r>
          </w:p>
        </w:tc>
      </w:tr>
    </w:tbl>
    <w:p w14:paraId="13848DCA" w14:textId="54EFB774" w:rsidR="00451BEB" w:rsidRPr="00471C90" w:rsidRDefault="00451BEB" w:rsidP="00E00ADF">
      <w:pPr>
        <w:spacing w:after="0"/>
        <w:rPr>
          <w:rFonts w:cs="Times New Roman"/>
          <w:szCs w:val="24"/>
          <w:lang w:val="sr-Cyrl-CS"/>
        </w:rPr>
      </w:pPr>
    </w:p>
    <w:tbl>
      <w:tblPr>
        <w:tblStyle w:val="TableGrid"/>
        <w:tblW w:w="0" w:type="auto"/>
        <w:tblLook w:val="04A0" w:firstRow="1" w:lastRow="0" w:firstColumn="1" w:lastColumn="0" w:noHBand="0" w:noVBand="1"/>
      </w:tblPr>
      <w:tblGrid>
        <w:gridCol w:w="9062"/>
      </w:tblGrid>
      <w:tr w:rsidR="0064703E" w:rsidRPr="00471C90" w14:paraId="7FB3CB45" w14:textId="77777777" w:rsidTr="001E7736">
        <w:tc>
          <w:tcPr>
            <w:tcW w:w="9062" w:type="dxa"/>
            <w:shd w:val="clear" w:color="auto" w:fill="FFE600"/>
            <w:vAlign w:val="center"/>
          </w:tcPr>
          <w:p w14:paraId="572D4B6F" w14:textId="3483D94F" w:rsidR="0064703E" w:rsidRPr="00471C90" w:rsidRDefault="00034BE6" w:rsidP="001E7736">
            <w:pPr>
              <w:rPr>
                <w:rFonts w:cs="Times New Roman"/>
                <w:bCs/>
                <w:szCs w:val="24"/>
                <w:lang w:val="sr-Cyrl-CS"/>
              </w:rPr>
            </w:pPr>
            <w:r w:rsidRPr="00471C90">
              <w:rPr>
                <w:rFonts w:cs="Times New Roman"/>
                <w:bCs/>
                <w:szCs w:val="24"/>
                <w:lang w:val="sr-Cyrl-CS"/>
              </w:rPr>
              <w:t>Мера 2: Побољшање управљања перформансама</w:t>
            </w:r>
          </w:p>
        </w:tc>
      </w:tr>
      <w:tr w:rsidR="0064703E" w:rsidRPr="00471C90" w14:paraId="5E99716B" w14:textId="77777777" w:rsidTr="001E7736">
        <w:trPr>
          <w:trHeight w:val="270"/>
        </w:trPr>
        <w:tc>
          <w:tcPr>
            <w:tcW w:w="9062" w:type="dxa"/>
            <w:shd w:val="clear" w:color="auto" w:fill="FFFBD5"/>
            <w:vAlign w:val="center"/>
          </w:tcPr>
          <w:p w14:paraId="2F8A1020" w14:textId="4CCC11AF" w:rsidR="0064703E" w:rsidRPr="00471C90" w:rsidRDefault="00034BE6" w:rsidP="001E7736">
            <w:pPr>
              <w:rPr>
                <w:rFonts w:cs="Times New Roman"/>
                <w:szCs w:val="24"/>
                <w:lang w:val="sr-Cyrl-CS"/>
              </w:rPr>
            </w:pPr>
            <w:r w:rsidRPr="00471C90">
              <w:rPr>
                <w:rFonts w:cs="Times New Roman"/>
                <w:bCs/>
                <w:i/>
                <w:iCs/>
                <w:szCs w:val="24"/>
                <w:lang w:val="sr-Cyrl-CS"/>
              </w:rPr>
              <w:t>Врста мере</w:t>
            </w:r>
            <w:r w:rsidR="0064703E" w:rsidRPr="00471C90">
              <w:rPr>
                <w:rFonts w:cs="Times New Roman"/>
                <w:bCs/>
                <w:i/>
                <w:iCs/>
                <w:szCs w:val="24"/>
                <w:lang w:val="sr-Cyrl-CS"/>
              </w:rPr>
              <w:t>:</w:t>
            </w:r>
          </w:p>
        </w:tc>
      </w:tr>
      <w:tr w:rsidR="0064703E" w:rsidRPr="00471C90" w14:paraId="1BF94C37" w14:textId="77777777" w:rsidTr="001E7736">
        <w:trPr>
          <w:trHeight w:val="270"/>
        </w:trPr>
        <w:tc>
          <w:tcPr>
            <w:tcW w:w="9062" w:type="dxa"/>
            <w:shd w:val="clear" w:color="auto" w:fill="auto"/>
            <w:vAlign w:val="center"/>
          </w:tcPr>
          <w:p w14:paraId="3FA0EEE3" w14:textId="7948DAB7" w:rsidR="0064703E" w:rsidRPr="00471C90" w:rsidRDefault="00034BE6" w:rsidP="001E7736">
            <w:pPr>
              <w:rPr>
                <w:rFonts w:cs="Times New Roman"/>
                <w:szCs w:val="24"/>
                <w:lang w:val="sr-Cyrl-CS"/>
              </w:rPr>
            </w:pPr>
            <w:r w:rsidRPr="00471C90">
              <w:rPr>
                <w:rFonts w:cs="Times New Roman"/>
                <w:szCs w:val="24"/>
                <w:lang w:val="sr-Cyrl-CS"/>
              </w:rPr>
              <w:t>институционално управљачко организациона</w:t>
            </w:r>
          </w:p>
        </w:tc>
      </w:tr>
      <w:tr w:rsidR="0064703E" w:rsidRPr="00471C90" w14:paraId="4652A7ED" w14:textId="77777777" w:rsidTr="001E7736">
        <w:tc>
          <w:tcPr>
            <w:tcW w:w="9062" w:type="dxa"/>
            <w:shd w:val="clear" w:color="auto" w:fill="FFFBD5"/>
            <w:vAlign w:val="center"/>
          </w:tcPr>
          <w:p w14:paraId="45ED93FA" w14:textId="3D27F83A" w:rsidR="0064703E" w:rsidRPr="00471C90" w:rsidRDefault="00034BE6" w:rsidP="001E7736">
            <w:pPr>
              <w:rPr>
                <w:rFonts w:cs="Times New Roman"/>
                <w:szCs w:val="24"/>
                <w:lang w:val="sr-Cyrl-CS"/>
              </w:rPr>
            </w:pPr>
            <w:r w:rsidRPr="00471C90">
              <w:rPr>
                <w:rFonts w:cs="Times New Roman"/>
                <w:bCs/>
                <w:i/>
                <w:iCs/>
                <w:szCs w:val="24"/>
                <w:lang w:val="sr-Cyrl-CS"/>
              </w:rPr>
              <w:t>Рок за примену</w:t>
            </w:r>
            <w:r w:rsidR="0064703E" w:rsidRPr="00471C90">
              <w:rPr>
                <w:rFonts w:cs="Times New Roman"/>
                <w:bCs/>
                <w:i/>
                <w:iCs/>
                <w:szCs w:val="24"/>
                <w:lang w:val="sr-Cyrl-CS"/>
              </w:rPr>
              <w:t>:</w:t>
            </w:r>
          </w:p>
        </w:tc>
      </w:tr>
      <w:tr w:rsidR="0064703E" w:rsidRPr="00471C90" w14:paraId="7CB2A886" w14:textId="77777777" w:rsidTr="001E7736">
        <w:tc>
          <w:tcPr>
            <w:tcW w:w="9062" w:type="dxa"/>
            <w:vAlign w:val="center"/>
          </w:tcPr>
          <w:p w14:paraId="6C00FB39" w14:textId="1DB4D026" w:rsidR="0064703E" w:rsidRPr="00471C90" w:rsidRDefault="00453209" w:rsidP="00453209">
            <w:pPr>
              <w:rPr>
                <w:rFonts w:cs="Times New Roman"/>
                <w:szCs w:val="24"/>
                <w:lang w:val="sr-Cyrl-CS"/>
              </w:rPr>
            </w:pPr>
            <w:r w:rsidRPr="00471C90">
              <w:rPr>
                <w:rFonts w:cs="Times New Roman"/>
                <w:szCs w:val="24"/>
                <w:lang w:val="sr-Cyrl-CS"/>
              </w:rPr>
              <w:t>1</w:t>
            </w:r>
            <w:r w:rsidR="0064703E" w:rsidRPr="00471C90">
              <w:rPr>
                <w:rFonts w:cs="Times New Roman"/>
                <w:szCs w:val="24"/>
                <w:lang w:val="sr-Cyrl-CS"/>
              </w:rPr>
              <w:t xml:space="preserve">. </w:t>
            </w:r>
            <w:r w:rsidR="00034BE6" w:rsidRPr="00471C90">
              <w:rPr>
                <w:rFonts w:cs="Times New Roman"/>
                <w:szCs w:val="24"/>
                <w:lang w:val="sr-Cyrl-CS"/>
              </w:rPr>
              <w:t>квартал</w:t>
            </w:r>
            <w:r w:rsidR="0064703E" w:rsidRPr="00471C90">
              <w:rPr>
                <w:rFonts w:cs="Times New Roman"/>
                <w:szCs w:val="24"/>
                <w:lang w:val="sr-Cyrl-CS"/>
              </w:rPr>
              <w:t xml:space="preserve"> </w:t>
            </w:r>
            <w:r w:rsidRPr="00471C90">
              <w:rPr>
                <w:rFonts w:cs="Times New Roman"/>
                <w:szCs w:val="24"/>
                <w:lang w:val="sr-Cyrl-CS"/>
              </w:rPr>
              <w:t>2023</w:t>
            </w:r>
            <w:r w:rsidR="0064703E" w:rsidRPr="00471C90">
              <w:rPr>
                <w:rFonts w:cs="Times New Roman"/>
                <w:szCs w:val="24"/>
                <w:lang w:val="sr-Cyrl-CS"/>
              </w:rPr>
              <w:t xml:space="preserve">. </w:t>
            </w:r>
            <w:r w:rsidR="00034BE6" w:rsidRPr="00471C90">
              <w:rPr>
                <w:rFonts w:cs="Times New Roman"/>
                <w:szCs w:val="24"/>
                <w:lang w:val="sr-Cyrl-CS"/>
              </w:rPr>
              <w:t>године</w:t>
            </w:r>
          </w:p>
        </w:tc>
      </w:tr>
      <w:tr w:rsidR="00C83B54" w:rsidRPr="00471C90" w14:paraId="03737322" w14:textId="77777777" w:rsidTr="001E7736">
        <w:tc>
          <w:tcPr>
            <w:tcW w:w="9062" w:type="dxa"/>
            <w:shd w:val="clear" w:color="auto" w:fill="FFFBD5"/>
            <w:vAlign w:val="center"/>
          </w:tcPr>
          <w:p w14:paraId="6CF80F64" w14:textId="1939B57F" w:rsidR="00C83B54" w:rsidRPr="00471C90" w:rsidRDefault="00C83B54" w:rsidP="00C83B54">
            <w:pPr>
              <w:rPr>
                <w:rFonts w:cs="Times New Roman"/>
                <w:bCs/>
                <w:i/>
                <w:iCs/>
                <w:szCs w:val="24"/>
                <w:lang w:val="sr-Cyrl-CS"/>
              </w:rPr>
            </w:pPr>
            <w:r w:rsidRPr="00471C90">
              <w:rPr>
                <w:rFonts w:cs="Times New Roman"/>
                <w:bCs/>
                <w:i/>
                <w:iCs/>
                <w:szCs w:val="24"/>
                <w:lang w:val="sr-Cyrl-CS"/>
              </w:rPr>
              <w:t>Показатељи учинка:</w:t>
            </w:r>
          </w:p>
        </w:tc>
      </w:tr>
      <w:tr w:rsidR="0064703E" w:rsidRPr="00471C90" w14:paraId="507D4147" w14:textId="77777777" w:rsidTr="001E7736">
        <w:tc>
          <w:tcPr>
            <w:tcW w:w="9062" w:type="dxa"/>
            <w:vAlign w:val="center"/>
          </w:tcPr>
          <w:p w14:paraId="7F147FF1" w14:textId="75668CF0" w:rsidR="0064703E" w:rsidRPr="00471C90" w:rsidRDefault="00E22130">
            <w:pPr>
              <w:rPr>
                <w:rFonts w:cs="Times New Roman"/>
                <w:szCs w:val="24"/>
                <w:highlight w:val="yellow"/>
                <w:lang w:val="sr-Cyrl-CS"/>
              </w:rPr>
            </w:pPr>
            <w:r w:rsidRPr="00471C90">
              <w:rPr>
                <w:rFonts w:cs="Times New Roman"/>
                <w:szCs w:val="24"/>
                <w:lang w:val="sr-Cyrl-CS"/>
              </w:rPr>
              <w:t xml:space="preserve">1) </w:t>
            </w:r>
            <w:r w:rsidR="00034BE6" w:rsidRPr="00471C90">
              <w:rPr>
                <w:rFonts w:cs="Times New Roman"/>
                <w:szCs w:val="24"/>
                <w:lang w:val="sr-Cyrl-CS"/>
              </w:rPr>
              <w:t xml:space="preserve">Дефинисани циљеви и кључни показатељи </w:t>
            </w:r>
            <w:r w:rsidR="00123226" w:rsidRPr="00471C90">
              <w:rPr>
                <w:rFonts w:cs="Times New Roman"/>
                <w:szCs w:val="24"/>
                <w:lang w:val="sr-Cyrl-CS"/>
              </w:rPr>
              <w:t xml:space="preserve">учинка </w:t>
            </w:r>
            <w:r w:rsidR="00272F1D" w:rsidRPr="00471C90">
              <w:rPr>
                <w:rFonts w:cs="Times New Roman"/>
                <w:szCs w:val="24"/>
                <w:lang w:val="sr-Cyrl-CS"/>
              </w:rPr>
              <w:t>пословања</w:t>
            </w:r>
            <w:r w:rsidR="00034BE6" w:rsidRPr="00471C90">
              <w:rPr>
                <w:rFonts w:cs="Times New Roman"/>
                <w:szCs w:val="24"/>
                <w:lang w:val="sr-Cyrl-CS"/>
              </w:rPr>
              <w:t xml:space="preserve"> у складу са принципима </w:t>
            </w:r>
            <w:r w:rsidR="00B114F2" w:rsidRPr="00471C90">
              <w:rPr>
                <w:rFonts w:cs="Times New Roman"/>
                <w:szCs w:val="24"/>
                <w:lang w:val="sr-Cyrl-CS"/>
              </w:rPr>
              <w:t>Стратегије државног власништва и управљања привредним субјектима који су у власништву Републике Србије за период од 2021. до 2027. године</w:t>
            </w:r>
          </w:p>
        </w:tc>
      </w:tr>
      <w:tr w:rsidR="0064703E" w:rsidRPr="00471C90" w14:paraId="19EC8663" w14:textId="77777777" w:rsidTr="001E7736">
        <w:tc>
          <w:tcPr>
            <w:tcW w:w="9062" w:type="dxa"/>
            <w:shd w:val="clear" w:color="auto" w:fill="FFFBD5"/>
            <w:vAlign w:val="center"/>
          </w:tcPr>
          <w:p w14:paraId="703E1D07" w14:textId="2D46328E" w:rsidR="0064703E" w:rsidRPr="00471C90" w:rsidRDefault="00034BE6" w:rsidP="001E7736">
            <w:pPr>
              <w:rPr>
                <w:rFonts w:cs="Times New Roman"/>
                <w:szCs w:val="24"/>
                <w:lang w:val="sr-Cyrl-CS"/>
              </w:rPr>
            </w:pPr>
            <w:r w:rsidRPr="00471C90">
              <w:rPr>
                <w:rFonts w:cs="Times New Roman"/>
                <w:bCs/>
                <w:i/>
                <w:iCs/>
                <w:szCs w:val="24"/>
                <w:lang w:val="sr-Cyrl-CS"/>
              </w:rPr>
              <w:t>Надлежна институција</w:t>
            </w:r>
            <w:r w:rsidR="0064703E" w:rsidRPr="00471C90">
              <w:rPr>
                <w:rFonts w:cs="Times New Roman"/>
                <w:bCs/>
                <w:i/>
                <w:iCs/>
                <w:szCs w:val="24"/>
                <w:lang w:val="sr-Cyrl-CS"/>
              </w:rPr>
              <w:t>:</w:t>
            </w:r>
          </w:p>
        </w:tc>
      </w:tr>
      <w:tr w:rsidR="0064703E" w:rsidRPr="00471C90" w14:paraId="01481700" w14:textId="77777777" w:rsidTr="001E7736">
        <w:tc>
          <w:tcPr>
            <w:tcW w:w="9062" w:type="dxa"/>
            <w:vAlign w:val="center"/>
          </w:tcPr>
          <w:p w14:paraId="21EC4CB9" w14:textId="28D7A060" w:rsidR="0064703E" w:rsidRPr="00471C90" w:rsidRDefault="00034BE6" w:rsidP="001E7736">
            <w:pPr>
              <w:rPr>
                <w:rFonts w:cs="Times New Roman"/>
                <w:szCs w:val="24"/>
                <w:lang w:val="sr-Cyrl-CS"/>
              </w:rPr>
            </w:pPr>
            <w:r w:rsidRPr="00471C90">
              <w:rPr>
                <w:rFonts w:cs="Times New Roman"/>
                <w:szCs w:val="24"/>
                <w:lang w:val="sr-Cyrl-CS"/>
              </w:rPr>
              <w:t>Фонд за развој</w:t>
            </w:r>
            <w:r w:rsidR="00D555E9" w:rsidRPr="00471C90">
              <w:rPr>
                <w:rFonts w:cs="Times New Roman"/>
                <w:szCs w:val="24"/>
                <w:lang w:val="sr-Cyrl-CS"/>
              </w:rPr>
              <w:t xml:space="preserve">; </w:t>
            </w:r>
            <w:r w:rsidRPr="00471C90">
              <w:rPr>
                <w:rFonts w:cs="Times New Roman"/>
                <w:szCs w:val="24"/>
                <w:lang w:val="sr-Cyrl-CS"/>
              </w:rPr>
              <w:t>АОФИ</w:t>
            </w:r>
          </w:p>
        </w:tc>
      </w:tr>
      <w:tr w:rsidR="0064703E" w:rsidRPr="00471C90" w14:paraId="31E69265" w14:textId="77777777" w:rsidTr="001E7736">
        <w:tc>
          <w:tcPr>
            <w:tcW w:w="9062" w:type="dxa"/>
            <w:shd w:val="clear" w:color="auto" w:fill="FFFBD5"/>
            <w:vAlign w:val="center"/>
          </w:tcPr>
          <w:p w14:paraId="45A6FA8B" w14:textId="05356327" w:rsidR="0064703E" w:rsidRPr="00471C90" w:rsidRDefault="00034BE6" w:rsidP="001E7736">
            <w:pPr>
              <w:rPr>
                <w:rFonts w:cs="Times New Roman"/>
                <w:bCs/>
                <w:i/>
                <w:iCs/>
                <w:szCs w:val="24"/>
                <w:lang w:val="sr-Cyrl-CS"/>
              </w:rPr>
            </w:pPr>
            <w:r w:rsidRPr="00471C90">
              <w:rPr>
                <w:rFonts w:cs="Times New Roman"/>
                <w:bCs/>
                <w:i/>
                <w:iCs/>
                <w:szCs w:val="24"/>
                <w:lang w:val="sr-Cyrl-CS"/>
              </w:rPr>
              <w:t>Опис</w:t>
            </w:r>
            <w:r w:rsidR="0064703E" w:rsidRPr="00471C90">
              <w:rPr>
                <w:rFonts w:cs="Times New Roman"/>
                <w:bCs/>
                <w:i/>
                <w:iCs/>
                <w:szCs w:val="24"/>
                <w:lang w:val="sr-Cyrl-CS"/>
              </w:rPr>
              <w:t>:</w:t>
            </w:r>
          </w:p>
        </w:tc>
      </w:tr>
      <w:tr w:rsidR="0064703E" w:rsidRPr="00471C90" w14:paraId="70BA4A42" w14:textId="77777777" w:rsidTr="001E7736">
        <w:tc>
          <w:tcPr>
            <w:tcW w:w="9062" w:type="dxa"/>
            <w:tcBorders>
              <w:bottom w:val="single" w:sz="4" w:space="0" w:color="auto"/>
            </w:tcBorders>
            <w:vAlign w:val="center"/>
          </w:tcPr>
          <w:p w14:paraId="758B0135" w14:textId="7A39CE97" w:rsidR="0064703E" w:rsidRPr="00471C90" w:rsidRDefault="00034BE6">
            <w:pPr>
              <w:spacing w:after="120"/>
              <w:jc w:val="both"/>
              <w:rPr>
                <w:rFonts w:cs="Times New Roman"/>
                <w:szCs w:val="24"/>
                <w:lang w:val="sr-Cyrl-CS"/>
              </w:rPr>
            </w:pPr>
            <w:r w:rsidRPr="00471C90">
              <w:rPr>
                <w:rFonts w:cs="Times New Roman"/>
                <w:szCs w:val="24"/>
                <w:lang w:val="sr-Cyrl-CS"/>
              </w:rPr>
              <w:t xml:space="preserve">Треба успоставити одржив и свеобухватан интерни оквир управљања </w:t>
            </w:r>
            <w:r w:rsidR="003060E1" w:rsidRPr="00471C90">
              <w:rPr>
                <w:rFonts w:cs="Times New Roman"/>
                <w:szCs w:val="24"/>
                <w:lang w:val="sr-Cyrl-CS"/>
              </w:rPr>
              <w:t xml:space="preserve">учинцима </w:t>
            </w:r>
            <w:r w:rsidRPr="00471C90">
              <w:rPr>
                <w:rFonts w:cs="Times New Roman"/>
                <w:szCs w:val="24"/>
                <w:lang w:val="sr-Cyrl-CS"/>
              </w:rPr>
              <w:t xml:space="preserve">како би се осигурало да се постижу циљеви које </w:t>
            </w:r>
            <w:r w:rsidR="009D09B4" w:rsidRPr="00471C90">
              <w:rPr>
                <w:rFonts w:cs="Times New Roman"/>
                <w:szCs w:val="24"/>
                <w:lang w:val="sr-Cyrl-CS"/>
              </w:rPr>
              <w:t>је поставила</w:t>
            </w:r>
            <w:r w:rsidRPr="00471C90">
              <w:rPr>
                <w:rFonts w:cs="Times New Roman"/>
                <w:szCs w:val="24"/>
                <w:lang w:val="sr-Cyrl-CS"/>
              </w:rPr>
              <w:t xml:space="preserve"> Република Србија</w:t>
            </w:r>
            <w:r w:rsidR="009D09B4" w:rsidRPr="00471C90">
              <w:rPr>
                <w:rFonts w:cs="Times New Roman"/>
                <w:szCs w:val="24"/>
                <w:lang w:val="sr-Cyrl-CS"/>
              </w:rPr>
              <w:t xml:space="preserve"> као власник. </w:t>
            </w:r>
            <w:r w:rsidRPr="00471C90">
              <w:rPr>
                <w:rFonts w:cs="Times New Roman"/>
                <w:szCs w:val="24"/>
                <w:lang w:val="sr-Cyrl-CS"/>
              </w:rPr>
              <w:t xml:space="preserve">Циљеви треба да буду јасно дефинисани и усклађени са циљевима и </w:t>
            </w:r>
            <w:r w:rsidR="009D09B4" w:rsidRPr="00471C90">
              <w:rPr>
                <w:rFonts w:cs="Times New Roman"/>
                <w:szCs w:val="24"/>
                <w:lang w:val="sr-Cyrl-CS"/>
              </w:rPr>
              <w:t xml:space="preserve">пословима ових </w:t>
            </w:r>
            <w:r w:rsidRPr="00471C90">
              <w:rPr>
                <w:rFonts w:cs="Times New Roman"/>
                <w:szCs w:val="24"/>
                <w:lang w:val="sr-Cyrl-CS"/>
              </w:rPr>
              <w:t>институција на високом нивоу, успостављањем релевантних кључних показатеља учинка, мерењем испуњености развојних циљева, посебно ефикасности у затварању тржишног јаза, омогућавању приступа финансијама, јачању извоза итд. Иако профитабилност не би требало да буде примарни циљ ових институција, ни једини критеријум за процену њиховог успеха, ефикасност коришћења ресурса такође треба надгледати и извршити поређење са сличним институцијама у иностранству.</w:t>
            </w:r>
          </w:p>
        </w:tc>
      </w:tr>
    </w:tbl>
    <w:p w14:paraId="6E0C04EF" w14:textId="77777777" w:rsidR="004A0C1B" w:rsidRPr="00471C90" w:rsidRDefault="004A0C1B" w:rsidP="00E00ADF">
      <w:pPr>
        <w:spacing w:after="0"/>
        <w:rPr>
          <w:rFonts w:cs="Times New Roman"/>
          <w:szCs w:val="24"/>
          <w:lang w:val="sr-Cyrl-CS"/>
        </w:rPr>
      </w:pPr>
    </w:p>
    <w:tbl>
      <w:tblPr>
        <w:tblStyle w:val="TableGrid"/>
        <w:tblW w:w="0" w:type="auto"/>
        <w:tblLook w:val="04A0" w:firstRow="1" w:lastRow="0" w:firstColumn="1" w:lastColumn="0" w:noHBand="0" w:noVBand="1"/>
      </w:tblPr>
      <w:tblGrid>
        <w:gridCol w:w="9062"/>
      </w:tblGrid>
      <w:tr w:rsidR="0064703E" w:rsidRPr="00471C90" w14:paraId="1D830CA6" w14:textId="77777777" w:rsidTr="001E7736">
        <w:tc>
          <w:tcPr>
            <w:tcW w:w="9062" w:type="dxa"/>
            <w:shd w:val="clear" w:color="auto" w:fill="FFE600"/>
            <w:vAlign w:val="center"/>
          </w:tcPr>
          <w:p w14:paraId="7322EA4A" w14:textId="2A0B44C1" w:rsidR="0064703E" w:rsidRPr="00471C90" w:rsidRDefault="00034BE6" w:rsidP="001E7736">
            <w:pPr>
              <w:rPr>
                <w:rFonts w:cs="Times New Roman"/>
                <w:bCs/>
                <w:szCs w:val="24"/>
                <w:lang w:val="sr-Cyrl-CS"/>
              </w:rPr>
            </w:pPr>
            <w:r w:rsidRPr="00471C90">
              <w:rPr>
                <w:rFonts w:cs="Times New Roman"/>
                <w:bCs/>
                <w:szCs w:val="24"/>
                <w:lang w:val="sr-Cyrl-CS"/>
              </w:rPr>
              <w:t>Мера 3: Побољшање функција интерне ревизије, управљања ризиком и усклађености пословања</w:t>
            </w:r>
            <w:r w:rsidR="00AF0CA0" w:rsidRPr="00471C90">
              <w:rPr>
                <w:rFonts w:cs="Times New Roman"/>
                <w:bCs/>
                <w:szCs w:val="24"/>
                <w:lang w:val="sr-Cyrl-CS"/>
              </w:rPr>
              <w:t xml:space="preserve"> </w:t>
            </w:r>
          </w:p>
        </w:tc>
      </w:tr>
      <w:tr w:rsidR="0064703E" w:rsidRPr="00471C90" w14:paraId="6F0CB32A" w14:textId="77777777" w:rsidTr="001E7736">
        <w:trPr>
          <w:trHeight w:val="270"/>
        </w:trPr>
        <w:tc>
          <w:tcPr>
            <w:tcW w:w="9062" w:type="dxa"/>
            <w:shd w:val="clear" w:color="auto" w:fill="FFFBD5"/>
            <w:vAlign w:val="center"/>
          </w:tcPr>
          <w:p w14:paraId="47890835" w14:textId="6832E83C" w:rsidR="0064703E" w:rsidRPr="00471C90" w:rsidRDefault="00034BE6" w:rsidP="001E7736">
            <w:pPr>
              <w:rPr>
                <w:rFonts w:cs="Times New Roman"/>
                <w:szCs w:val="24"/>
                <w:lang w:val="sr-Cyrl-CS"/>
              </w:rPr>
            </w:pPr>
            <w:r w:rsidRPr="00471C90">
              <w:rPr>
                <w:rFonts w:cs="Times New Roman"/>
                <w:bCs/>
                <w:i/>
                <w:iCs/>
                <w:szCs w:val="24"/>
                <w:lang w:val="sr-Cyrl-CS"/>
              </w:rPr>
              <w:t>Врста мере</w:t>
            </w:r>
            <w:r w:rsidR="0064703E" w:rsidRPr="00471C90">
              <w:rPr>
                <w:rFonts w:cs="Times New Roman"/>
                <w:bCs/>
                <w:i/>
                <w:iCs/>
                <w:szCs w:val="24"/>
                <w:lang w:val="sr-Cyrl-CS"/>
              </w:rPr>
              <w:t>:</w:t>
            </w:r>
          </w:p>
        </w:tc>
      </w:tr>
      <w:tr w:rsidR="0064703E" w:rsidRPr="00471C90" w14:paraId="6C344CAE" w14:textId="77777777" w:rsidTr="001E7736">
        <w:trPr>
          <w:trHeight w:val="270"/>
        </w:trPr>
        <w:tc>
          <w:tcPr>
            <w:tcW w:w="9062" w:type="dxa"/>
            <w:shd w:val="clear" w:color="auto" w:fill="auto"/>
            <w:vAlign w:val="center"/>
          </w:tcPr>
          <w:p w14:paraId="55425143" w14:textId="71F37F81" w:rsidR="0064703E" w:rsidRPr="00471C90" w:rsidRDefault="00034BE6" w:rsidP="001E7736">
            <w:pPr>
              <w:rPr>
                <w:rFonts w:cs="Times New Roman"/>
                <w:szCs w:val="24"/>
                <w:lang w:val="sr-Cyrl-CS"/>
              </w:rPr>
            </w:pPr>
            <w:r w:rsidRPr="00471C90">
              <w:rPr>
                <w:rFonts w:cs="Times New Roman"/>
                <w:szCs w:val="24"/>
                <w:lang w:val="sr-Cyrl-CS"/>
              </w:rPr>
              <w:lastRenderedPageBreak/>
              <w:t>институционално управљачко организациона</w:t>
            </w:r>
          </w:p>
        </w:tc>
      </w:tr>
      <w:tr w:rsidR="0064703E" w:rsidRPr="00471C90" w14:paraId="09A86EB4" w14:textId="77777777" w:rsidTr="001E7736">
        <w:tc>
          <w:tcPr>
            <w:tcW w:w="9062" w:type="dxa"/>
            <w:shd w:val="clear" w:color="auto" w:fill="FFFBD5"/>
            <w:vAlign w:val="center"/>
          </w:tcPr>
          <w:p w14:paraId="2D6EAB25" w14:textId="4B88AF32" w:rsidR="0064703E" w:rsidRPr="00471C90" w:rsidRDefault="00034BE6" w:rsidP="001E7736">
            <w:pPr>
              <w:rPr>
                <w:rFonts w:cs="Times New Roman"/>
                <w:szCs w:val="24"/>
                <w:lang w:val="sr-Cyrl-CS"/>
              </w:rPr>
            </w:pPr>
            <w:r w:rsidRPr="00471C90">
              <w:rPr>
                <w:rFonts w:cs="Times New Roman"/>
                <w:bCs/>
                <w:i/>
                <w:iCs/>
                <w:szCs w:val="24"/>
                <w:lang w:val="sr-Cyrl-CS"/>
              </w:rPr>
              <w:t>Рок за примену</w:t>
            </w:r>
            <w:r w:rsidR="0064703E" w:rsidRPr="00471C90">
              <w:rPr>
                <w:rFonts w:cs="Times New Roman"/>
                <w:bCs/>
                <w:i/>
                <w:iCs/>
                <w:szCs w:val="24"/>
                <w:lang w:val="sr-Cyrl-CS"/>
              </w:rPr>
              <w:t>:</w:t>
            </w:r>
          </w:p>
        </w:tc>
      </w:tr>
      <w:tr w:rsidR="0064703E" w:rsidRPr="00471C90" w14:paraId="5F4E70E4" w14:textId="77777777" w:rsidTr="001E7736">
        <w:tc>
          <w:tcPr>
            <w:tcW w:w="9062" w:type="dxa"/>
            <w:vAlign w:val="center"/>
          </w:tcPr>
          <w:p w14:paraId="1DABB514" w14:textId="51613766" w:rsidR="0064703E" w:rsidRPr="00471C90" w:rsidRDefault="00453209" w:rsidP="00453209">
            <w:pPr>
              <w:rPr>
                <w:rFonts w:cs="Times New Roman"/>
                <w:szCs w:val="24"/>
                <w:lang w:val="sr-Cyrl-CS"/>
              </w:rPr>
            </w:pPr>
            <w:r w:rsidRPr="00471C90">
              <w:rPr>
                <w:rFonts w:cs="Times New Roman"/>
                <w:szCs w:val="24"/>
                <w:lang w:val="sr-Cyrl-CS"/>
              </w:rPr>
              <w:t>1</w:t>
            </w:r>
            <w:r w:rsidR="0064703E" w:rsidRPr="00471C90">
              <w:rPr>
                <w:rFonts w:cs="Times New Roman"/>
                <w:szCs w:val="24"/>
                <w:lang w:val="sr-Cyrl-CS"/>
              </w:rPr>
              <w:t xml:space="preserve">. </w:t>
            </w:r>
            <w:r w:rsidR="00034BE6" w:rsidRPr="00471C90">
              <w:rPr>
                <w:rFonts w:cs="Times New Roman"/>
                <w:szCs w:val="24"/>
                <w:lang w:val="sr-Cyrl-CS"/>
              </w:rPr>
              <w:t>квартал</w:t>
            </w:r>
            <w:r w:rsidR="0064703E" w:rsidRPr="00471C90">
              <w:rPr>
                <w:rFonts w:cs="Times New Roman"/>
                <w:szCs w:val="24"/>
                <w:lang w:val="sr-Cyrl-CS"/>
              </w:rPr>
              <w:t xml:space="preserve"> </w:t>
            </w:r>
            <w:r w:rsidRPr="00471C90">
              <w:rPr>
                <w:rFonts w:cs="Times New Roman"/>
                <w:szCs w:val="24"/>
                <w:lang w:val="sr-Cyrl-CS"/>
              </w:rPr>
              <w:t>2023</w:t>
            </w:r>
            <w:r w:rsidR="0064703E" w:rsidRPr="00471C90">
              <w:rPr>
                <w:rFonts w:cs="Times New Roman"/>
                <w:szCs w:val="24"/>
                <w:lang w:val="sr-Cyrl-CS"/>
              </w:rPr>
              <w:t xml:space="preserve">. </w:t>
            </w:r>
            <w:r w:rsidR="00034BE6" w:rsidRPr="00471C90">
              <w:rPr>
                <w:rFonts w:cs="Times New Roman"/>
                <w:szCs w:val="24"/>
                <w:lang w:val="sr-Cyrl-CS"/>
              </w:rPr>
              <w:t>године</w:t>
            </w:r>
          </w:p>
        </w:tc>
      </w:tr>
      <w:tr w:rsidR="00C83B54" w:rsidRPr="00471C90" w14:paraId="482EFB35" w14:textId="77777777" w:rsidTr="001E7736">
        <w:tc>
          <w:tcPr>
            <w:tcW w:w="9062" w:type="dxa"/>
            <w:shd w:val="clear" w:color="auto" w:fill="FFFBD5"/>
            <w:vAlign w:val="center"/>
          </w:tcPr>
          <w:p w14:paraId="5F4DD69C" w14:textId="4A5EAA37" w:rsidR="00C83B54" w:rsidRPr="00471C90" w:rsidRDefault="00C83B54" w:rsidP="00C83B54">
            <w:pPr>
              <w:rPr>
                <w:rFonts w:cs="Times New Roman"/>
                <w:bCs/>
                <w:i/>
                <w:iCs/>
                <w:szCs w:val="24"/>
                <w:lang w:val="sr-Cyrl-CS"/>
              </w:rPr>
            </w:pPr>
            <w:r w:rsidRPr="00471C90">
              <w:rPr>
                <w:rFonts w:cs="Times New Roman"/>
                <w:bCs/>
                <w:i/>
                <w:iCs/>
                <w:szCs w:val="24"/>
                <w:lang w:val="sr-Cyrl-CS"/>
              </w:rPr>
              <w:t>Показатељи учинка:</w:t>
            </w:r>
          </w:p>
        </w:tc>
      </w:tr>
      <w:tr w:rsidR="0064703E" w:rsidRPr="00471C90" w14:paraId="2AD246CB" w14:textId="77777777" w:rsidTr="001E7736">
        <w:tc>
          <w:tcPr>
            <w:tcW w:w="9062" w:type="dxa"/>
            <w:vAlign w:val="center"/>
          </w:tcPr>
          <w:p w14:paraId="5D3F9070" w14:textId="1F9CC5D8" w:rsidR="0064703E" w:rsidRPr="00471C90" w:rsidRDefault="00E22130" w:rsidP="001E7736">
            <w:pPr>
              <w:rPr>
                <w:rFonts w:cs="Times New Roman"/>
                <w:szCs w:val="24"/>
                <w:lang w:val="sr-Cyrl-CS"/>
              </w:rPr>
            </w:pPr>
            <w:r w:rsidRPr="00471C90">
              <w:rPr>
                <w:rFonts w:cs="Times New Roman"/>
                <w:szCs w:val="24"/>
                <w:lang w:val="sr-Cyrl-CS"/>
              </w:rPr>
              <w:t xml:space="preserve">1) </w:t>
            </w:r>
            <w:r w:rsidR="00034BE6" w:rsidRPr="00471C90">
              <w:rPr>
                <w:rFonts w:cs="Times New Roman"/>
                <w:szCs w:val="24"/>
                <w:lang w:val="sr-Cyrl-CS"/>
              </w:rPr>
              <w:t>Функција интерне ревизије одговара комисији за ревизију, успостављеној при управном/н</w:t>
            </w:r>
            <w:r w:rsidR="00103338" w:rsidRPr="00471C90">
              <w:rPr>
                <w:rFonts w:cs="Times New Roman"/>
                <w:szCs w:val="24"/>
                <w:lang w:val="sr-Cyrl-CS"/>
              </w:rPr>
              <w:t>адзор</w:t>
            </w:r>
            <w:r w:rsidR="00034BE6" w:rsidRPr="00471C90">
              <w:rPr>
                <w:rFonts w:cs="Times New Roman"/>
                <w:szCs w:val="24"/>
                <w:lang w:val="sr-Cyrl-CS"/>
              </w:rPr>
              <w:t>ном одбору</w:t>
            </w:r>
          </w:p>
          <w:p w14:paraId="7550A346" w14:textId="68559E11" w:rsidR="00E22130" w:rsidRPr="00471C90" w:rsidRDefault="00E22130" w:rsidP="001E7736">
            <w:pPr>
              <w:rPr>
                <w:rFonts w:cs="Times New Roman"/>
                <w:szCs w:val="24"/>
                <w:lang w:val="sr-Cyrl-CS"/>
              </w:rPr>
            </w:pPr>
            <w:r w:rsidRPr="00471C90">
              <w:rPr>
                <w:rFonts w:cs="Times New Roman"/>
                <w:szCs w:val="24"/>
                <w:lang w:val="sr-Cyrl-CS"/>
              </w:rPr>
              <w:t>2</w:t>
            </w:r>
            <w:r w:rsidR="009D09B4" w:rsidRPr="00471C90">
              <w:rPr>
                <w:rFonts w:cs="Times New Roman"/>
                <w:szCs w:val="24"/>
                <w:lang w:val="sr-Cyrl-CS"/>
              </w:rPr>
              <w:t xml:space="preserve">) Дефинисани интерни акти </w:t>
            </w:r>
            <w:r w:rsidR="00034BE6" w:rsidRPr="00471C90">
              <w:rPr>
                <w:rFonts w:cs="Times New Roman"/>
                <w:szCs w:val="24"/>
                <w:lang w:val="sr-Cyrl-CS"/>
              </w:rPr>
              <w:t>за управљање ризицима у складу са добром праксом</w:t>
            </w:r>
            <w:r w:rsidR="004158CF" w:rsidRPr="00471C90">
              <w:rPr>
                <w:rFonts w:cs="Times New Roman"/>
                <w:szCs w:val="24"/>
                <w:lang w:val="sr-Cyrl-CS"/>
              </w:rPr>
              <w:t xml:space="preserve">, </w:t>
            </w:r>
            <w:r w:rsidR="00034BE6" w:rsidRPr="00471C90">
              <w:rPr>
                <w:rFonts w:cs="Times New Roman"/>
                <w:szCs w:val="24"/>
                <w:lang w:val="sr-Cyrl-CS"/>
              </w:rPr>
              <w:t xml:space="preserve">а по узору на </w:t>
            </w:r>
            <w:r w:rsidR="009D09B4" w:rsidRPr="00471C90">
              <w:rPr>
                <w:rFonts w:cs="Times New Roman"/>
                <w:szCs w:val="24"/>
                <w:lang w:val="sr-Cyrl-CS"/>
              </w:rPr>
              <w:t>прописе</w:t>
            </w:r>
            <w:r w:rsidR="00034BE6" w:rsidRPr="00471C90">
              <w:rPr>
                <w:rFonts w:cs="Times New Roman"/>
                <w:szCs w:val="24"/>
                <w:lang w:val="sr-Cyrl-CS"/>
              </w:rPr>
              <w:t xml:space="preserve"> </w:t>
            </w:r>
            <w:r w:rsidR="003060E1" w:rsidRPr="00471C90">
              <w:rPr>
                <w:rFonts w:cs="Times New Roman"/>
                <w:szCs w:val="24"/>
                <w:lang w:val="sr-Cyrl-CS"/>
              </w:rPr>
              <w:t>Народне банке Србије</w:t>
            </w:r>
            <w:r w:rsidR="004A0C1B" w:rsidRPr="00471C90">
              <w:rPr>
                <w:rFonts w:cs="Times New Roman"/>
                <w:szCs w:val="24"/>
                <w:lang w:val="sr-Cyrl-CS"/>
              </w:rPr>
              <w:t>.</w:t>
            </w:r>
          </w:p>
          <w:p w14:paraId="4D68069B" w14:textId="01C6D39C" w:rsidR="00D3233E" w:rsidRPr="00471C90" w:rsidRDefault="00D3233E" w:rsidP="001E7736">
            <w:pPr>
              <w:rPr>
                <w:rFonts w:cs="Times New Roman"/>
                <w:szCs w:val="24"/>
                <w:lang w:val="sr-Cyrl-CS"/>
              </w:rPr>
            </w:pPr>
            <w:r w:rsidRPr="00471C90">
              <w:rPr>
                <w:rFonts w:cs="Times New Roman"/>
                <w:szCs w:val="24"/>
                <w:lang w:val="sr-Cyrl-CS"/>
              </w:rPr>
              <w:t xml:space="preserve">3) </w:t>
            </w:r>
            <w:r w:rsidR="00034BE6" w:rsidRPr="00471C90">
              <w:rPr>
                <w:rFonts w:cs="Times New Roman"/>
                <w:szCs w:val="24"/>
                <w:lang w:val="sr-Cyrl-CS"/>
              </w:rPr>
              <w:t>Успостављање функције усклађености пословања која је организационо независна од осталих делова</w:t>
            </w:r>
          </w:p>
        </w:tc>
      </w:tr>
      <w:tr w:rsidR="0064703E" w:rsidRPr="00471C90" w14:paraId="7D282FED" w14:textId="77777777" w:rsidTr="001E7736">
        <w:tc>
          <w:tcPr>
            <w:tcW w:w="9062" w:type="dxa"/>
            <w:shd w:val="clear" w:color="auto" w:fill="FFFBD5"/>
            <w:vAlign w:val="center"/>
          </w:tcPr>
          <w:p w14:paraId="5FF2B575" w14:textId="557BF025" w:rsidR="0064703E" w:rsidRPr="00471C90" w:rsidRDefault="00034BE6" w:rsidP="001E7736">
            <w:pPr>
              <w:rPr>
                <w:rFonts w:cs="Times New Roman"/>
                <w:szCs w:val="24"/>
                <w:lang w:val="sr-Cyrl-CS"/>
              </w:rPr>
            </w:pPr>
            <w:r w:rsidRPr="00471C90">
              <w:rPr>
                <w:rFonts w:cs="Times New Roman"/>
                <w:bCs/>
                <w:i/>
                <w:iCs/>
                <w:szCs w:val="24"/>
                <w:lang w:val="sr-Cyrl-CS"/>
              </w:rPr>
              <w:t>Надлежна институција</w:t>
            </w:r>
            <w:r w:rsidR="0064703E" w:rsidRPr="00471C90">
              <w:rPr>
                <w:rFonts w:cs="Times New Roman"/>
                <w:bCs/>
                <w:i/>
                <w:iCs/>
                <w:szCs w:val="24"/>
                <w:lang w:val="sr-Cyrl-CS"/>
              </w:rPr>
              <w:t>:</w:t>
            </w:r>
          </w:p>
        </w:tc>
      </w:tr>
      <w:tr w:rsidR="00C45BF0" w:rsidRPr="00471C90" w14:paraId="314DC2C0" w14:textId="77777777" w:rsidTr="001E7736">
        <w:tc>
          <w:tcPr>
            <w:tcW w:w="9062" w:type="dxa"/>
            <w:vAlign w:val="center"/>
          </w:tcPr>
          <w:p w14:paraId="09C3A2EB" w14:textId="3060B026" w:rsidR="00C45BF0" w:rsidRPr="00471C90" w:rsidRDefault="00034BE6" w:rsidP="00C45BF0">
            <w:pPr>
              <w:rPr>
                <w:rFonts w:cs="Times New Roman"/>
                <w:szCs w:val="24"/>
                <w:lang w:val="sr-Cyrl-CS"/>
              </w:rPr>
            </w:pPr>
            <w:r w:rsidRPr="00471C90">
              <w:rPr>
                <w:rFonts w:cs="Times New Roman"/>
                <w:szCs w:val="24"/>
                <w:lang w:val="sr-Cyrl-CS"/>
              </w:rPr>
              <w:t xml:space="preserve">Фонд за </w:t>
            </w:r>
            <w:r w:rsidR="004A0C1B" w:rsidRPr="00471C90">
              <w:rPr>
                <w:rFonts w:cs="Times New Roman"/>
                <w:szCs w:val="24"/>
                <w:lang w:val="sr-Cyrl-CS"/>
              </w:rPr>
              <w:t>развој</w:t>
            </w:r>
            <w:r w:rsidR="00C45BF0" w:rsidRPr="00471C90">
              <w:rPr>
                <w:rFonts w:cs="Times New Roman"/>
                <w:szCs w:val="24"/>
                <w:lang w:val="sr-Cyrl-CS"/>
              </w:rPr>
              <w:t>;</w:t>
            </w:r>
            <w:r w:rsidRPr="00471C90">
              <w:rPr>
                <w:rFonts w:cs="Times New Roman"/>
                <w:szCs w:val="24"/>
                <w:lang w:val="sr-Cyrl-CS"/>
              </w:rPr>
              <w:t xml:space="preserve"> АОФИ</w:t>
            </w:r>
          </w:p>
        </w:tc>
      </w:tr>
      <w:tr w:rsidR="00C45BF0" w:rsidRPr="00471C90" w14:paraId="016BBB51" w14:textId="77777777" w:rsidTr="001E7736">
        <w:tc>
          <w:tcPr>
            <w:tcW w:w="9062" w:type="dxa"/>
            <w:shd w:val="clear" w:color="auto" w:fill="FFFBD5"/>
            <w:vAlign w:val="center"/>
          </w:tcPr>
          <w:p w14:paraId="0F350E21" w14:textId="32920E8A" w:rsidR="00C45BF0" w:rsidRPr="00471C90" w:rsidRDefault="00034BE6" w:rsidP="00C45BF0">
            <w:pPr>
              <w:rPr>
                <w:rFonts w:cs="Times New Roman"/>
                <w:bCs/>
                <w:i/>
                <w:iCs/>
                <w:szCs w:val="24"/>
                <w:lang w:val="sr-Cyrl-CS"/>
              </w:rPr>
            </w:pPr>
            <w:r w:rsidRPr="00471C90">
              <w:rPr>
                <w:rFonts w:cs="Times New Roman"/>
                <w:bCs/>
                <w:i/>
                <w:iCs/>
                <w:szCs w:val="24"/>
                <w:lang w:val="sr-Cyrl-CS"/>
              </w:rPr>
              <w:t>Опис</w:t>
            </w:r>
            <w:r w:rsidR="00C45BF0" w:rsidRPr="00471C90">
              <w:rPr>
                <w:rFonts w:cs="Times New Roman"/>
                <w:bCs/>
                <w:i/>
                <w:iCs/>
                <w:szCs w:val="24"/>
                <w:lang w:val="sr-Cyrl-CS"/>
              </w:rPr>
              <w:t>:</w:t>
            </w:r>
          </w:p>
        </w:tc>
      </w:tr>
      <w:tr w:rsidR="00C45BF0" w:rsidRPr="00471C90" w14:paraId="510DC487" w14:textId="77777777" w:rsidTr="001E7736">
        <w:tc>
          <w:tcPr>
            <w:tcW w:w="9062" w:type="dxa"/>
            <w:tcBorders>
              <w:bottom w:val="single" w:sz="4" w:space="0" w:color="auto"/>
            </w:tcBorders>
            <w:vAlign w:val="center"/>
          </w:tcPr>
          <w:p w14:paraId="345109A8" w14:textId="1ACE6F6F" w:rsidR="0028157E" w:rsidRPr="00471C90" w:rsidRDefault="00D006A3" w:rsidP="0028157E">
            <w:pPr>
              <w:spacing w:after="120"/>
              <w:jc w:val="both"/>
              <w:rPr>
                <w:rFonts w:cs="Times New Roman"/>
                <w:szCs w:val="24"/>
                <w:lang w:val="sr-Cyrl-CS"/>
              </w:rPr>
            </w:pPr>
            <w:r w:rsidRPr="00471C90">
              <w:rPr>
                <w:rFonts w:cs="Times New Roman"/>
                <w:szCs w:val="24"/>
                <w:lang w:val="sr-Cyrl-CS"/>
              </w:rPr>
              <w:t>И</w:t>
            </w:r>
            <w:r w:rsidR="0028157E" w:rsidRPr="00471C90">
              <w:rPr>
                <w:rFonts w:cs="Times New Roman"/>
                <w:szCs w:val="24"/>
                <w:lang w:val="sr-Cyrl-CS"/>
              </w:rPr>
              <w:t xml:space="preserve">нтерна ревизија треба да се успостави као независна функција у складу са </w:t>
            </w:r>
            <w:r w:rsidR="00DA7257" w:rsidRPr="00471C90">
              <w:rPr>
                <w:rFonts w:cs="Times New Roman"/>
                <w:szCs w:val="24"/>
                <w:lang w:val="sr-Cyrl-CS"/>
              </w:rPr>
              <w:t xml:space="preserve">међународним </w:t>
            </w:r>
            <w:r w:rsidR="0028157E" w:rsidRPr="00471C90">
              <w:rPr>
                <w:rFonts w:cs="Times New Roman"/>
                <w:szCs w:val="24"/>
                <w:lang w:val="sr-Cyrl-CS"/>
              </w:rPr>
              <w:t>стандардима за професионалну праксу интерне ревизије Института интерних ревизора, као и захтевима</w:t>
            </w:r>
            <w:r w:rsidRPr="00471C90">
              <w:rPr>
                <w:rFonts w:cs="Times New Roman"/>
                <w:szCs w:val="24"/>
                <w:lang w:val="sr-Cyrl-CS"/>
              </w:rPr>
              <w:t xml:space="preserve"> у прописима </w:t>
            </w:r>
            <w:r w:rsidR="0028157E" w:rsidRPr="00471C90">
              <w:rPr>
                <w:rFonts w:cs="Times New Roman"/>
                <w:szCs w:val="24"/>
                <w:lang w:val="sr-Cyrl-CS"/>
              </w:rPr>
              <w:t xml:space="preserve"> који се односе на интерну ревизију у јавном сектору. Извештај би требало подносити директно Комисији за ревизију, која би требало да буде организована при управном/н</w:t>
            </w:r>
            <w:r w:rsidR="00103338" w:rsidRPr="00471C90">
              <w:rPr>
                <w:rFonts w:cs="Times New Roman"/>
                <w:szCs w:val="24"/>
                <w:lang w:val="sr-Cyrl-CS"/>
              </w:rPr>
              <w:t>адзор</w:t>
            </w:r>
            <w:r w:rsidR="0028157E" w:rsidRPr="00471C90">
              <w:rPr>
                <w:rFonts w:cs="Times New Roman"/>
                <w:szCs w:val="24"/>
                <w:lang w:val="sr-Cyrl-CS"/>
              </w:rPr>
              <w:t>ном одбору.</w:t>
            </w:r>
          </w:p>
          <w:p w14:paraId="6C03EA11" w14:textId="16B77D5B" w:rsidR="00C45BF0" w:rsidRPr="00471C90" w:rsidRDefault="0028157E" w:rsidP="0028157E">
            <w:pPr>
              <w:spacing w:after="120"/>
              <w:jc w:val="both"/>
              <w:rPr>
                <w:rFonts w:cs="Times New Roman"/>
                <w:szCs w:val="24"/>
                <w:lang w:val="sr-Cyrl-CS"/>
              </w:rPr>
            </w:pPr>
            <w:r w:rsidRPr="00471C90">
              <w:rPr>
                <w:rFonts w:cs="Times New Roman"/>
                <w:szCs w:val="24"/>
                <w:lang w:val="sr-Cyrl-CS"/>
              </w:rPr>
              <w:t>Успостављање оквира за управљање ризицима је кључ успешног пословања развојних финансијских институција, посебно у погледу ризика који произлазе из кредитних портфеља. Треба обезбедити одвојеност организационе јединице за управљање ризиком од оперативних активности и извршити даља унапређења. Оквир за управљање ризиком треба да садржи интерне акте који се односе на идентификацију, мерење, процену и управљање ризицима и успостављене одговарајуће контроле и редовне линије извештавања ка органима управљања. Такође је од великог значаја обезбеђивање постојања процедура за спречавање прања новца, борбу против тероризма и екологију.</w:t>
            </w:r>
          </w:p>
          <w:p w14:paraId="6D378037" w14:textId="7C95A739" w:rsidR="0088527A" w:rsidRPr="00471C90" w:rsidRDefault="0088527A" w:rsidP="0088527A">
            <w:pPr>
              <w:spacing w:afterLines="120" w:after="288"/>
              <w:jc w:val="both"/>
              <w:rPr>
                <w:rFonts w:cs="Times New Roman"/>
                <w:szCs w:val="24"/>
                <w:lang w:val="sr-Cyrl-CS"/>
              </w:rPr>
            </w:pPr>
            <w:r w:rsidRPr="00471C90">
              <w:rPr>
                <w:rFonts w:cs="Times New Roman"/>
                <w:szCs w:val="24"/>
                <w:lang w:val="sr-Cyrl-CS"/>
              </w:rPr>
              <w:t>Ове институције би требало и да раде на усклађивању и примени свих релевантних рачуноводствених стандарда.</w:t>
            </w:r>
          </w:p>
          <w:p w14:paraId="1CFDD62A" w14:textId="28B0FB38" w:rsidR="0088527A" w:rsidRPr="00471C90" w:rsidRDefault="0088527A" w:rsidP="00F1427E">
            <w:pPr>
              <w:spacing w:after="120"/>
              <w:jc w:val="both"/>
              <w:rPr>
                <w:rFonts w:cs="Times New Roman"/>
                <w:szCs w:val="24"/>
                <w:lang w:val="sr-Cyrl-CS"/>
              </w:rPr>
            </w:pPr>
            <w:r w:rsidRPr="00471C90">
              <w:rPr>
                <w:rFonts w:cs="Times New Roman"/>
                <w:szCs w:val="24"/>
                <w:lang w:val="sr-Cyrl-CS"/>
              </w:rPr>
              <w:t>Такође, од значаја је да се уведу и политике за спречавање прања новца, као и да се значајно развију процедуре у циљу избегавања и смањења негативних утицаја на животну средину</w:t>
            </w:r>
            <w:r w:rsidR="00EF5143" w:rsidRPr="00471C90">
              <w:rPr>
                <w:rFonts w:cs="Times New Roman"/>
                <w:szCs w:val="24"/>
                <w:lang w:val="sr-Cyrl-CS"/>
              </w:rPr>
              <w:t>.</w:t>
            </w:r>
            <w:r w:rsidRPr="00471C90">
              <w:rPr>
                <w:rFonts w:cs="Times New Roman"/>
                <w:szCs w:val="24"/>
                <w:lang w:val="sr-Cyrl-CS"/>
              </w:rPr>
              <w:t xml:space="preserve"> Наведене процедуре свакако </w:t>
            </w:r>
            <w:r w:rsidR="008A4C36" w:rsidRPr="00471C90">
              <w:rPr>
                <w:rFonts w:cs="Times New Roman"/>
                <w:szCs w:val="24"/>
                <w:lang w:val="sr-Cyrl-CS"/>
              </w:rPr>
              <w:t>треба да буду</w:t>
            </w:r>
            <w:r w:rsidRPr="00471C90">
              <w:rPr>
                <w:rFonts w:cs="Times New Roman"/>
                <w:szCs w:val="24"/>
                <w:lang w:val="sr-Cyrl-CS"/>
              </w:rPr>
              <w:t xml:space="preserve"> у складу са добром праксом која се односи на одрживи развој. Политика спречавања прања новца комбинација је мера које финансијска институција користи за заустављање увођења прихода од </w:t>
            </w:r>
            <w:r w:rsidR="008A4C36" w:rsidRPr="00471C90">
              <w:rPr>
                <w:rFonts w:cs="Times New Roman"/>
                <w:szCs w:val="24"/>
                <w:lang w:val="sr-Cyrl-CS"/>
              </w:rPr>
              <w:t xml:space="preserve">нелегалних </w:t>
            </w:r>
            <w:r w:rsidRPr="00471C90">
              <w:rPr>
                <w:rFonts w:cs="Times New Roman"/>
                <w:szCs w:val="24"/>
                <w:lang w:val="sr-Cyrl-CS"/>
              </w:rPr>
              <w:t xml:space="preserve">активности. Спровођење ових правила је обавезно и надгледају га регулаторна тела. Еколошка политика </w:t>
            </w:r>
            <w:r w:rsidR="00E805AC" w:rsidRPr="00471C90">
              <w:rPr>
                <w:rFonts w:cs="Times New Roman"/>
                <w:szCs w:val="24"/>
                <w:lang w:val="sr-Cyrl-CS"/>
              </w:rPr>
              <w:t xml:space="preserve">би првенствено требало да се односи на постављање оквира за процедуре које ће омогућити оцену пројеката клијената који траже финансирање са аспекта прихватљивости утицаја тих пројеката </w:t>
            </w:r>
            <w:r w:rsidR="006928F3" w:rsidRPr="00471C90">
              <w:rPr>
                <w:rFonts w:cs="Times New Roman"/>
                <w:szCs w:val="24"/>
                <w:lang w:val="sr-Cyrl-CS"/>
              </w:rPr>
              <w:t>и самих клијената на животну средину.</w:t>
            </w:r>
            <w:r w:rsidRPr="00471C90">
              <w:rPr>
                <w:rFonts w:cs="Times New Roman"/>
                <w:szCs w:val="24"/>
                <w:lang w:val="sr-Cyrl-CS"/>
              </w:rPr>
              <w:t xml:space="preserve"> Требало би размотрити и поверавање активности трећим лицима (енгл. </w:t>
            </w:r>
            <w:r w:rsidRPr="00471C90">
              <w:rPr>
                <w:rFonts w:cs="Times New Roman"/>
                <w:i/>
                <w:szCs w:val="24"/>
                <w:lang w:val="sr-Cyrl-CS"/>
              </w:rPr>
              <w:t>outsourcing</w:t>
            </w:r>
            <w:r w:rsidRPr="00471C90">
              <w:rPr>
                <w:rFonts w:cs="Times New Roman"/>
                <w:szCs w:val="24"/>
                <w:lang w:val="sr-Cyrl-CS"/>
              </w:rPr>
              <w:t>) и користити како би се повећала ефикасност и оптимизовали трошкови.</w:t>
            </w:r>
          </w:p>
        </w:tc>
      </w:tr>
    </w:tbl>
    <w:p w14:paraId="16EF3DCF" w14:textId="18394806" w:rsidR="0064703E" w:rsidRPr="00471C90" w:rsidRDefault="0064703E" w:rsidP="00E00ADF">
      <w:pPr>
        <w:spacing w:after="0"/>
        <w:rPr>
          <w:rFonts w:cs="Times New Roman"/>
          <w:szCs w:val="24"/>
          <w:lang w:val="sr-Cyrl-CS"/>
        </w:rPr>
      </w:pPr>
    </w:p>
    <w:tbl>
      <w:tblPr>
        <w:tblStyle w:val="TableGrid"/>
        <w:tblW w:w="0" w:type="auto"/>
        <w:tblLook w:val="04A0" w:firstRow="1" w:lastRow="0" w:firstColumn="1" w:lastColumn="0" w:noHBand="0" w:noVBand="1"/>
      </w:tblPr>
      <w:tblGrid>
        <w:gridCol w:w="9062"/>
      </w:tblGrid>
      <w:tr w:rsidR="0064703E" w:rsidRPr="00471C90" w14:paraId="1D7168BD" w14:textId="77777777" w:rsidTr="001E7736">
        <w:tc>
          <w:tcPr>
            <w:tcW w:w="9062" w:type="dxa"/>
            <w:shd w:val="clear" w:color="auto" w:fill="FFE600"/>
            <w:vAlign w:val="center"/>
          </w:tcPr>
          <w:p w14:paraId="7C106EA3" w14:textId="4A99836A" w:rsidR="0064703E" w:rsidRPr="00471C90" w:rsidRDefault="0028157E" w:rsidP="0028157E">
            <w:pPr>
              <w:rPr>
                <w:rFonts w:cs="Times New Roman"/>
                <w:bCs/>
                <w:szCs w:val="24"/>
                <w:lang w:val="sr-Cyrl-CS"/>
              </w:rPr>
            </w:pPr>
            <w:r w:rsidRPr="00471C90">
              <w:rPr>
                <w:rFonts w:cs="Times New Roman"/>
                <w:bCs/>
                <w:szCs w:val="24"/>
                <w:lang w:val="sr-Cyrl-CS"/>
              </w:rPr>
              <w:t>Мера 4: Изградња капацитета</w:t>
            </w:r>
          </w:p>
        </w:tc>
      </w:tr>
      <w:tr w:rsidR="0064703E" w:rsidRPr="00471C90" w14:paraId="03A3B8DE" w14:textId="77777777" w:rsidTr="001E7736">
        <w:trPr>
          <w:trHeight w:val="270"/>
        </w:trPr>
        <w:tc>
          <w:tcPr>
            <w:tcW w:w="9062" w:type="dxa"/>
            <w:shd w:val="clear" w:color="auto" w:fill="FFFBD5"/>
            <w:vAlign w:val="center"/>
          </w:tcPr>
          <w:p w14:paraId="22CBE883" w14:textId="2548CFE9" w:rsidR="0064703E" w:rsidRPr="00471C90" w:rsidRDefault="0028157E" w:rsidP="001E7736">
            <w:pPr>
              <w:rPr>
                <w:rFonts w:cs="Times New Roman"/>
                <w:szCs w:val="24"/>
                <w:lang w:val="sr-Cyrl-CS"/>
              </w:rPr>
            </w:pPr>
            <w:r w:rsidRPr="00471C90">
              <w:rPr>
                <w:rFonts w:cs="Times New Roman"/>
                <w:bCs/>
                <w:i/>
                <w:iCs/>
                <w:szCs w:val="24"/>
                <w:lang w:val="sr-Cyrl-CS"/>
              </w:rPr>
              <w:t>Врста мере</w:t>
            </w:r>
            <w:r w:rsidR="0064703E" w:rsidRPr="00471C90">
              <w:rPr>
                <w:rFonts w:cs="Times New Roman"/>
                <w:bCs/>
                <w:i/>
                <w:iCs/>
                <w:szCs w:val="24"/>
                <w:lang w:val="sr-Cyrl-CS"/>
              </w:rPr>
              <w:t>:</w:t>
            </w:r>
          </w:p>
        </w:tc>
      </w:tr>
      <w:tr w:rsidR="0064703E" w:rsidRPr="00471C90" w14:paraId="50FAE1A8" w14:textId="77777777" w:rsidTr="001E7736">
        <w:trPr>
          <w:trHeight w:val="270"/>
        </w:trPr>
        <w:tc>
          <w:tcPr>
            <w:tcW w:w="9062" w:type="dxa"/>
            <w:shd w:val="clear" w:color="auto" w:fill="auto"/>
            <w:vAlign w:val="center"/>
          </w:tcPr>
          <w:p w14:paraId="3AF7D6DE" w14:textId="78A5ACF6" w:rsidR="0064703E" w:rsidRPr="00471C90" w:rsidRDefault="0028157E" w:rsidP="001E7736">
            <w:pPr>
              <w:rPr>
                <w:rFonts w:cs="Times New Roman"/>
                <w:szCs w:val="24"/>
                <w:lang w:val="sr-Cyrl-CS"/>
              </w:rPr>
            </w:pPr>
            <w:r w:rsidRPr="00471C90">
              <w:rPr>
                <w:rFonts w:cs="Times New Roman"/>
                <w:szCs w:val="24"/>
                <w:lang w:val="sr-Cyrl-CS"/>
              </w:rPr>
              <w:t>институционално управљачко организациона</w:t>
            </w:r>
          </w:p>
        </w:tc>
      </w:tr>
      <w:tr w:rsidR="0064703E" w:rsidRPr="00471C90" w14:paraId="4AD17E79" w14:textId="77777777" w:rsidTr="001E7736">
        <w:tc>
          <w:tcPr>
            <w:tcW w:w="9062" w:type="dxa"/>
            <w:shd w:val="clear" w:color="auto" w:fill="FFFBD5"/>
            <w:vAlign w:val="center"/>
          </w:tcPr>
          <w:p w14:paraId="43AFD029" w14:textId="6BD1198B" w:rsidR="0064703E" w:rsidRPr="00471C90" w:rsidRDefault="0028157E" w:rsidP="001E7736">
            <w:pPr>
              <w:rPr>
                <w:rFonts w:cs="Times New Roman"/>
                <w:szCs w:val="24"/>
                <w:lang w:val="sr-Cyrl-CS"/>
              </w:rPr>
            </w:pPr>
            <w:r w:rsidRPr="00471C90">
              <w:rPr>
                <w:rFonts w:cs="Times New Roman"/>
                <w:bCs/>
                <w:i/>
                <w:iCs/>
                <w:szCs w:val="24"/>
                <w:lang w:val="sr-Cyrl-CS"/>
              </w:rPr>
              <w:t>Рок за примену</w:t>
            </w:r>
            <w:r w:rsidR="0064703E" w:rsidRPr="00471C90">
              <w:rPr>
                <w:rFonts w:cs="Times New Roman"/>
                <w:bCs/>
                <w:i/>
                <w:iCs/>
                <w:szCs w:val="24"/>
                <w:lang w:val="sr-Cyrl-CS"/>
              </w:rPr>
              <w:t>:</w:t>
            </w:r>
          </w:p>
        </w:tc>
      </w:tr>
      <w:tr w:rsidR="0064703E" w:rsidRPr="00471C90" w14:paraId="7B52A835" w14:textId="77777777" w:rsidTr="001E7736">
        <w:tc>
          <w:tcPr>
            <w:tcW w:w="9062" w:type="dxa"/>
            <w:vAlign w:val="center"/>
          </w:tcPr>
          <w:p w14:paraId="61EDD008" w14:textId="28A25834" w:rsidR="0064703E" w:rsidRPr="00471C90" w:rsidRDefault="00453209" w:rsidP="001E7736">
            <w:pPr>
              <w:rPr>
                <w:rFonts w:cs="Times New Roman"/>
                <w:szCs w:val="24"/>
                <w:lang w:val="sr-Cyrl-CS"/>
              </w:rPr>
            </w:pPr>
            <w:r w:rsidRPr="00471C90">
              <w:rPr>
                <w:rFonts w:cs="Times New Roman"/>
                <w:szCs w:val="24"/>
                <w:lang w:val="sr-Cyrl-CS"/>
              </w:rPr>
              <w:t>4</w:t>
            </w:r>
            <w:r w:rsidR="0064703E" w:rsidRPr="00471C90">
              <w:rPr>
                <w:rFonts w:cs="Times New Roman"/>
                <w:szCs w:val="24"/>
                <w:lang w:val="sr-Cyrl-CS"/>
              </w:rPr>
              <w:t xml:space="preserve">. </w:t>
            </w:r>
            <w:r w:rsidR="0028157E" w:rsidRPr="00471C90">
              <w:rPr>
                <w:rFonts w:cs="Times New Roman"/>
                <w:szCs w:val="24"/>
                <w:lang w:val="sr-Cyrl-CS"/>
              </w:rPr>
              <w:t>квартал</w:t>
            </w:r>
            <w:r w:rsidR="0064703E" w:rsidRPr="00471C90">
              <w:rPr>
                <w:rFonts w:cs="Times New Roman"/>
                <w:szCs w:val="24"/>
                <w:lang w:val="sr-Cyrl-CS"/>
              </w:rPr>
              <w:t xml:space="preserve"> </w:t>
            </w:r>
            <w:r w:rsidR="008700B4" w:rsidRPr="00471C90">
              <w:rPr>
                <w:rFonts w:cs="Times New Roman"/>
                <w:szCs w:val="24"/>
                <w:lang w:val="sr-Cyrl-CS"/>
              </w:rPr>
              <w:t>2023</w:t>
            </w:r>
            <w:r w:rsidR="0064703E" w:rsidRPr="00471C90">
              <w:rPr>
                <w:rFonts w:cs="Times New Roman"/>
                <w:szCs w:val="24"/>
                <w:lang w:val="sr-Cyrl-CS"/>
              </w:rPr>
              <w:t xml:space="preserve">. </w:t>
            </w:r>
            <w:r w:rsidR="0028157E" w:rsidRPr="00471C90">
              <w:rPr>
                <w:rFonts w:cs="Times New Roman"/>
                <w:szCs w:val="24"/>
                <w:lang w:val="sr-Cyrl-CS"/>
              </w:rPr>
              <w:t>године</w:t>
            </w:r>
          </w:p>
        </w:tc>
      </w:tr>
      <w:tr w:rsidR="00C83B54" w:rsidRPr="00471C90" w14:paraId="3D00EB30" w14:textId="77777777" w:rsidTr="001E7736">
        <w:tc>
          <w:tcPr>
            <w:tcW w:w="9062" w:type="dxa"/>
            <w:shd w:val="clear" w:color="auto" w:fill="FFFBD5"/>
            <w:vAlign w:val="center"/>
          </w:tcPr>
          <w:p w14:paraId="2D0BE946" w14:textId="565F3AAB" w:rsidR="00C83B54" w:rsidRPr="00471C90" w:rsidRDefault="00C83B54" w:rsidP="00C83B54">
            <w:pPr>
              <w:rPr>
                <w:rFonts w:cs="Times New Roman"/>
                <w:bCs/>
                <w:i/>
                <w:iCs/>
                <w:szCs w:val="24"/>
                <w:lang w:val="sr-Cyrl-CS"/>
              </w:rPr>
            </w:pPr>
            <w:r w:rsidRPr="00471C90">
              <w:rPr>
                <w:rFonts w:cs="Times New Roman"/>
                <w:bCs/>
                <w:i/>
                <w:iCs/>
                <w:szCs w:val="24"/>
                <w:lang w:val="sr-Cyrl-CS"/>
              </w:rPr>
              <w:lastRenderedPageBreak/>
              <w:t>Показатељи учинка:</w:t>
            </w:r>
          </w:p>
        </w:tc>
      </w:tr>
      <w:tr w:rsidR="0064703E" w:rsidRPr="00471C90" w14:paraId="4F9E40FA" w14:textId="77777777" w:rsidTr="001E7736">
        <w:tc>
          <w:tcPr>
            <w:tcW w:w="9062" w:type="dxa"/>
            <w:vAlign w:val="center"/>
          </w:tcPr>
          <w:p w14:paraId="190E05F7" w14:textId="1850C156" w:rsidR="00E6390A" w:rsidRPr="00471C90" w:rsidRDefault="00EE4716" w:rsidP="001E7736">
            <w:pPr>
              <w:rPr>
                <w:rFonts w:cs="Times New Roman"/>
                <w:szCs w:val="24"/>
                <w:lang w:val="sr-Cyrl-CS"/>
              </w:rPr>
            </w:pPr>
            <w:r w:rsidRPr="00471C90">
              <w:rPr>
                <w:rFonts w:cs="Times New Roman"/>
                <w:szCs w:val="24"/>
                <w:lang w:val="sr-Cyrl-CS"/>
              </w:rPr>
              <w:t>1</w:t>
            </w:r>
            <w:r w:rsidR="004011D0" w:rsidRPr="00471C90">
              <w:rPr>
                <w:rFonts w:cs="Times New Roman"/>
                <w:szCs w:val="24"/>
                <w:lang w:val="sr-Cyrl-CS"/>
              </w:rPr>
              <w:t xml:space="preserve">) </w:t>
            </w:r>
            <w:r w:rsidR="005017C2" w:rsidRPr="00471C90">
              <w:rPr>
                <w:rFonts w:cs="Times New Roman"/>
                <w:szCs w:val="24"/>
                <w:lang w:val="sr-Cyrl-CS"/>
              </w:rPr>
              <w:t xml:space="preserve">Израда плана за унапређење кадровских, техничких и </w:t>
            </w:r>
            <w:r w:rsidR="003060E1" w:rsidRPr="00471C90">
              <w:rPr>
                <w:rFonts w:cs="Times New Roman"/>
                <w:szCs w:val="24"/>
                <w:lang w:val="sr-Cyrl-CS"/>
              </w:rPr>
              <w:t>информационо</w:t>
            </w:r>
            <w:r w:rsidR="005C5B7C" w:rsidRPr="00471C90">
              <w:rPr>
                <w:rFonts w:cs="Times New Roman"/>
                <w:szCs w:val="24"/>
                <w:lang w:val="sr-Cyrl-CS"/>
              </w:rPr>
              <w:t>-</w:t>
            </w:r>
            <w:r w:rsidR="003060E1" w:rsidRPr="00471C90">
              <w:rPr>
                <w:rFonts w:cs="Times New Roman"/>
                <w:szCs w:val="24"/>
                <w:lang w:val="sr-Cyrl-CS"/>
              </w:rPr>
              <w:t xml:space="preserve">технолошких </w:t>
            </w:r>
            <w:r w:rsidR="005017C2" w:rsidRPr="00471C90">
              <w:rPr>
                <w:rFonts w:cs="Times New Roman"/>
                <w:szCs w:val="24"/>
                <w:lang w:val="sr-Cyrl-CS"/>
              </w:rPr>
              <w:t xml:space="preserve">капацитета </w:t>
            </w:r>
            <w:r w:rsidR="0028157E" w:rsidRPr="00471C90">
              <w:rPr>
                <w:rFonts w:cs="Times New Roman"/>
                <w:szCs w:val="24"/>
                <w:lang w:val="sr-Cyrl-CS"/>
              </w:rPr>
              <w:t>у Фонду за развој</w:t>
            </w:r>
          </w:p>
          <w:p w14:paraId="674B5239" w14:textId="6D15B956" w:rsidR="004011D0" w:rsidRPr="00471C90" w:rsidRDefault="005017C2" w:rsidP="001E7736">
            <w:pPr>
              <w:rPr>
                <w:rFonts w:cs="Times New Roman"/>
                <w:szCs w:val="24"/>
                <w:highlight w:val="yellow"/>
                <w:lang w:val="sr-Cyrl-CS"/>
              </w:rPr>
            </w:pPr>
            <w:r w:rsidRPr="00471C90">
              <w:rPr>
                <w:rFonts w:cs="Times New Roman"/>
                <w:szCs w:val="24"/>
                <w:lang w:val="sr-Cyrl-CS"/>
              </w:rPr>
              <w:t>2</w:t>
            </w:r>
            <w:r w:rsidR="00E6390A" w:rsidRPr="00471C90">
              <w:rPr>
                <w:rFonts w:cs="Times New Roman"/>
                <w:szCs w:val="24"/>
                <w:lang w:val="sr-Cyrl-CS"/>
              </w:rPr>
              <w:t xml:space="preserve">) </w:t>
            </w:r>
            <w:r w:rsidRPr="00471C90">
              <w:rPr>
                <w:rFonts w:cs="Times New Roman"/>
                <w:szCs w:val="24"/>
                <w:lang w:val="sr-Cyrl-CS"/>
              </w:rPr>
              <w:t xml:space="preserve">Израда плана за унапређење кадровских, техничких и </w:t>
            </w:r>
            <w:r w:rsidR="003060E1" w:rsidRPr="00471C90">
              <w:rPr>
                <w:rFonts w:cs="Times New Roman"/>
                <w:szCs w:val="24"/>
                <w:lang w:val="sr-Cyrl-CS"/>
              </w:rPr>
              <w:t>информационо</w:t>
            </w:r>
            <w:r w:rsidR="005C5B7C" w:rsidRPr="00471C90">
              <w:rPr>
                <w:rFonts w:cs="Times New Roman"/>
                <w:szCs w:val="24"/>
                <w:lang w:val="sr-Cyrl-CS"/>
              </w:rPr>
              <w:t>-</w:t>
            </w:r>
            <w:r w:rsidR="003060E1" w:rsidRPr="00471C90">
              <w:rPr>
                <w:rFonts w:cs="Times New Roman"/>
                <w:szCs w:val="24"/>
                <w:lang w:val="sr-Cyrl-CS"/>
              </w:rPr>
              <w:t>технолошких</w:t>
            </w:r>
            <w:r w:rsidRPr="00471C90">
              <w:rPr>
                <w:rFonts w:cs="Times New Roman"/>
                <w:szCs w:val="24"/>
                <w:lang w:val="sr-Cyrl-CS"/>
              </w:rPr>
              <w:t xml:space="preserve"> капацитета у АОФИ</w:t>
            </w:r>
          </w:p>
        </w:tc>
      </w:tr>
      <w:tr w:rsidR="0064703E" w:rsidRPr="00471C90" w14:paraId="0F8235E7" w14:textId="77777777" w:rsidTr="001E7736">
        <w:tc>
          <w:tcPr>
            <w:tcW w:w="9062" w:type="dxa"/>
            <w:shd w:val="clear" w:color="auto" w:fill="FFFBD5"/>
            <w:vAlign w:val="center"/>
          </w:tcPr>
          <w:p w14:paraId="052FA2B9" w14:textId="4CB8E8B4" w:rsidR="0064703E" w:rsidRPr="00471C90" w:rsidRDefault="0028157E" w:rsidP="001E7736">
            <w:pPr>
              <w:rPr>
                <w:rFonts w:cs="Times New Roman"/>
                <w:szCs w:val="24"/>
                <w:lang w:val="sr-Cyrl-CS"/>
              </w:rPr>
            </w:pPr>
            <w:r w:rsidRPr="00471C90">
              <w:rPr>
                <w:rFonts w:cs="Times New Roman"/>
                <w:bCs/>
                <w:i/>
                <w:iCs/>
                <w:szCs w:val="24"/>
                <w:lang w:val="sr-Cyrl-CS"/>
              </w:rPr>
              <w:t>Надлежна институција</w:t>
            </w:r>
            <w:r w:rsidR="0064703E" w:rsidRPr="00471C90">
              <w:rPr>
                <w:rFonts w:cs="Times New Roman"/>
                <w:bCs/>
                <w:i/>
                <w:iCs/>
                <w:szCs w:val="24"/>
                <w:lang w:val="sr-Cyrl-CS"/>
              </w:rPr>
              <w:t>:</w:t>
            </w:r>
          </w:p>
        </w:tc>
      </w:tr>
      <w:tr w:rsidR="0064703E" w:rsidRPr="00471C90" w14:paraId="5B4197C4" w14:textId="77777777" w:rsidTr="001E7736">
        <w:tc>
          <w:tcPr>
            <w:tcW w:w="9062" w:type="dxa"/>
            <w:vAlign w:val="center"/>
          </w:tcPr>
          <w:p w14:paraId="115A9638" w14:textId="48B269C4" w:rsidR="0064703E" w:rsidRPr="00471C90" w:rsidRDefault="0028157E" w:rsidP="001E7736">
            <w:pPr>
              <w:rPr>
                <w:rFonts w:cs="Times New Roman"/>
                <w:szCs w:val="24"/>
                <w:lang w:val="sr-Cyrl-CS"/>
              </w:rPr>
            </w:pPr>
            <w:r w:rsidRPr="00471C90">
              <w:rPr>
                <w:rFonts w:cs="Times New Roman"/>
                <w:szCs w:val="24"/>
                <w:lang w:val="sr-Cyrl-CS"/>
              </w:rPr>
              <w:t>Фонд за развој; АОФИ</w:t>
            </w:r>
          </w:p>
        </w:tc>
      </w:tr>
      <w:tr w:rsidR="0064703E" w:rsidRPr="00471C90" w14:paraId="7CC3F9E9" w14:textId="77777777" w:rsidTr="001E7736">
        <w:tc>
          <w:tcPr>
            <w:tcW w:w="9062" w:type="dxa"/>
            <w:shd w:val="clear" w:color="auto" w:fill="FFFBD5"/>
            <w:vAlign w:val="center"/>
          </w:tcPr>
          <w:p w14:paraId="7E682798" w14:textId="02DB805C" w:rsidR="0064703E" w:rsidRPr="00471C90" w:rsidRDefault="0028157E" w:rsidP="001E7736">
            <w:pPr>
              <w:rPr>
                <w:rFonts w:cs="Times New Roman"/>
                <w:bCs/>
                <w:i/>
                <w:iCs/>
                <w:szCs w:val="24"/>
                <w:lang w:val="sr-Cyrl-CS"/>
              </w:rPr>
            </w:pPr>
            <w:r w:rsidRPr="00471C90">
              <w:rPr>
                <w:rFonts w:cs="Times New Roman"/>
                <w:bCs/>
                <w:i/>
                <w:iCs/>
                <w:szCs w:val="24"/>
                <w:lang w:val="sr-Cyrl-CS"/>
              </w:rPr>
              <w:t>Опис</w:t>
            </w:r>
            <w:r w:rsidR="0064703E" w:rsidRPr="00471C90">
              <w:rPr>
                <w:rFonts w:cs="Times New Roman"/>
                <w:bCs/>
                <w:i/>
                <w:iCs/>
                <w:szCs w:val="24"/>
                <w:lang w:val="sr-Cyrl-CS"/>
              </w:rPr>
              <w:t>:</w:t>
            </w:r>
          </w:p>
        </w:tc>
      </w:tr>
      <w:tr w:rsidR="0064703E" w:rsidRPr="00471C90" w14:paraId="03BFDCB0" w14:textId="77777777" w:rsidTr="001E7736">
        <w:tc>
          <w:tcPr>
            <w:tcW w:w="9062" w:type="dxa"/>
            <w:tcBorders>
              <w:bottom w:val="single" w:sz="4" w:space="0" w:color="auto"/>
            </w:tcBorders>
            <w:vAlign w:val="center"/>
          </w:tcPr>
          <w:p w14:paraId="5BB2368F" w14:textId="757401D0" w:rsidR="00A37FB5" w:rsidRPr="00471C90" w:rsidRDefault="0028157E" w:rsidP="00587627">
            <w:pPr>
              <w:spacing w:afterLines="120" w:after="288"/>
              <w:jc w:val="both"/>
              <w:rPr>
                <w:rFonts w:cs="Times New Roman"/>
                <w:szCs w:val="24"/>
                <w:lang w:val="sr-Cyrl-CS"/>
              </w:rPr>
            </w:pPr>
            <w:r w:rsidRPr="00471C90">
              <w:rPr>
                <w:rFonts w:cs="Times New Roman"/>
                <w:szCs w:val="24"/>
                <w:lang w:val="sr-Cyrl-CS"/>
              </w:rPr>
              <w:t xml:space="preserve">Институције за развојно финансирање морају имати одговарајуће ресурсе у погледу: (1) особља; (2) средстава потребних за пословање; (3) </w:t>
            </w:r>
            <w:r w:rsidR="003060E1" w:rsidRPr="00471C90">
              <w:rPr>
                <w:rFonts w:cs="Times New Roman"/>
                <w:szCs w:val="24"/>
                <w:lang w:val="sr-Cyrl-CS"/>
              </w:rPr>
              <w:t>информационо</w:t>
            </w:r>
            <w:r w:rsidR="005C5B7C" w:rsidRPr="00471C90">
              <w:rPr>
                <w:rFonts w:cs="Times New Roman"/>
                <w:szCs w:val="24"/>
                <w:lang w:val="sr-Cyrl-CS"/>
              </w:rPr>
              <w:t>-</w:t>
            </w:r>
            <w:r w:rsidR="003060E1" w:rsidRPr="00471C90">
              <w:rPr>
                <w:rFonts w:cs="Times New Roman"/>
                <w:szCs w:val="24"/>
                <w:lang w:val="sr-Cyrl-CS"/>
              </w:rPr>
              <w:t>технолошке</w:t>
            </w:r>
            <w:r w:rsidRPr="00471C90">
              <w:rPr>
                <w:rFonts w:cs="Times New Roman"/>
                <w:szCs w:val="24"/>
                <w:lang w:val="sr-Cyrl-CS"/>
              </w:rPr>
              <w:t xml:space="preserve"> подршке и др. Додатни извори финансирања и спровођење других мера би требало да створе основу за привлачење и даљи развој </w:t>
            </w:r>
            <w:r w:rsidR="00F1427E" w:rsidRPr="00471C90">
              <w:rPr>
                <w:rFonts w:cs="Times New Roman"/>
                <w:szCs w:val="24"/>
                <w:lang w:val="sr-Cyrl-CS"/>
              </w:rPr>
              <w:t>наведених</w:t>
            </w:r>
            <w:r w:rsidRPr="00471C90">
              <w:rPr>
                <w:rFonts w:cs="Times New Roman"/>
                <w:szCs w:val="24"/>
                <w:lang w:val="sr-Cyrl-CS"/>
              </w:rPr>
              <w:t xml:space="preserve"> капацитета како би се на адекватан начин подржало испуњавање циљева институција.Све развојне финансијске институције морају ојачати базу ресурса у циљу побољшања пословних перформанси. За то је потребно:</w:t>
            </w:r>
          </w:p>
          <w:p w14:paraId="2F6BD3A7" w14:textId="163072D6" w:rsidR="0028157E" w:rsidRPr="00471C90" w:rsidRDefault="0028157E" w:rsidP="00587627">
            <w:pPr>
              <w:pStyle w:val="ListParagraph"/>
              <w:numPr>
                <w:ilvl w:val="0"/>
                <w:numId w:val="31"/>
              </w:numPr>
              <w:spacing w:afterLines="120" w:after="288"/>
              <w:rPr>
                <w:rFonts w:ascii="Times New Roman" w:hAnsi="Times New Roman" w:cs="Times New Roman"/>
                <w:szCs w:val="24"/>
                <w:lang w:val="sr-Cyrl-CS"/>
              </w:rPr>
            </w:pPr>
            <w:r w:rsidRPr="00471C90">
              <w:rPr>
                <w:rFonts w:ascii="Times New Roman" w:hAnsi="Times New Roman" w:cs="Times New Roman"/>
                <w:szCs w:val="24"/>
                <w:lang w:val="sr-Cyrl-CS"/>
              </w:rPr>
              <w:t>оснажити (ојачати) језгро компетенција, стицањем нових знања запослених, пријемом у радни однос недостајућих профила, професија и специјалности,</w:t>
            </w:r>
          </w:p>
          <w:p w14:paraId="05575E0D" w14:textId="2407DD59" w:rsidR="0064703E" w:rsidRPr="00471C90" w:rsidRDefault="0028157E">
            <w:pPr>
              <w:pStyle w:val="ListParagraph"/>
              <w:numPr>
                <w:ilvl w:val="0"/>
                <w:numId w:val="31"/>
              </w:numPr>
              <w:spacing w:afterLines="120" w:after="288"/>
              <w:rPr>
                <w:rFonts w:ascii="Times New Roman" w:hAnsi="Times New Roman" w:cs="Times New Roman"/>
                <w:szCs w:val="24"/>
                <w:lang w:val="sr-Cyrl-CS"/>
              </w:rPr>
            </w:pPr>
            <w:r w:rsidRPr="00471C90">
              <w:rPr>
                <w:rFonts w:ascii="Times New Roman" w:hAnsi="Times New Roman" w:cs="Times New Roman"/>
                <w:szCs w:val="24"/>
                <w:lang w:val="sr-Cyrl-CS"/>
              </w:rPr>
              <w:t>обезбедити већи обим финансијских средстава потребних за креди</w:t>
            </w:r>
            <w:r w:rsidR="00A37FB5" w:rsidRPr="00471C90">
              <w:rPr>
                <w:rFonts w:ascii="Times New Roman" w:hAnsi="Times New Roman" w:cs="Times New Roman"/>
                <w:szCs w:val="24"/>
                <w:lang w:val="sr-Cyrl-CS"/>
              </w:rPr>
              <w:t>т</w:t>
            </w:r>
            <w:r w:rsidRPr="00471C90">
              <w:rPr>
                <w:rFonts w:ascii="Times New Roman" w:hAnsi="Times New Roman" w:cs="Times New Roman"/>
                <w:szCs w:val="24"/>
                <w:lang w:val="sr-Cyrl-CS"/>
              </w:rPr>
              <w:t>ирање развоја</w:t>
            </w:r>
            <w:r w:rsidR="009704E2" w:rsidRPr="00471C90">
              <w:rPr>
                <w:rFonts w:ascii="Times New Roman" w:hAnsi="Times New Roman" w:cs="Times New Roman"/>
                <w:szCs w:val="24"/>
                <w:lang w:val="sr-Cyrl-CS"/>
              </w:rPr>
              <w:t xml:space="preserve"> интерних капацитета</w:t>
            </w:r>
            <w:r w:rsidRPr="00471C90">
              <w:rPr>
                <w:rFonts w:ascii="Times New Roman" w:hAnsi="Times New Roman" w:cs="Times New Roman"/>
                <w:szCs w:val="24"/>
                <w:lang w:val="sr-Cyrl-CS"/>
              </w:rPr>
              <w:t xml:space="preserve"> и увести савременију </w:t>
            </w:r>
            <w:r w:rsidR="003060E1" w:rsidRPr="00471C90">
              <w:rPr>
                <w:rFonts w:ascii="Times New Roman" w:hAnsi="Times New Roman" w:cs="Times New Roman"/>
                <w:szCs w:val="24"/>
                <w:lang w:val="sr-Cyrl-CS"/>
              </w:rPr>
              <w:t>информационо</w:t>
            </w:r>
            <w:r w:rsidR="005C5B7C" w:rsidRPr="00471C90">
              <w:rPr>
                <w:rFonts w:ascii="Times New Roman" w:hAnsi="Times New Roman" w:cs="Times New Roman"/>
                <w:szCs w:val="24"/>
                <w:lang w:val="sr-Cyrl-CS"/>
              </w:rPr>
              <w:t>-</w:t>
            </w:r>
            <w:r w:rsidR="003060E1" w:rsidRPr="00471C90">
              <w:rPr>
                <w:rFonts w:ascii="Times New Roman" w:hAnsi="Times New Roman" w:cs="Times New Roman"/>
                <w:szCs w:val="24"/>
                <w:lang w:val="sr-Cyrl-CS"/>
              </w:rPr>
              <w:t>технолошку</w:t>
            </w:r>
            <w:r w:rsidRPr="00471C90">
              <w:rPr>
                <w:rFonts w:ascii="Times New Roman" w:hAnsi="Times New Roman" w:cs="Times New Roman"/>
                <w:szCs w:val="24"/>
                <w:lang w:val="sr-Cyrl-CS"/>
              </w:rPr>
              <w:t xml:space="preserve"> подршку.</w:t>
            </w:r>
          </w:p>
        </w:tc>
      </w:tr>
    </w:tbl>
    <w:p w14:paraId="6EA9EE45" w14:textId="77777777" w:rsidR="00834EF8" w:rsidRPr="00471C90" w:rsidRDefault="00834EF8" w:rsidP="00E00ADF">
      <w:pPr>
        <w:spacing w:after="0"/>
        <w:rPr>
          <w:rFonts w:cs="Times New Roman"/>
          <w:szCs w:val="24"/>
          <w:lang w:val="sr-Cyrl-CS"/>
        </w:rPr>
      </w:pPr>
    </w:p>
    <w:tbl>
      <w:tblPr>
        <w:tblStyle w:val="TableGrid"/>
        <w:tblW w:w="0" w:type="auto"/>
        <w:tblLook w:val="04A0" w:firstRow="1" w:lastRow="0" w:firstColumn="1" w:lastColumn="0" w:noHBand="0" w:noVBand="1"/>
      </w:tblPr>
      <w:tblGrid>
        <w:gridCol w:w="9062"/>
      </w:tblGrid>
      <w:tr w:rsidR="0064703E" w:rsidRPr="00471C90" w14:paraId="752E7E75" w14:textId="77777777" w:rsidTr="001E7736">
        <w:tc>
          <w:tcPr>
            <w:tcW w:w="9062" w:type="dxa"/>
            <w:shd w:val="clear" w:color="auto" w:fill="FFE600"/>
            <w:vAlign w:val="center"/>
          </w:tcPr>
          <w:p w14:paraId="4811FD48" w14:textId="6C052863" w:rsidR="0064703E" w:rsidRPr="00471C90" w:rsidRDefault="004A0C1B" w:rsidP="00B114F2">
            <w:pPr>
              <w:rPr>
                <w:rFonts w:cs="Times New Roman"/>
                <w:bCs/>
                <w:szCs w:val="24"/>
                <w:lang w:val="sr-Cyrl-CS"/>
              </w:rPr>
            </w:pPr>
            <w:r w:rsidRPr="00471C90">
              <w:rPr>
                <w:rFonts w:cs="Times New Roman"/>
                <w:bCs/>
                <w:szCs w:val="24"/>
                <w:lang w:val="sr-Cyrl-CS"/>
              </w:rPr>
              <w:t>Мера 5: Докапитализација и кредитне линије финансиране из буџета</w:t>
            </w:r>
            <w:r w:rsidR="00B114F2" w:rsidRPr="00471C90">
              <w:rPr>
                <w:rFonts w:cs="Times New Roman"/>
                <w:bCs/>
                <w:szCs w:val="24"/>
                <w:lang w:val="sr-Cyrl-CS"/>
              </w:rPr>
              <w:t xml:space="preserve"> Републике Србије</w:t>
            </w:r>
          </w:p>
        </w:tc>
      </w:tr>
      <w:tr w:rsidR="0064703E" w:rsidRPr="00471C90" w14:paraId="515E454D" w14:textId="77777777" w:rsidTr="001E7736">
        <w:trPr>
          <w:trHeight w:val="270"/>
        </w:trPr>
        <w:tc>
          <w:tcPr>
            <w:tcW w:w="9062" w:type="dxa"/>
            <w:shd w:val="clear" w:color="auto" w:fill="FFFBD5"/>
            <w:vAlign w:val="center"/>
          </w:tcPr>
          <w:p w14:paraId="13B63D67" w14:textId="2A172955" w:rsidR="0064703E" w:rsidRPr="00471C90" w:rsidRDefault="0028157E" w:rsidP="001E7736">
            <w:pPr>
              <w:rPr>
                <w:rFonts w:cs="Times New Roman"/>
                <w:szCs w:val="24"/>
                <w:lang w:val="sr-Cyrl-CS"/>
              </w:rPr>
            </w:pPr>
            <w:r w:rsidRPr="00471C90">
              <w:rPr>
                <w:rFonts w:cs="Times New Roman"/>
                <w:bCs/>
                <w:i/>
                <w:iCs/>
                <w:szCs w:val="24"/>
                <w:lang w:val="sr-Cyrl-CS"/>
              </w:rPr>
              <w:t>Врста мере</w:t>
            </w:r>
            <w:r w:rsidR="0064703E" w:rsidRPr="00471C90">
              <w:rPr>
                <w:rFonts w:cs="Times New Roman"/>
                <w:bCs/>
                <w:i/>
                <w:iCs/>
                <w:szCs w:val="24"/>
                <w:lang w:val="sr-Cyrl-CS"/>
              </w:rPr>
              <w:t>:</w:t>
            </w:r>
          </w:p>
        </w:tc>
      </w:tr>
      <w:tr w:rsidR="0064703E" w:rsidRPr="00471C90" w14:paraId="078CCE4D" w14:textId="77777777" w:rsidTr="001E7736">
        <w:trPr>
          <w:trHeight w:val="270"/>
        </w:trPr>
        <w:tc>
          <w:tcPr>
            <w:tcW w:w="9062" w:type="dxa"/>
            <w:shd w:val="clear" w:color="auto" w:fill="auto"/>
            <w:vAlign w:val="center"/>
          </w:tcPr>
          <w:p w14:paraId="28956D3F" w14:textId="446DC6FA" w:rsidR="0064703E" w:rsidRPr="00471C90" w:rsidRDefault="0028157E" w:rsidP="001E7736">
            <w:pPr>
              <w:rPr>
                <w:rFonts w:cs="Times New Roman"/>
                <w:szCs w:val="24"/>
                <w:lang w:val="sr-Cyrl-CS"/>
              </w:rPr>
            </w:pPr>
            <w:r w:rsidRPr="00471C90">
              <w:rPr>
                <w:rFonts w:cs="Times New Roman"/>
                <w:szCs w:val="24"/>
                <w:lang w:val="sr-Cyrl-CS"/>
              </w:rPr>
              <w:t>подстицајна</w:t>
            </w:r>
          </w:p>
        </w:tc>
      </w:tr>
      <w:tr w:rsidR="0064703E" w:rsidRPr="00471C90" w14:paraId="1EAF5F30" w14:textId="77777777" w:rsidTr="001E7736">
        <w:tc>
          <w:tcPr>
            <w:tcW w:w="9062" w:type="dxa"/>
            <w:shd w:val="clear" w:color="auto" w:fill="FFFBD5"/>
            <w:vAlign w:val="center"/>
          </w:tcPr>
          <w:p w14:paraId="3FD30D3B" w14:textId="3962B8A7" w:rsidR="0064703E" w:rsidRPr="00471C90" w:rsidRDefault="0028157E" w:rsidP="001E7736">
            <w:pPr>
              <w:rPr>
                <w:rFonts w:cs="Times New Roman"/>
                <w:szCs w:val="24"/>
                <w:lang w:val="sr-Cyrl-CS"/>
              </w:rPr>
            </w:pPr>
            <w:r w:rsidRPr="00471C90">
              <w:rPr>
                <w:rFonts w:cs="Times New Roman"/>
                <w:bCs/>
                <w:i/>
                <w:iCs/>
                <w:szCs w:val="24"/>
                <w:lang w:val="sr-Cyrl-CS"/>
              </w:rPr>
              <w:t>Рок за примену</w:t>
            </w:r>
            <w:r w:rsidR="0064703E" w:rsidRPr="00471C90">
              <w:rPr>
                <w:rFonts w:cs="Times New Roman"/>
                <w:bCs/>
                <w:i/>
                <w:iCs/>
                <w:szCs w:val="24"/>
                <w:lang w:val="sr-Cyrl-CS"/>
              </w:rPr>
              <w:t>:</w:t>
            </w:r>
          </w:p>
        </w:tc>
      </w:tr>
      <w:tr w:rsidR="0064703E" w:rsidRPr="00471C90" w14:paraId="56897404" w14:textId="77777777" w:rsidTr="001E7736">
        <w:tc>
          <w:tcPr>
            <w:tcW w:w="9062" w:type="dxa"/>
            <w:vAlign w:val="center"/>
          </w:tcPr>
          <w:p w14:paraId="48E3643E" w14:textId="274BA97A" w:rsidR="0064703E" w:rsidRPr="00471C90" w:rsidRDefault="00453209" w:rsidP="00453209">
            <w:pPr>
              <w:rPr>
                <w:rFonts w:cs="Times New Roman"/>
                <w:szCs w:val="24"/>
                <w:lang w:val="sr-Cyrl-CS"/>
              </w:rPr>
            </w:pPr>
            <w:r w:rsidRPr="00471C90">
              <w:rPr>
                <w:rFonts w:cs="Times New Roman"/>
                <w:szCs w:val="24"/>
                <w:lang w:val="sr-Cyrl-CS"/>
              </w:rPr>
              <w:t>1</w:t>
            </w:r>
            <w:r w:rsidR="0064703E" w:rsidRPr="00471C90">
              <w:rPr>
                <w:rFonts w:cs="Times New Roman"/>
                <w:szCs w:val="24"/>
                <w:lang w:val="sr-Cyrl-CS"/>
              </w:rPr>
              <w:t xml:space="preserve">. </w:t>
            </w:r>
            <w:r w:rsidR="0028157E" w:rsidRPr="00471C90">
              <w:rPr>
                <w:rFonts w:cs="Times New Roman"/>
                <w:szCs w:val="24"/>
                <w:lang w:val="sr-Cyrl-CS"/>
              </w:rPr>
              <w:t xml:space="preserve">квартал </w:t>
            </w:r>
            <w:r w:rsidRPr="00471C90">
              <w:rPr>
                <w:rFonts w:cs="Times New Roman"/>
                <w:szCs w:val="24"/>
                <w:lang w:val="sr-Cyrl-CS"/>
              </w:rPr>
              <w:t>2023</w:t>
            </w:r>
            <w:r w:rsidR="0064703E" w:rsidRPr="00471C90">
              <w:rPr>
                <w:rFonts w:cs="Times New Roman"/>
                <w:szCs w:val="24"/>
                <w:lang w:val="sr-Cyrl-CS"/>
              </w:rPr>
              <w:t xml:space="preserve">. </w:t>
            </w:r>
            <w:r w:rsidR="0028157E" w:rsidRPr="00471C90">
              <w:rPr>
                <w:rFonts w:cs="Times New Roman"/>
                <w:szCs w:val="24"/>
                <w:lang w:val="sr-Cyrl-CS"/>
              </w:rPr>
              <w:t>године</w:t>
            </w:r>
          </w:p>
        </w:tc>
      </w:tr>
      <w:tr w:rsidR="0064703E" w:rsidRPr="00471C90" w14:paraId="680FB93C" w14:textId="77777777" w:rsidTr="001E7736">
        <w:tc>
          <w:tcPr>
            <w:tcW w:w="9062" w:type="dxa"/>
            <w:shd w:val="clear" w:color="auto" w:fill="FFFBD5"/>
            <w:vAlign w:val="center"/>
          </w:tcPr>
          <w:p w14:paraId="7234A0F5" w14:textId="5C569009" w:rsidR="0064703E" w:rsidRPr="00471C90" w:rsidRDefault="004A0C1B" w:rsidP="001E7736">
            <w:pPr>
              <w:rPr>
                <w:rFonts w:cs="Times New Roman"/>
                <w:bCs/>
                <w:i/>
                <w:iCs/>
                <w:szCs w:val="24"/>
                <w:lang w:val="sr-Cyrl-CS"/>
              </w:rPr>
            </w:pPr>
            <w:r w:rsidRPr="00471C90">
              <w:rPr>
                <w:rFonts w:cs="Times New Roman"/>
                <w:bCs/>
                <w:i/>
                <w:iCs/>
                <w:szCs w:val="24"/>
                <w:lang w:val="sr-Cyrl-CS"/>
              </w:rPr>
              <w:t>Циљна вредност</w:t>
            </w:r>
            <w:r w:rsidR="0064703E" w:rsidRPr="00471C90">
              <w:rPr>
                <w:rFonts w:cs="Times New Roman"/>
                <w:bCs/>
                <w:i/>
                <w:iCs/>
                <w:szCs w:val="24"/>
                <w:lang w:val="sr-Cyrl-CS"/>
              </w:rPr>
              <w:t>:</w:t>
            </w:r>
          </w:p>
        </w:tc>
      </w:tr>
      <w:tr w:rsidR="0064703E" w:rsidRPr="00471C90" w14:paraId="07AF1219" w14:textId="77777777" w:rsidTr="001E7736">
        <w:tc>
          <w:tcPr>
            <w:tcW w:w="9062" w:type="dxa"/>
            <w:vAlign w:val="center"/>
          </w:tcPr>
          <w:p w14:paraId="4BE1132A" w14:textId="08B9643A" w:rsidR="0064703E" w:rsidRPr="00471C90" w:rsidRDefault="00E77243" w:rsidP="001E7736">
            <w:pPr>
              <w:rPr>
                <w:rFonts w:cs="Times New Roman"/>
                <w:szCs w:val="24"/>
                <w:lang w:val="sr-Cyrl-CS"/>
              </w:rPr>
            </w:pPr>
            <w:r w:rsidRPr="00471C90">
              <w:rPr>
                <w:rFonts w:cs="Times New Roman"/>
                <w:szCs w:val="24"/>
                <w:lang w:val="sr-Cyrl-CS"/>
              </w:rPr>
              <w:t xml:space="preserve">1) </w:t>
            </w:r>
            <w:r w:rsidR="00504B4E" w:rsidRPr="00471C90">
              <w:rPr>
                <w:rFonts w:cs="Times New Roman"/>
                <w:szCs w:val="24"/>
                <w:lang w:val="sr-Cyrl-CS"/>
              </w:rPr>
              <w:t>Израђена пројекција потребног износа средстава за докапитализацију</w:t>
            </w:r>
            <w:r w:rsidR="005A5A5C" w:rsidRPr="00471C90">
              <w:rPr>
                <w:rFonts w:cs="Times New Roman"/>
                <w:szCs w:val="24"/>
                <w:lang w:val="sr-Cyrl-CS"/>
              </w:rPr>
              <w:t xml:space="preserve"> за </w:t>
            </w:r>
            <w:r w:rsidR="00F47B25" w:rsidRPr="00471C90">
              <w:rPr>
                <w:rFonts w:cs="Times New Roman"/>
                <w:szCs w:val="24"/>
                <w:lang w:val="sr-Cyrl-CS"/>
              </w:rPr>
              <w:t>Фонд за развој</w:t>
            </w:r>
          </w:p>
          <w:p w14:paraId="3E4211BB" w14:textId="54CCCC76" w:rsidR="008C7EA3" w:rsidRPr="00471C90" w:rsidRDefault="008C7EA3" w:rsidP="00F47B25">
            <w:pPr>
              <w:rPr>
                <w:rFonts w:cs="Times New Roman"/>
                <w:szCs w:val="24"/>
                <w:lang w:val="sr-Cyrl-CS"/>
              </w:rPr>
            </w:pPr>
            <w:r w:rsidRPr="00471C90">
              <w:rPr>
                <w:rFonts w:cs="Times New Roman"/>
                <w:szCs w:val="24"/>
                <w:lang w:val="sr-Cyrl-CS"/>
              </w:rPr>
              <w:t xml:space="preserve">2) </w:t>
            </w:r>
            <w:r w:rsidR="00F47B25" w:rsidRPr="00471C90">
              <w:rPr>
                <w:rFonts w:cs="Times New Roman"/>
                <w:szCs w:val="24"/>
                <w:lang w:val="sr-Cyrl-CS"/>
              </w:rPr>
              <w:t>Израђена пројекција потребног износа средстава за докапитализацију за АОФИ</w:t>
            </w:r>
          </w:p>
        </w:tc>
      </w:tr>
      <w:tr w:rsidR="00C83B54" w:rsidRPr="00471C90" w14:paraId="15F52093" w14:textId="77777777" w:rsidTr="001E7736">
        <w:tc>
          <w:tcPr>
            <w:tcW w:w="9062" w:type="dxa"/>
            <w:shd w:val="clear" w:color="auto" w:fill="FFFBD5"/>
            <w:vAlign w:val="center"/>
          </w:tcPr>
          <w:p w14:paraId="6255F06B" w14:textId="5B8280E5" w:rsidR="00C83B54" w:rsidRPr="00471C90" w:rsidRDefault="00C83B54" w:rsidP="00C83B54">
            <w:pPr>
              <w:rPr>
                <w:rFonts w:cs="Times New Roman"/>
                <w:szCs w:val="24"/>
                <w:lang w:val="sr-Cyrl-CS"/>
              </w:rPr>
            </w:pPr>
            <w:r w:rsidRPr="00471C90">
              <w:rPr>
                <w:rFonts w:cs="Times New Roman"/>
                <w:bCs/>
                <w:i/>
                <w:iCs/>
                <w:szCs w:val="24"/>
                <w:lang w:val="sr-Cyrl-CS"/>
              </w:rPr>
              <w:t>Показатељи учинка:</w:t>
            </w:r>
          </w:p>
        </w:tc>
      </w:tr>
      <w:tr w:rsidR="0064703E" w:rsidRPr="00471C90" w14:paraId="36BD218C" w14:textId="77777777" w:rsidTr="001E7736">
        <w:tc>
          <w:tcPr>
            <w:tcW w:w="9062" w:type="dxa"/>
            <w:vAlign w:val="center"/>
          </w:tcPr>
          <w:p w14:paraId="77EF69DC" w14:textId="1C2D3EFF" w:rsidR="0064703E" w:rsidRPr="00471C90" w:rsidRDefault="0028157E" w:rsidP="001E7736">
            <w:pPr>
              <w:rPr>
                <w:rFonts w:cs="Times New Roman"/>
                <w:szCs w:val="24"/>
                <w:lang w:val="sr-Cyrl-CS"/>
              </w:rPr>
            </w:pPr>
            <w:r w:rsidRPr="00471C90">
              <w:rPr>
                <w:rFonts w:cs="Times New Roman"/>
                <w:szCs w:val="24"/>
                <w:lang w:val="sr-Cyrl-CS"/>
              </w:rPr>
              <w:t>Министарство финансија, Фонд за развој, АОФИ</w:t>
            </w:r>
          </w:p>
        </w:tc>
      </w:tr>
      <w:tr w:rsidR="0064703E" w:rsidRPr="00471C90" w14:paraId="33F1324A" w14:textId="77777777" w:rsidTr="001E7736">
        <w:tc>
          <w:tcPr>
            <w:tcW w:w="9062" w:type="dxa"/>
            <w:shd w:val="clear" w:color="auto" w:fill="FFFBD5"/>
            <w:vAlign w:val="center"/>
          </w:tcPr>
          <w:p w14:paraId="10BCBED2" w14:textId="0213D5E0" w:rsidR="0064703E" w:rsidRPr="00471C90" w:rsidRDefault="0028157E" w:rsidP="001E7736">
            <w:pPr>
              <w:rPr>
                <w:rFonts w:cs="Times New Roman"/>
                <w:bCs/>
                <w:i/>
                <w:iCs/>
                <w:szCs w:val="24"/>
                <w:lang w:val="sr-Cyrl-CS"/>
              </w:rPr>
            </w:pPr>
            <w:r w:rsidRPr="00471C90">
              <w:rPr>
                <w:rFonts w:cs="Times New Roman"/>
                <w:bCs/>
                <w:i/>
                <w:iCs/>
                <w:szCs w:val="24"/>
                <w:lang w:val="sr-Cyrl-CS"/>
              </w:rPr>
              <w:t>Опис</w:t>
            </w:r>
            <w:r w:rsidR="0064703E" w:rsidRPr="00471C90">
              <w:rPr>
                <w:rFonts w:cs="Times New Roman"/>
                <w:bCs/>
                <w:i/>
                <w:iCs/>
                <w:szCs w:val="24"/>
                <w:lang w:val="sr-Cyrl-CS"/>
              </w:rPr>
              <w:t>:</w:t>
            </w:r>
          </w:p>
        </w:tc>
      </w:tr>
      <w:tr w:rsidR="0064703E" w:rsidRPr="00471C90" w14:paraId="291B3900" w14:textId="77777777" w:rsidTr="001E7736">
        <w:tc>
          <w:tcPr>
            <w:tcW w:w="9062" w:type="dxa"/>
            <w:tcBorders>
              <w:bottom w:val="single" w:sz="4" w:space="0" w:color="auto"/>
            </w:tcBorders>
            <w:vAlign w:val="center"/>
          </w:tcPr>
          <w:p w14:paraId="2AF3E327" w14:textId="5813D9DD" w:rsidR="0064703E" w:rsidRPr="00471C90" w:rsidRDefault="0028157E" w:rsidP="001E7736">
            <w:pPr>
              <w:spacing w:after="120"/>
              <w:jc w:val="both"/>
              <w:rPr>
                <w:rFonts w:cs="Times New Roman"/>
                <w:szCs w:val="24"/>
                <w:lang w:val="sr-Cyrl-CS"/>
              </w:rPr>
            </w:pPr>
            <w:r w:rsidRPr="00471C90">
              <w:rPr>
                <w:rFonts w:cs="Times New Roman"/>
                <w:szCs w:val="24"/>
                <w:lang w:val="sr-Cyrl-CS"/>
              </w:rPr>
              <w:t>Најреалнија опција у кратком року била би докапитализација развојних финансијских институција. Иако је мало вероватно да ће то обезбедити довољне ресурсе за затварање јаза у финансирању, требало би да пружи почетни подстицај раду ових институција, кроз коришћење тих средстава за повећање обима финансирања, али и за побољшање унутрашње организације, стицање додатних ресурса итд. Докапитализацију би могле да прате и кредитне линије финансиране из буџета</w:t>
            </w:r>
            <w:r w:rsidR="00F1427E" w:rsidRPr="00471C90">
              <w:rPr>
                <w:rFonts w:cs="Times New Roman"/>
                <w:szCs w:val="24"/>
                <w:lang w:val="sr-Cyrl-CS"/>
              </w:rPr>
              <w:t xml:space="preserve"> Републике Србије</w:t>
            </w:r>
            <w:r w:rsidRPr="00471C90">
              <w:rPr>
                <w:rFonts w:cs="Times New Roman"/>
                <w:szCs w:val="24"/>
                <w:lang w:val="sr-Cyrl-CS"/>
              </w:rPr>
              <w:t>, које би биле коришћене на сличан начин.</w:t>
            </w:r>
            <w:r w:rsidR="00704E0D" w:rsidRPr="00471C90">
              <w:rPr>
                <w:rFonts w:cs="Times New Roman"/>
                <w:szCs w:val="24"/>
                <w:lang w:val="sr-Cyrl-CS"/>
              </w:rPr>
              <w:t xml:space="preserve"> </w:t>
            </w:r>
            <w:r w:rsidR="00F1427E" w:rsidRPr="00471C90">
              <w:rPr>
                <w:rFonts w:cs="Times New Roman"/>
                <w:szCs w:val="24"/>
                <w:lang w:val="sr-Cyrl-CS"/>
              </w:rPr>
              <w:t>Фонд за развој и А</w:t>
            </w:r>
            <w:r w:rsidR="00BA3932" w:rsidRPr="00471C90">
              <w:rPr>
                <w:rFonts w:cs="Times New Roman"/>
                <w:szCs w:val="24"/>
                <w:lang w:val="sr-Cyrl-CS"/>
              </w:rPr>
              <w:t>ОФИ</w:t>
            </w:r>
            <w:r w:rsidR="00F1427E" w:rsidRPr="00471C90">
              <w:rPr>
                <w:rFonts w:cs="Times New Roman"/>
                <w:szCs w:val="24"/>
                <w:lang w:val="sr-Cyrl-CS"/>
              </w:rPr>
              <w:t xml:space="preserve"> </w:t>
            </w:r>
            <w:r w:rsidR="00704E0D" w:rsidRPr="00471C90">
              <w:rPr>
                <w:rFonts w:cs="Times New Roman"/>
                <w:szCs w:val="24"/>
                <w:lang w:val="sr-Cyrl-CS"/>
              </w:rPr>
              <w:t>треба да оцене своје потребе за докапитализацијом и у складу са тиме да израде пројекцију потребног износа.</w:t>
            </w:r>
          </w:p>
          <w:p w14:paraId="47231CF8" w14:textId="0C99EA93" w:rsidR="00512C1D" w:rsidRPr="00471C90" w:rsidRDefault="00F672C6" w:rsidP="00F1427E">
            <w:pPr>
              <w:spacing w:after="120"/>
              <w:jc w:val="both"/>
              <w:rPr>
                <w:rFonts w:cs="Times New Roman"/>
                <w:szCs w:val="24"/>
                <w:lang w:val="sr-Cyrl-CS"/>
              </w:rPr>
            </w:pPr>
            <w:r w:rsidRPr="00471C90">
              <w:rPr>
                <w:rFonts w:cs="Times New Roman"/>
                <w:szCs w:val="24"/>
                <w:lang w:val="sr-Cyrl-CS"/>
              </w:rPr>
              <w:t xml:space="preserve">При пројектовању потребног износа докапитализације, требало би </w:t>
            </w:r>
            <w:r w:rsidR="00761E78" w:rsidRPr="00471C90">
              <w:rPr>
                <w:rFonts w:cs="Times New Roman"/>
                <w:szCs w:val="24"/>
                <w:lang w:val="sr-Cyrl-CS"/>
              </w:rPr>
              <w:t>узети у обзир и планове из Мера 2 и 3 везаних за први посебни циљ, како би се обезбедила довољна средства за њихово испуњење.</w:t>
            </w:r>
          </w:p>
        </w:tc>
      </w:tr>
    </w:tbl>
    <w:p w14:paraId="7EBD87DC" w14:textId="146685DA" w:rsidR="0064703E" w:rsidRPr="00471C90" w:rsidRDefault="0064703E" w:rsidP="00E00ADF">
      <w:pPr>
        <w:spacing w:after="0"/>
        <w:rPr>
          <w:rFonts w:cs="Times New Roman"/>
          <w:szCs w:val="24"/>
          <w:lang w:val="sr-Cyrl-CS"/>
        </w:rPr>
      </w:pPr>
    </w:p>
    <w:tbl>
      <w:tblPr>
        <w:tblStyle w:val="TableGrid"/>
        <w:tblW w:w="0" w:type="auto"/>
        <w:tblLook w:val="04A0" w:firstRow="1" w:lastRow="0" w:firstColumn="1" w:lastColumn="0" w:noHBand="0" w:noVBand="1"/>
      </w:tblPr>
      <w:tblGrid>
        <w:gridCol w:w="9062"/>
      </w:tblGrid>
      <w:tr w:rsidR="0064703E" w:rsidRPr="00471C90" w14:paraId="1F356578" w14:textId="77777777" w:rsidTr="001E7736">
        <w:tc>
          <w:tcPr>
            <w:tcW w:w="9062" w:type="dxa"/>
            <w:shd w:val="clear" w:color="auto" w:fill="FFE600"/>
            <w:vAlign w:val="center"/>
          </w:tcPr>
          <w:p w14:paraId="2636CBCE" w14:textId="068C5144" w:rsidR="0064703E" w:rsidRPr="00471C90" w:rsidRDefault="0028157E" w:rsidP="001E7736">
            <w:pPr>
              <w:rPr>
                <w:rFonts w:cs="Times New Roman"/>
                <w:bCs/>
                <w:szCs w:val="24"/>
                <w:lang w:val="sr-Cyrl-CS"/>
              </w:rPr>
            </w:pPr>
            <w:r w:rsidRPr="00471C90">
              <w:rPr>
                <w:rFonts w:cs="Times New Roman"/>
                <w:bCs/>
                <w:szCs w:val="24"/>
                <w:lang w:val="sr-Cyrl-CS"/>
              </w:rPr>
              <w:lastRenderedPageBreak/>
              <w:t>Мера 6: Успостављање истих органа управљања као и код других финансијских институција</w:t>
            </w:r>
          </w:p>
        </w:tc>
      </w:tr>
      <w:tr w:rsidR="0064703E" w:rsidRPr="00471C90" w14:paraId="4E66B946" w14:textId="77777777" w:rsidTr="001E7736">
        <w:trPr>
          <w:trHeight w:val="270"/>
        </w:trPr>
        <w:tc>
          <w:tcPr>
            <w:tcW w:w="9062" w:type="dxa"/>
            <w:shd w:val="clear" w:color="auto" w:fill="FFFBD5"/>
            <w:vAlign w:val="center"/>
          </w:tcPr>
          <w:p w14:paraId="5E8278F2" w14:textId="00DBDA34" w:rsidR="0064703E" w:rsidRPr="00471C90" w:rsidRDefault="0028157E" w:rsidP="001E7736">
            <w:pPr>
              <w:rPr>
                <w:rFonts w:cs="Times New Roman"/>
                <w:szCs w:val="24"/>
                <w:lang w:val="sr-Cyrl-CS"/>
              </w:rPr>
            </w:pPr>
            <w:r w:rsidRPr="00471C90">
              <w:rPr>
                <w:rFonts w:cs="Times New Roman"/>
                <w:bCs/>
                <w:i/>
                <w:iCs/>
                <w:szCs w:val="24"/>
                <w:lang w:val="sr-Cyrl-CS"/>
              </w:rPr>
              <w:t>Врста мере</w:t>
            </w:r>
            <w:r w:rsidR="0064703E" w:rsidRPr="00471C90">
              <w:rPr>
                <w:rFonts w:cs="Times New Roman"/>
                <w:bCs/>
                <w:i/>
                <w:iCs/>
                <w:szCs w:val="24"/>
                <w:lang w:val="sr-Cyrl-CS"/>
              </w:rPr>
              <w:t>:</w:t>
            </w:r>
          </w:p>
        </w:tc>
      </w:tr>
      <w:tr w:rsidR="0064703E" w:rsidRPr="00471C90" w14:paraId="57952F45" w14:textId="77777777" w:rsidTr="001E7736">
        <w:trPr>
          <w:trHeight w:val="270"/>
        </w:trPr>
        <w:tc>
          <w:tcPr>
            <w:tcW w:w="9062" w:type="dxa"/>
            <w:shd w:val="clear" w:color="auto" w:fill="auto"/>
            <w:vAlign w:val="center"/>
          </w:tcPr>
          <w:p w14:paraId="55DE98B5" w14:textId="7AC21D9D" w:rsidR="0064703E" w:rsidRPr="00471C90" w:rsidRDefault="0028157E" w:rsidP="001E7736">
            <w:pPr>
              <w:rPr>
                <w:rFonts w:cs="Times New Roman"/>
                <w:szCs w:val="24"/>
                <w:lang w:val="sr-Cyrl-CS"/>
              </w:rPr>
            </w:pPr>
            <w:r w:rsidRPr="00471C90">
              <w:rPr>
                <w:rFonts w:cs="Times New Roman"/>
                <w:szCs w:val="24"/>
                <w:lang w:val="sr-Cyrl-CS"/>
              </w:rPr>
              <w:t>институционално управљачко организациона</w:t>
            </w:r>
          </w:p>
        </w:tc>
      </w:tr>
      <w:tr w:rsidR="0064703E" w:rsidRPr="00471C90" w14:paraId="5D76E29B" w14:textId="77777777" w:rsidTr="001E7736">
        <w:tc>
          <w:tcPr>
            <w:tcW w:w="9062" w:type="dxa"/>
            <w:shd w:val="clear" w:color="auto" w:fill="FFFBD5"/>
            <w:vAlign w:val="center"/>
          </w:tcPr>
          <w:p w14:paraId="114349E7" w14:textId="618ABDDA" w:rsidR="0064703E" w:rsidRPr="00471C90" w:rsidRDefault="0028157E" w:rsidP="001E7736">
            <w:pPr>
              <w:rPr>
                <w:rFonts w:cs="Times New Roman"/>
                <w:szCs w:val="24"/>
                <w:lang w:val="sr-Cyrl-CS"/>
              </w:rPr>
            </w:pPr>
            <w:r w:rsidRPr="00471C90">
              <w:rPr>
                <w:rFonts w:cs="Times New Roman"/>
                <w:bCs/>
                <w:i/>
                <w:iCs/>
                <w:szCs w:val="24"/>
                <w:lang w:val="sr-Cyrl-CS"/>
              </w:rPr>
              <w:t>Рок за примену</w:t>
            </w:r>
            <w:r w:rsidR="0064703E" w:rsidRPr="00471C90">
              <w:rPr>
                <w:rFonts w:cs="Times New Roman"/>
                <w:bCs/>
                <w:i/>
                <w:iCs/>
                <w:szCs w:val="24"/>
                <w:lang w:val="sr-Cyrl-CS"/>
              </w:rPr>
              <w:t>:</w:t>
            </w:r>
          </w:p>
        </w:tc>
      </w:tr>
      <w:tr w:rsidR="0064703E" w:rsidRPr="00471C90" w14:paraId="199BDF5B" w14:textId="77777777" w:rsidTr="001E7736">
        <w:tc>
          <w:tcPr>
            <w:tcW w:w="9062" w:type="dxa"/>
            <w:vAlign w:val="center"/>
          </w:tcPr>
          <w:p w14:paraId="34E03D49" w14:textId="3BFFCA08" w:rsidR="0064703E" w:rsidRPr="00471C90" w:rsidRDefault="00453209" w:rsidP="00453209">
            <w:pPr>
              <w:rPr>
                <w:rFonts w:cs="Times New Roman"/>
                <w:szCs w:val="24"/>
                <w:lang w:val="sr-Cyrl-CS"/>
              </w:rPr>
            </w:pPr>
            <w:r w:rsidRPr="00471C90">
              <w:rPr>
                <w:rFonts w:cs="Times New Roman"/>
                <w:szCs w:val="24"/>
                <w:lang w:val="sr-Cyrl-CS"/>
              </w:rPr>
              <w:t>1</w:t>
            </w:r>
            <w:r w:rsidR="0064703E" w:rsidRPr="00471C90">
              <w:rPr>
                <w:rFonts w:cs="Times New Roman"/>
                <w:szCs w:val="24"/>
                <w:lang w:val="sr-Cyrl-CS"/>
              </w:rPr>
              <w:t xml:space="preserve">. </w:t>
            </w:r>
            <w:r w:rsidR="0028157E" w:rsidRPr="00471C90">
              <w:rPr>
                <w:rFonts w:cs="Times New Roman"/>
                <w:szCs w:val="24"/>
                <w:lang w:val="sr-Cyrl-CS"/>
              </w:rPr>
              <w:t>квартал</w:t>
            </w:r>
            <w:r w:rsidR="0064703E" w:rsidRPr="00471C90">
              <w:rPr>
                <w:rFonts w:cs="Times New Roman"/>
                <w:szCs w:val="24"/>
                <w:lang w:val="sr-Cyrl-CS"/>
              </w:rPr>
              <w:t xml:space="preserve"> </w:t>
            </w:r>
            <w:r w:rsidRPr="00471C90">
              <w:rPr>
                <w:rFonts w:cs="Times New Roman"/>
                <w:szCs w:val="24"/>
                <w:lang w:val="sr-Cyrl-CS"/>
              </w:rPr>
              <w:t>2024</w:t>
            </w:r>
            <w:r w:rsidR="0064703E" w:rsidRPr="00471C90">
              <w:rPr>
                <w:rFonts w:cs="Times New Roman"/>
                <w:szCs w:val="24"/>
                <w:lang w:val="sr-Cyrl-CS"/>
              </w:rPr>
              <w:t xml:space="preserve">. </w:t>
            </w:r>
            <w:r w:rsidR="0028157E" w:rsidRPr="00471C90">
              <w:rPr>
                <w:rFonts w:cs="Times New Roman"/>
                <w:szCs w:val="24"/>
                <w:lang w:val="sr-Cyrl-CS"/>
              </w:rPr>
              <w:t>године</w:t>
            </w:r>
          </w:p>
        </w:tc>
      </w:tr>
      <w:tr w:rsidR="00C83B54" w:rsidRPr="00471C90" w14:paraId="6E251B4C" w14:textId="77777777" w:rsidTr="001E7736">
        <w:tc>
          <w:tcPr>
            <w:tcW w:w="9062" w:type="dxa"/>
            <w:shd w:val="clear" w:color="auto" w:fill="FFFBD5"/>
            <w:vAlign w:val="center"/>
          </w:tcPr>
          <w:p w14:paraId="0BD464A1" w14:textId="5BA6C8B5" w:rsidR="00C83B54" w:rsidRPr="00471C90" w:rsidRDefault="00C83B54" w:rsidP="00C83B54">
            <w:pPr>
              <w:rPr>
                <w:rFonts w:cs="Times New Roman"/>
                <w:bCs/>
                <w:i/>
                <w:iCs/>
                <w:szCs w:val="24"/>
                <w:lang w:val="sr-Cyrl-CS"/>
              </w:rPr>
            </w:pPr>
            <w:r w:rsidRPr="00471C90">
              <w:rPr>
                <w:rFonts w:cs="Times New Roman"/>
                <w:bCs/>
                <w:i/>
                <w:iCs/>
                <w:szCs w:val="24"/>
                <w:lang w:val="sr-Cyrl-CS"/>
              </w:rPr>
              <w:t>Показатељи учинка:</w:t>
            </w:r>
          </w:p>
        </w:tc>
      </w:tr>
      <w:tr w:rsidR="0064703E" w:rsidRPr="00471C90" w14:paraId="174F615D" w14:textId="77777777" w:rsidTr="001E7736">
        <w:tc>
          <w:tcPr>
            <w:tcW w:w="9062" w:type="dxa"/>
            <w:vAlign w:val="center"/>
          </w:tcPr>
          <w:p w14:paraId="1A709A04" w14:textId="07587D01" w:rsidR="0064703E" w:rsidRPr="00471C90" w:rsidRDefault="009530AC" w:rsidP="001E7736">
            <w:pPr>
              <w:rPr>
                <w:rFonts w:cs="Times New Roman"/>
                <w:szCs w:val="24"/>
                <w:lang w:val="sr-Cyrl-CS"/>
              </w:rPr>
            </w:pPr>
            <w:r w:rsidRPr="00471C90">
              <w:rPr>
                <w:rFonts w:cs="Times New Roman"/>
                <w:szCs w:val="24"/>
                <w:lang w:val="sr-Cyrl-CS"/>
              </w:rPr>
              <w:t xml:space="preserve">1) </w:t>
            </w:r>
            <w:r w:rsidR="0028157E" w:rsidRPr="00471C90">
              <w:rPr>
                <w:rFonts w:cs="Times New Roman"/>
                <w:szCs w:val="24"/>
                <w:lang w:val="sr-Cyrl-CS"/>
              </w:rPr>
              <w:t>Фонд за развој инкорпориран као акционарско друштво</w:t>
            </w:r>
          </w:p>
          <w:p w14:paraId="5F945C0A" w14:textId="5EF65CE9" w:rsidR="009530AC" w:rsidRPr="00471C90" w:rsidRDefault="009530AC" w:rsidP="001E7736">
            <w:pPr>
              <w:rPr>
                <w:rFonts w:cs="Times New Roman"/>
                <w:szCs w:val="24"/>
                <w:lang w:val="sr-Cyrl-CS"/>
              </w:rPr>
            </w:pPr>
            <w:r w:rsidRPr="00471C90">
              <w:rPr>
                <w:rFonts w:cs="Times New Roman"/>
                <w:szCs w:val="24"/>
                <w:lang w:val="sr-Cyrl-CS"/>
              </w:rPr>
              <w:t xml:space="preserve">2) </w:t>
            </w:r>
            <w:r w:rsidR="004D0C8E" w:rsidRPr="00471C90">
              <w:rPr>
                <w:rFonts w:cs="Times New Roman"/>
                <w:szCs w:val="24"/>
                <w:lang w:val="sr-Cyrl-CS"/>
              </w:rPr>
              <w:t>Управни/н</w:t>
            </w:r>
            <w:r w:rsidR="00103338" w:rsidRPr="00471C90">
              <w:rPr>
                <w:rFonts w:cs="Times New Roman"/>
                <w:szCs w:val="24"/>
                <w:lang w:val="sr-Cyrl-CS"/>
              </w:rPr>
              <w:t>адзор</w:t>
            </w:r>
            <w:r w:rsidR="004D0C8E" w:rsidRPr="00471C90">
              <w:rPr>
                <w:rFonts w:cs="Times New Roman"/>
                <w:szCs w:val="24"/>
                <w:lang w:val="sr-Cyrl-CS"/>
              </w:rPr>
              <w:t xml:space="preserve">ни одбор организован у складу са принципима управљања </w:t>
            </w:r>
            <w:r w:rsidR="00AE0CA2" w:rsidRPr="00471C90">
              <w:rPr>
                <w:rFonts w:cs="Times New Roman"/>
                <w:szCs w:val="24"/>
                <w:lang w:val="sr-Cyrl-CS"/>
              </w:rPr>
              <w:t>привредним субјектима</w:t>
            </w:r>
            <w:r w:rsidR="00BA3932" w:rsidRPr="00471C90">
              <w:rPr>
                <w:rFonts w:cs="Times New Roman"/>
                <w:szCs w:val="24"/>
                <w:lang w:val="sr-Cyrl-CS"/>
              </w:rPr>
              <w:t xml:space="preserve"> </w:t>
            </w:r>
            <w:r w:rsidR="004D0C8E" w:rsidRPr="00471C90">
              <w:rPr>
                <w:rFonts w:cs="Times New Roman"/>
                <w:szCs w:val="24"/>
                <w:lang w:val="sr-Cyrl-CS"/>
              </w:rPr>
              <w:t>у погледу структуре и броја независних чланова</w:t>
            </w:r>
          </w:p>
          <w:p w14:paraId="20953643" w14:textId="551130A4" w:rsidR="004A19A7" w:rsidRPr="00471C90" w:rsidRDefault="004A19A7" w:rsidP="001E7736">
            <w:pPr>
              <w:rPr>
                <w:rFonts w:cs="Times New Roman"/>
                <w:szCs w:val="24"/>
                <w:highlight w:val="yellow"/>
                <w:lang w:val="sr-Cyrl-CS"/>
              </w:rPr>
            </w:pPr>
            <w:r w:rsidRPr="00471C90">
              <w:rPr>
                <w:rFonts w:cs="Times New Roman"/>
                <w:szCs w:val="24"/>
                <w:lang w:val="sr-Cyrl-CS"/>
              </w:rPr>
              <w:t xml:space="preserve">3) </w:t>
            </w:r>
            <w:r w:rsidR="004D0C8E" w:rsidRPr="00471C90">
              <w:rPr>
                <w:rFonts w:cs="Times New Roman"/>
                <w:szCs w:val="24"/>
                <w:lang w:val="sr-Cyrl-CS"/>
              </w:rPr>
              <w:t>Успостављене одговарајуће комисије при управном/н</w:t>
            </w:r>
            <w:r w:rsidR="00103338" w:rsidRPr="00471C90">
              <w:rPr>
                <w:rFonts w:cs="Times New Roman"/>
                <w:szCs w:val="24"/>
                <w:lang w:val="sr-Cyrl-CS"/>
              </w:rPr>
              <w:t>адзор</w:t>
            </w:r>
            <w:r w:rsidR="004D0C8E" w:rsidRPr="00471C90">
              <w:rPr>
                <w:rFonts w:cs="Times New Roman"/>
                <w:szCs w:val="24"/>
                <w:lang w:val="sr-Cyrl-CS"/>
              </w:rPr>
              <w:t>ном одбору</w:t>
            </w:r>
          </w:p>
        </w:tc>
      </w:tr>
      <w:tr w:rsidR="0064703E" w:rsidRPr="00471C90" w14:paraId="30368CE2" w14:textId="77777777" w:rsidTr="001E7736">
        <w:tc>
          <w:tcPr>
            <w:tcW w:w="9062" w:type="dxa"/>
            <w:shd w:val="clear" w:color="auto" w:fill="FFFBD5"/>
            <w:vAlign w:val="center"/>
          </w:tcPr>
          <w:p w14:paraId="5B56E907" w14:textId="17E0E5D9" w:rsidR="0064703E" w:rsidRPr="00471C90" w:rsidRDefault="004D0C8E" w:rsidP="001E7736">
            <w:pPr>
              <w:rPr>
                <w:rFonts w:cs="Times New Roman"/>
                <w:szCs w:val="24"/>
                <w:lang w:val="sr-Cyrl-CS"/>
              </w:rPr>
            </w:pPr>
            <w:r w:rsidRPr="00471C90">
              <w:rPr>
                <w:rFonts w:cs="Times New Roman"/>
                <w:bCs/>
                <w:i/>
                <w:iCs/>
                <w:szCs w:val="24"/>
                <w:lang w:val="sr-Cyrl-CS"/>
              </w:rPr>
              <w:t>Надлежна институција</w:t>
            </w:r>
            <w:r w:rsidR="0064703E" w:rsidRPr="00471C90">
              <w:rPr>
                <w:rFonts w:cs="Times New Roman"/>
                <w:bCs/>
                <w:i/>
                <w:iCs/>
                <w:szCs w:val="24"/>
                <w:lang w:val="sr-Cyrl-CS"/>
              </w:rPr>
              <w:t>:</w:t>
            </w:r>
          </w:p>
        </w:tc>
      </w:tr>
      <w:tr w:rsidR="0064703E" w:rsidRPr="00471C90" w14:paraId="7B2D9CA1" w14:textId="77777777" w:rsidTr="001E7736">
        <w:tc>
          <w:tcPr>
            <w:tcW w:w="9062" w:type="dxa"/>
            <w:vAlign w:val="center"/>
          </w:tcPr>
          <w:p w14:paraId="37C77DB0" w14:textId="18D1A8F0" w:rsidR="0064703E" w:rsidRPr="00471C90" w:rsidRDefault="004D0C8E" w:rsidP="001E7736">
            <w:pPr>
              <w:rPr>
                <w:rFonts w:cs="Times New Roman"/>
                <w:szCs w:val="24"/>
                <w:lang w:val="sr-Cyrl-CS"/>
              </w:rPr>
            </w:pPr>
            <w:r w:rsidRPr="00471C90">
              <w:rPr>
                <w:rFonts w:cs="Times New Roman"/>
                <w:szCs w:val="24"/>
                <w:lang w:val="sr-Cyrl-CS"/>
              </w:rPr>
              <w:t>Фонд за развој; АОФИ</w:t>
            </w:r>
          </w:p>
        </w:tc>
      </w:tr>
      <w:tr w:rsidR="0064703E" w:rsidRPr="00471C90" w14:paraId="40C15B16" w14:textId="77777777" w:rsidTr="001E7736">
        <w:tc>
          <w:tcPr>
            <w:tcW w:w="9062" w:type="dxa"/>
            <w:shd w:val="clear" w:color="auto" w:fill="FFFBD5"/>
            <w:vAlign w:val="center"/>
          </w:tcPr>
          <w:p w14:paraId="1FDEC892" w14:textId="1AD05848" w:rsidR="0064703E" w:rsidRPr="00471C90" w:rsidRDefault="004D0C8E" w:rsidP="001E7736">
            <w:pPr>
              <w:rPr>
                <w:rFonts w:cs="Times New Roman"/>
                <w:bCs/>
                <w:i/>
                <w:iCs/>
                <w:szCs w:val="24"/>
                <w:lang w:val="sr-Cyrl-CS"/>
              </w:rPr>
            </w:pPr>
            <w:r w:rsidRPr="00471C90">
              <w:rPr>
                <w:rFonts w:cs="Times New Roman"/>
                <w:bCs/>
                <w:i/>
                <w:iCs/>
                <w:szCs w:val="24"/>
                <w:lang w:val="sr-Cyrl-CS"/>
              </w:rPr>
              <w:t>Опис</w:t>
            </w:r>
            <w:r w:rsidR="0064703E" w:rsidRPr="00471C90">
              <w:rPr>
                <w:rFonts w:cs="Times New Roman"/>
                <w:bCs/>
                <w:i/>
                <w:iCs/>
                <w:szCs w:val="24"/>
                <w:lang w:val="sr-Cyrl-CS"/>
              </w:rPr>
              <w:t>:</w:t>
            </w:r>
          </w:p>
        </w:tc>
      </w:tr>
      <w:tr w:rsidR="0064703E" w:rsidRPr="00471C90" w14:paraId="51EF47E7" w14:textId="77777777" w:rsidTr="001E7736">
        <w:tc>
          <w:tcPr>
            <w:tcW w:w="9062" w:type="dxa"/>
            <w:tcBorders>
              <w:bottom w:val="single" w:sz="4" w:space="0" w:color="auto"/>
            </w:tcBorders>
            <w:vAlign w:val="center"/>
          </w:tcPr>
          <w:p w14:paraId="529ADB7B" w14:textId="2318C736" w:rsidR="004D0C8E" w:rsidRPr="00471C90" w:rsidRDefault="004D0C8E" w:rsidP="004D0C8E">
            <w:pPr>
              <w:spacing w:after="120"/>
              <w:jc w:val="both"/>
              <w:rPr>
                <w:rFonts w:cs="Times New Roman"/>
                <w:szCs w:val="24"/>
                <w:lang w:val="sr-Cyrl-CS"/>
              </w:rPr>
            </w:pPr>
            <w:r w:rsidRPr="00471C90">
              <w:rPr>
                <w:rFonts w:cs="Times New Roman"/>
                <w:szCs w:val="24"/>
                <w:lang w:val="sr-Cyrl-CS"/>
              </w:rPr>
              <w:t xml:space="preserve">Развојне финансијске институције у </w:t>
            </w:r>
            <w:r w:rsidR="00DA7257" w:rsidRPr="00471C90">
              <w:rPr>
                <w:rFonts w:cs="Times New Roman"/>
                <w:szCs w:val="24"/>
                <w:lang w:val="sr-Cyrl-CS"/>
              </w:rPr>
              <w:t xml:space="preserve">Републици </w:t>
            </w:r>
            <w:r w:rsidRPr="00471C90">
              <w:rPr>
                <w:rFonts w:cs="Times New Roman"/>
                <w:szCs w:val="24"/>
                <w:lang w:val="sr-Cyrl-CS"/>
              </w:rPr>
              <w:t>Србији би требало да буду основане као акционарска друштва, како би одражавале правни облик других финансијских институција. Поред тога, требало би да задрже дводомни систем управљања, при чему би један одбор имао извршну улогу (извршни одбор), а други н</w:t>
            </w:r>
            <w:r w:rsidR="00103338" w:rsidRPr="00471C90">
              <w:rPr>
                <w:rFonts w:cs="Times New Roman"/>
                <w:szCs w:val="24"/>
                <w:lang w:val="sr-Cyrl-CS"/>
              </w:rPr>
              <w:t>адзор</w:t>
            </w:r>
            <w:r w:rsidRPr="00471C90">
              <w:rPr>
                <w:rFonts w:cs="Times New Roman"/>
                <w:szCs w:val="24"/>
                <w:lang w:val="sr-Cyrl-CS"/>
              </w:rPr>
              <w:t>ну улогу (управни/н</w:t>
            </w:r>
            <w:r w:rsidR="00103338" w:rsidRPr="00471C90">
              <w:rPr>
                <w:rFonts w:cs="Times New Roman"/>
                <w:szCs w:val="24"/>
                <w:lang w:val="sr-Cyrl-CS"/>
              </w:rPr>
              <w:t>адзор</w:t>
            </w:r>
            <w:r w:rsidRPr="00471C90">
              <w:rPr>
                <w:rFonts w:cs="Times New Roman"/>
                <w:szCs w:val="24"/>
                <w:lang w:val="sr-Cyrl-CS"/>
              </w:rPr>
              <w:t>ни одбор). Управни/</w:t>
            </w:r>
            <w:r w:rsidR="003060E1" w:rsidRPr="00471C90">
              <w:rPr>
                <w:rFonts w:cs="Times New Roman"/>
                <w:szCs w:val="24"/>
                <w:lang w:val="sr-Cyrl-CS"/>
              </w:rPr>
              <w:t xml:space="preserve">надзорни </w:t>
            </w:r>
            <w:r w:rsidRPr="00471C90">
              <w:rPr>
                <w:rFonts w:cs="Times New Roman"/>
                <w:szCs w:val="24"/>
                <w:lang w:val="sr-Cyrl-CS"/>
              </w:rPr>
              <w:t>одбор треба да буде организован у складу са принципима управљања</w:t>
            </w:r>
            <w:r w:rsidR="00BA3932" w:rsidRPr="00471C90">
              <w:rPr>
                <w:rFonts w:cs="Times New Roman"/>
                <w:szCs w:val="24"/>
                <w:lang w:val="sr-Cyrl-CS"/>
              </w:rPr>
              <w:t xml:space="preserve"> привредним субјектима</w:t>
            </w:r>
            <w:r w:rsidRPr="00471C90">
              <w:rPr>
                <w:rFonts w:cs="Times New Roman"/>
                <w:szCs w:val="24"/>
                <w:lang w:val="sr-Cyrl-CS"/>
              </w:rPr>
              <w:t xml:space="preserve"> (првенствено у погледу структуре и  броја независних чланова), као и да усвоји одговарајуће принципе дефинисане </w:t>
            </w:r>
            <w:r w:rsidR="00B114F2" w:rsidRPr="00471C90">
              <w:rPr>
                <w:rFonts w:cs="Times New Roman"/>
                <w:szCs w:val="24"/>
                <w:lang w:val="sr-Cyrl-CS"/>
              </w:rPr>
              <w:t>Стратегијом државног власништва и управљања привредним субјектима који су у власништву Републике Србије за период од 2021. до 2027. године</w:t>
            </w:r>
            <w:r w:rsidR="003060E1" w:rsidRPr="00471C90">
              <w:rPr>
                <w:rFonts w:cs="Times New Roman"/>
                <w:szCs w:val="24"/>
                <w:lang w:val="sr-Cyrl-CS"/>
              </w:rPr>
              <w:t xml:space="preserve"> </w:t>
            </w:r>
            <w:r w:rsidRPr="00471C90">
              <w:rPr>
                <w:rFonts w:cs="Times New Roman"/>
                <w:szCs w:val="24"/>
                <w:lang w:val="sr-Cyrl-CS"/>
              </w:rPr>
              <w:t>и управљања привредним субјектима који су у власништву Републике Србије. При управном/н</w:t>
            </w:r>
            <w:r w:rsidR="00103338" w:rsidRPr="00471C90">
              <w:rPr>
                <w:rFonts w:cs="Times New Roman"/>
                <w:szCs w:val="24"/>
                <w:lang w:val="sr-Cyrl-CS"/>
              </w:rPr>
              <w:t>адзор</w:t>
            </w:r>
            <w:r w:rsidRPr="00471C90">
              <w:rPr>
                <w:rFonts w:cs="Times New Roman"/>
                <w:szCs w:val="24"/>
                <w:lang w:val="sr-Cyrl-CS"/>
              </w:rPr>
              <w:t xml:space="preserve">ном одбору је неопходно успоставити </w:t>
            </w:r>
            <w:r w:rsidR="00F1427E" w:rsidRPr="00471C90">
              <w:rPr>
                <w:rFonts w:cs="Times New Roman"/>
                <w:szCs w:val="24"/>
                <w:lang w:val="sr-Cyrl-CS"/>
              </w:rPr>
              <w:t xml:space="preserve">комисију </w:t>
            </w:r>
            <w:r w:rsidRPr="00471C90">
              <w:rPr>
                <w:rFonts w:cs="Times New Roman"/>
                <w:szCs w:val="24"/>
                <w:lang w:val="sr-Cyrl-CS"/>
              </w:rPr>
              <w:t xml:space="preserve">за ревизију а по потреби и </w:t>
            </w:r>
            <w:r w:rsidR="00F1427E" w:rsidRPr="00471C90">
              <w:rPr>
                <w:rFonts w:cs="Times New Roman"/>
                <w:szCs w:val="24"/>
                <w:lang w:val="sr-Cyrl-CS"/>
              </w:rPr>
              <w:t xml:space="preserve">комисију </w:t>
            </w:r>
            <w:r w:rsidRPr="00471C90">
              <w:rPr>
                <w:rFonts w:cs="Times New Roman"/>
                <w:szCs w:val="24"/>
                <w:lang w:val="sr-Cyrl-CS"/>
              </w:rPr>
              <w:t xml:space="preserve">за именовање и </w:t>
            </w:r>
            <w:r w:rsidR="00F1427E" w:rsidRPr="00471C90">
              <w:rPr>
                <w:rFonts w:cs="Times New Roman"/>
                <w:szCs w:val="24"/>
                <w:lang w:val="sr-Cyrl-CS"/>
              </w:rPr>
              <w:t xml:space="preserve">комисију </w:t>
            </w:r>
            <w:r w:rsidRPr="00471C90">
              <w:rPr>
                <w:rFonts w:cs="Times New Roman"/>
                <w:szCs w:val="24"/>
                <w:lang w:val="sr-Cyrl-CS"/>
              </w:rPr>
              <w:t>за накнаде. Чланове управног/н</w:t>
            </w:r>
            <w:r w:rsidR="00103338" w:rsidRPr="00471C90">
              <w:rPr>
                <w:rFonts w:cs="Times New Roman"/>
                <w:szCs w:val="24"/>
                <w:lang w:val="sr-Cyrl-CS"/>
              </w:rPr>
              <w:t>адзор</w:t>
            </w:r>
            <w:r w:rsidRPr="00471C90">
              <w:rPr>
                <w:rFonts w:cs="Times New Roman"/>
                <w:szCs w:val="24"/>
                <w:lang w:val="sr-Cyrl-CS"/>
              </w:rPr>
              <w:t xml:space="preserve">ног одбора бира </w:t>
            </w:r>
            <w:r w:rsidR="006877BC" w:rsidRPr="00471C90">
              <w:rPr>
                <w:rFonts w:cs="Times New Roman"/>
                <w:szCs w:val="24"/>
                <w:lang w:val="sr-Cyrl-CS"/>
              </w:rPr>
              <w:t xml:space="preserve">скупштина </w:t>
            </w:r>
            <w:r w:rsidRPr="00471C90">
              <w:rPr>
                <w:rFonts w:cs="Times New Roman"/>
                <w:szCs w:val="24"/>
                <w:lang w:val="sr-Cyrl-CS"/>
              </w:rPr>
              <w:t xml:space="preserve">институције.  </w:t>
            </w:r>
          </w:p>
          <w:p w14:paraId="54D030DC" w14:textId="089F3890" w:rsidR="0064703E" w:rsidRPr="00471C90" w:rsidRDefault="006877BC" w:rsidP="006877BC">
            <w:pPr>
              <w:spacing w:after="120"/>
              <w:jc w:val="both"/>
              <w:rPr>
                <w:rFonts w:cs="Times New Roman"/>
                <w:szCs w:val="24"/>
                <w:lang w:val="sr-Cyrl-CS"/>
              </w:rPr>
            </w:pPr>
            <w:r w:rsidRPr="00471C90">
              <w:rPr>
                <w:rFonts w:cs="Times New Roman"/>
                <w:szCs w:val="24"/>
                <w:lang w:val="sr-Cyrl-CS"/>
              </w:rPr>
              <w:t>У погледу</w:t>
            </w:r>
            <w:r w:rsidR="003060E1" w:rsidRPr="00471C90">
              <w:rPr>
                <w:rFonts w:cs="Times New Roman"/>
                <w:szCs w:val="24"/>
                <w:lang w:val="sr-Cyrl-CS"/>
              </w:rPr>
              <w:t xml:space="preserve"> </w:t>
            </w:r>
            <w:r w:rsidRPr="00471C90">
              <w:rPr>
                <w:rFonts w:cs="Times New Roman"/>
                <w:szCs w:val="24"/>
                <w:lang w:val="sr-Cyrl-CS"/>
              </w:rPr>
              <w:t>с</w:t>
            </w:r>
            <w:r w:rsidR="004D0C8E" w:rsidRPr="00471C90">
              <w:rPr>
                <w:rFonts w:cs="Times New Roman"/>
                <w:szCs w:val="24"/>
                <w:lang w:val="sr-Cyrl-CS"/>
              </w:rPr>
              <w:t xml:space="preserve">купштине акционара, </w:t>
            </w:r>
            <w:r w:rsidRPr="00471C90">
              <w:rPr>
                <w:rFonts w:cs="Times New Roman"/>
                <w:szCs w:val="24"/>
                <w:lang w:val="sr-Cyrl-CS"/>
              </w:rPr>
              <w:t xml:space="preserve">представници </w:t>
            </w:r>
            <w:r w:rsidR="004D0C8E" w:rsidRPr="00471C90">
              <w:rPr>
                <w:rFonts w:cs="Times New Roman"/>
                <w:szCs w:val="24"/>
                <w:lang w:val="sr-Cyrl-CS"/>
              </w:rPr>
              <w:t xml:space="preserve"> </w:t>
            </w:r>
            <w:r w:rsidRPr="00471C90">
              <w:rPr>
                <w:rFonts w:cs="Times New Roman"/>
                <w:szCs w:val="24"/>
                <w:lang w:val="sr-Cyrl-CS"/>
              </w:rPr>
              <w:t xml:space="preserve">Републике Србије као </w:t>
            </w:r>
            <w:r w:rsidR="004D0C8E" w:rsidRPr="00471C90">
              <w:rPr>
                <w:rFonts w:cs="Times New Roman"/>
                <w:szCs w:val="24"/>
                <w:lang w:val="sr-Cyrl-CS"/>
              </w:rPr>
              <w:t>једин</w:t>
            </w:r>
            <w:r w:rsidRPr="00471C90">
              <w:rPr>
                <w:rFonts w:cs="Times New Roman"/>
                <w:szCs w:val="24"/>
                <w:lang w:val="sr-Cyrl-CS"/>
              </w:rPr>
              <w:t>ог</w:t>
            </w:r>
            <w:r w:rsidR="004D0C8E" w:rsidRPr="00471C90">
              <w:rPr>
                <w:rFonts w:cs="Times New Roman"/>
                <w:szCs w:val="24"/>
                <w:lang w:val="sr-Cyrl-CS"/>
              </w:rPr>
              <w:t xml:space="preserve"> власник</w:t>
            </w:r>
            <w:r w:rsidRPr="00471C90">
              <w:rPr>
                <w:rFonts w:cs="Times New Roman"/>
                <w:szCs w:val="24"/>
                <w:lang w:val="sr-Cyrl-CS"/>
              </w:rPr>
              <w:t>а</w:t>
            </w:r>
            <w:r w:rsidR="004D0C8E" w:rsidRPr="00471C90">
              <w:rPr>
                <w:rFonts w:cs="Times New Roman"/>
                <w:szCs w:val="24"/>
                <w:lang w:val="sr-Cyrl-CS"/>
              </w:rPr>
              <w:t xml:space="preserve"> би чинили </w:t>
            </w:r>
            <w:r w:rsidRPr="00471C90">
              <w:rPr>
                <w:rFonts w:cs="Times New Roman"/>
                <w:szCs w:val="24"/>
                <w:lang w:val="sr-Cyrl-CS"/>
              </w:rPr>
              <w:t>скупштину</w:t>
            </w:r>
            <w:r w:rsidR="004D0C8E" w:rsidRPr="00471C90">
              <w:rPr>
                <w:rFonts w:cs="Times New Roman"/>
                <w:szCs w:val="24"/>
                <w:lang w:val="sr-Cyrl-CS"/>
              </w:rPr>
              <w:t>.</w:t>
            </w:r>
          </w:p>
        </w:tc>
      </w:tr>
    </w:tbl>
    <w:p w14:paraId="3C29AF4C" w14:textId="63A65CE8" w:rsidR="0064703E" w:rsidRPr="00471C90" w:rsidRDefault="0064703E" w:rsidP="00E00ADF">
      <w:pPr>
        <w:spacing w:after="0"/>
        <w:rPr>
          <w:rFonts w:cs="Times New Roman"/>
          <w:szCs w:val="24"/>
          <w:lang w:val="sr-Cyrl-CS"/>
        </w:rPr>
      </w:pPr>
    </w:p>
    <w:tbl>
      <w:tblPr>
        <w:tblStyle w:val="TableGrid"/>
        <w:tblW w:w="0" w:type="auto"/>
        <w:tblLook w:val="04A0" w:firstRow="1" w:lastRow="0" w:firstColumn="1" w:lastColumn="0" w:noHBand="0" w:noVBand="1"/>
      </w:tblPr>
      <w:tblGrid>
        <w:gridCol w:w="9062"/>
      </w:tblGrid>
      <w:tr w:rsidR="0064703E" w:rsidRPr="00471C90" w14:paraId="49837028" w14:textId="77777777" w:rsidTr="001E7736">
        <w:tc>
          <w:tcPr>
            <w:tcW w:w="9062" w:type="dxa"/>
            <w:shd w:val="clear" w:color="auto" w:fill="FFE600"/>
            <w:vAlign w:val="center"/>
          </w:tcPr>
          <w:p w14:paraId="41648D09" w14:textId="652D9812" w:rsidR="0064703E" w:rsidRPr="00471C90" w:rsidRDefault="004D0C8E">
            <w:pPr>
              <w:rPr>
                <w:rFonts w:cs="Times New Roman"/>
                <w:bCs/>
                <w:szCs w:val="24"/>
                <w:lang w:val="sr-Cyrl-CS"/>
              </w:rPr>
            </w:pPr>
            <w:r w:rsidRPr="00471C90">
              <w:rPr>
                <w:rFonts w:cs="Times New Roman"/>
                <w:bCs/>
                <w:szCs w:val="24"/>
                <w:lang w:val="sr-Cyrl-CS"/>
              </w:rPr>
              <w:t xml:space="preserve">Мера 7: </w:t>
            </w:r>
            <w:r w:rsidR="00A853BD" w:rsidRPr="00471C90">
              <w:rPr>
                <w:rFonts w:cs="Times New Roman"/>
                <w:bCs/>
                <w:szCs w:val="24"/>
                <w:lang w:val="sr-Cyrl-CS"/>
              </w:rPr>
              <w:t>Унапређење н</w:t>
            </w:r>
            <w:r w:rsidR="00103338" w:rsidRPr="00471C90">
              <w:rPr>
                <w:rFonts w:cs="Times New Roman"/>
                <w:bCs/>
                <w:szCs w:val="24"/>
                <w:lang w:val="sr-Cyrl-CS"/>
              </w:rPr>
              <w:t>адзор</w:t>
            </w:r>
            <w:r w:rsidR="00A853BD" w:rsidRPr="00471C90">
              <w:rPr>
                <w:rFonts w:cs="Times New Roman"/>
                <w:bCs/>
                <w:szCs w:val="24"/>
                <w:lang w:val="sr-Cyrl-CS"/>
              </w:rPr>
              <w:t>а</w:t>
            </w:r>
            <w:r w:rsidRPr="00471C90">
              <w:rPr>
                <w:rFonts w:cs="Times New Roman"/>
                <w:bCs/>
                <w:szCs w:val="24"/>
                <w:lang w:val="sr-Cyrl-CS"/>
              </w:rPr>
              <w:t xml:space="preserve"> који врши министарство надлежно за </w:t>
            </w:r>
            <w:r w:rsidR="007D3D6C" w:rsidRPr="00471C90">
              <w:rPr>
                <w:rFonts w:cs="Times New Roman"/>
                <w:bCs/>
                <w:szCs w:val="24"/>
                <w:lang w:val="sr-Cyrl-CS"/>
              </w:rPr>
              <w:t>Министарство финанси</w:t>
            </w:r>
            <w:r w:rsidRPr="00471C90">
              <w:rPr>
                <w:rFonts w:cs="Times New Roman"/>
                <w:bCs/>
                <w:szCs w:val="24"/>
                <w:lang w:val="sr-Cyrl-CS"/>
              </w:rPr>
              <w:t>ја</w:t>
            </w:r>
          </w:p>
        </w:tc>
      </w:tr>
      <w:tr w:rsidR="0064703E" w:rsidRPr="00471C90" w14:paraId="0EBB5820" w14:textId="77777777" w:rsidTr="001E7736">
        <w:trPr>
          <w:trHeight w:val="270"/>
        </w:trPr>
        <w:tc>
          <w:tcPr>
            <w:tcW w:w="9062" w:type="dxa"/>
            <w:shd w:val="clear" w:color="auto" w:fill="FFFBD5"/>
            <w:vAlign w:val="center"/>
          </w:tcPr>
          <w:p w14:paraId="5272873F" w14:textId="64512209" w:rsidR="0064703E" w:rsidRPr="00471C90" w:rsidRDefault="004D0C8E" w:rsidP="001E7736">
            <w:pPr>
              <w:rPr>
                <w:rFonts w:cs="Times New Roman"/>
                <w:szCs w:val="24"/>
                <w:lang w:val="sr-Cyrl-CS"/>
              </w:rPr>
            </w:pPr>
            <w:r w:rsidRPr="00471C90">
              <w:rPr>
                <w:rFonts w:cs="Times New Roman"/>
                <w:bCs/>
                <w:i/>
                <w:iCs/>
                <w:szCs w:val="24"/>
                <w:lang w:val="sr-Cyrl-CS"/>
              </w:rPr>
              <w:t>Врста мере</w:t>
            </w:r>
            <w:r w:rsidR="0064703E" w:rsidRPr="00471C90">
              <w:rPr>
                <w:rFonts w:cs="Times New Roman"/>
                <w:bCs/>
                <w:i/>
                <w:iCs/>
                <w:szCs w:val="24"/>
                <w:lang w:val="sr-Cyrl-CS"/>
              </w:rPr>
              <w:t>:</w:t>
            </w:r>
          </w:p>
        </w:tc>
      </w:tr>
      <w:tr w:rsidR="0064703E" w:rsidRPr="00471C90" w14:paraId="15C86A6B" w14:textId="77777777" w:rsidTr="001E7736">
        <w:trPr>
          <w:trHeight w:val="270"/>
        </w:trPr>
        <w:tc>
          <w:tcPr>
            <w:tcW w:w="9062" w:type="dxa"/>
            <w:shd w:val="clear" w:color="auto" w:fill="auto"/>
            <w:vAlign w:val="center"/>
          </w:tcPr>
          <w:p w14:paraId="44308E1B" w14:textId="7A8C63AA" w:rsidR="0064703E" w:rsidRPr="00471C90" w:rsidRDefault="004D0C8E" w:rsidP="001E7736">
            <w:pPr>
              <w:rPr>
                <w:rFonts w:cs="Times New Roman"/>
                <w:szCs w:val="24"/>
                <w:lang w:val="sr-Cyrl-CS"/>
              </w:rPr>
            </w:pPr>
            <w:r w:rsidRPr="00471C90">
              <w:rPr>
                <w:rFonts w:cs="Times New Roman"/>
                <w:szCs w:val="24"/>
                <w:lang w:val="sr-Cyrl-CS"/>
              </w:rPr>
              <w:t>институционално управљачко организациона</w:t>
            </w:r>
          </w:p>
        </w:tc>
      </w:tr>
      <w:tr w:rsidR="0064703E" w:rsidRPr="00471C90" w14:paraId="5F1E0D5B" w14:textId="77777777" w:rsidTr="001E7736">
        <w:tc>
          <w:tcPr>
            <w:tcW w:w="9062" w:type="dxa"/>
            <w:shd w:val="clear" w:color="auto" w:fill="FFFBD5"/>
            <w:vAlign w:val="center"/>
          </w:tcPr>
          <w:p w14:paraId="44A73EB9" w14:textId="01433281" w:rsidR="0064703E" w:rsidRPr="00471C90" w:rsidRDefault="004D0C8E" w:rsidP="001E7736">
            <w:pPr>
              <w:rPr>
                <w:rFonts w:cs="Times New Roman"/>
                <w:szCs w:val="24"/>
                <w:lang w:val="sr-Cyrl-CS"/>
              </w:rPr>
            </w:pPr>
            <w:r w:rsidRPr="00471C90">
              <w:rPr>
                <w:rFonts w:cs="Times New Roman"/>
                <w:bCs/>
                <w:i/>
                <w:iCs/>
                <w:szCs w:val="24"/>
                <w:lang w:val="sr-Cyrl-CS"/>
              </w:rPr>
              <w:t>Рок за примену</w:t>
            </w:r>
            <w:r w:rsidR="0064703E" w:rsidRPr="00471C90">
              <w:rPr>
                <w:rFonts w:cs="Times New Roman"/>
                <w:bCs/>
                <w:i/>
                <w:iCs/>
                <w:szCs w:val="24"/>
                <w:lang w:val="sr-Cyrl-CS"/>
              </w:rPr>
              <w:t>:</w:t>
            </w:r>
          </w:p>
        </w:tc>
      </w:tr>
      <w:tr w:rsidR="0064703E" w:rsidRPr="00471C90" w14:paraId="75FF8C59" w14:textId="77777777" w:rsidTr="001E7736">
        <w:tc>
          <w:tcPr>
            <w:tcW w:w="9062" w:type="dxa"/>
            <w:vAlign w:val="center"/>
          </w:tcPr>
          <w:p w14:paraId="1EF34735" w14:textId="32AAC3F2" w:rsidR="0064703E" w:rsidRPr="00471C90" w:rsidRDefault="00DE0E6A" w:rsidP="001E7736">
            <w:pPr>
              <w:rPr>
                <w:rFonts w:cs="Times New Roman"/>
                <w:szCs w:val="24"/>
                <w:lang w:val="sr-Cyrl-CS"/>
              </w:rPr>
            </w:pPr>
            <w:r w:rsidRPr="00471C90">
              <w:rPr>
                <w:rFonts w:cs="Times New Roman"/>
                <w:szCs w:val="24"/>
                <w:lang w:val="sr-Cyrl-CS"/>
              </w:rPr>
              <w:t>4</w:t>
            </w:r>
            <w:r w:rsidR="0064703E" w:rsidRPr="00471C90">
              <w:rPr>
                <w:rFonts w:cs="Times New Roman"/>
                <w:szCs w:val="24"/>
                <w:lang w:val="sr-Cyrl-CS"/>
              </w:rPr>
              <w:t>.</w:t>
            </w:r>
            <w:r w:rsidR="004D0C8E" w:rsidRPr="00471C90">
              <w:rPr>
                <w:rFonts w:cs="Times New Roman"/>
                <w:szCs w:val="24"/>
                <w:lang w:val="sr-Cyrl-CS"/>
              </w:rPr>
              <w:t xml:space="preserve"> квартал </w:t>
            </w:r>
            <w:r w:rsidRPr="00471C90">
              <w:rPr>
                <w:rFonts w:cs="Times New Roman"/>
                <w:szCs w:val="24"/>
                <w:lang w:val="sr-Cyrl-CS"/>
              </w:rPr>
              <w:t>2024</w:t>
            </w:r>
            <w:r w:rsidR="0064703E" w:rsidRPr="00471C90">
              <w:rPr>
                <w:rFonts w:cs="Times New Roman"/>
                <w:szCs w:val="24"/>
                <w:lang w:val="sr-Cyrl-CS"/>
              </w:rPr>
              <w:t xml:space="preserve">. </w:t>
            </w:r>
            <w:r w:rsidR="004D0C8E" w:rsidRPr="00471C90">
              <w:rPr>
                <w:rFonts w:cs="Times New Roman"/>
                <w:szCs w:val="24"/>
                <w:lang w:val="sr-Cyrl-CS"/>
              </w:rPr>
              <w:t>године</w:t>
            </w:r>
          </w:p>
        </w:tc>
      </w:tr>
      <w:tr w:rsidR="00C83B54" w:rsidRPr="00471C90" w14:paraId="217757EF" w14:textId="77777777" w:rsidTr="001E7736">
        <w:tc>
          <w:tcPr>
            <w:tcW w:w="9062" w:type="dxa"/>
            <w:shd w:val="clear" w:color="auto" w:fill="FFFBD5"/>
            <w:vAlign w:val="center"/>
          </w:tcPr>
          <w:p w14:paraId="67B83933" w14:textId="44755CC3" w:rsidR="00C83B54" w:rsidRPr="00471C90" w:rsidRDefault="00C83B54" w:rsidP="00C83B54">
            <w:pPr>
              <w:rPr>
                <w:rFonts w:cs="Times New Roman"/>
                <w:bCs/>
                <w:i/>
                <w:iCs/>
                <w:szCs w:val="24"/>
                <w:lang w:val="sr-Cyrl-CS"/>
              </w:rPr>
            </w:pPr>
            <w:r w:rsidRPr="00471C90">
              <w:rPr>
                <w:rFonts w:cs="Times New Roman"/>
                <w:bCs/>
                <w:i/>
                <w:iCs/>
                <w:szCs w:val="24"/>
                <w:lang w:val="sr-Cyrl-CS"/>
              </w:rPr>
              <w:t>Показатељи учинка:</w:t>
            </w:r>
          </w:p>
        </w:tc>
      </w:tr>
      <w:tr w:rsidR="0064703E" w:rsidRPr="00471C90" w14:paraId="7CB42252" w14:textId="77777777" w:rsidTr="001E7736">
        <w:tc>
          <w:tcPr>
            <w:tcW w:w="9062" w:type="dxa"/>
            <w:vAlign w:val="center"/>
          </w:tcPr>
          <w:p w14:paraId="064976AD" w14:textId="7C5E1CD0" w:rsidR="000F172B" w:rsidRPr="00471C90" w:rsidRDefault="007936F6" w:rsidP="001E7736">
            <w:pPr>
              <w:rPr>
                <w:rFonts w:cs="Times New Roman"/>
                <w:szCs w:val="24"/>
                <w:lang w:val="sr-Cyrl-CS"/>
              </w:rPr>
            </w:pPr>
            <w:r w:rsidRPr="00471C90">
              <w:rPr>
                <w:rFonts w:cs="Times New Roman"/>
                <w:szCs w:val="24"/>
                <w:lang w:val="sr-Cyrl-CS"/>
              </w:rPr>
              <w:t>1)</w:t>
            </w:r>
            <w:r w:rsidR="000F172B" w:rsidRPr="00471C90">
              <w:rPr>
                <w:rFonts w:cs="Times New Roman"/>
                <w:szCs w:val="24"/>
                <w:lang w:val="sr-Cyrl-CS"/>
              </w:rPr>
              <w:t xml:space="preserve"> Успостављен оквир за надзор над институцијама за развојно финансирање </w:t>
            </w:r>
          </w:p>
          <w:p w14:paraId="7A752FB5" w14:textId="23796DCD" w:rsidR="0064703E" w:rsidRPr="00471C90" w:rsidRDefault="000F172B" w:rsidP="001E7736">
            <w:pPr>
              <w:rPr>
                <w:rFonts w:cs="Times New Roman"/>
                <w:szCs w:val="24"/>
                <w:lang w:val="sr-Cyrl-CS"/>
              </w:rPr>
            </w:pPr>
            <w:r w:rsidRPr="00471C90">
              <w:rPr>
                <w:rFonts w:cs="Times New Roman"/>
                <w:szCs w:val="24"/>
                <w:lang w:val="sr-Cyrl-CS"/>
              </w:rPr>
              <w:t>2)</w:t>
            </w:r>
            <w:r w:rsidR="004D0C8E" w:rsidRPr="00471C90">
              <w:rPr>
                <w:rFonts w:cs="Times New Roman"/>
                <w:szCs w:val="24"/>
                <w:lang w:val="sr-Cyrl-CS"/>
              </w:rPr>
              <w:t>Успостављен тим за н</w:t>
            </w:r>
            <w:r w:rsidR="00103338" w:rsidRPr="00471C90">
              <w:rPr>
                <w:rFonts w:cs="Times New Roman"/>
                <w:szCs w:val="24"/>
                <w:lang w:val="sr-Cyrl-CS"/>
              </w:rPr>
              <w:t>адзор</w:t>
            </w:r>
            <w:r w:rsidR="004D0C8E" w:rsidRPr="00471C90">
              <w:rPr>
                <w:rFonts w:cs="Times New Roman"/>
                <w:szCs w:val="24"/>
                <w:lang w:val="sr-Cyrl-CS"/>
              </w:rPr>
              <w:t xml:space="preserve"> над институцијама за развојно финансирање у оквиру Министарства финансија</w:t>
            </w:r>
          </w:p>
        </w:tc>
      </w:tr>
      <w:tr w:rsidR="0064703E" w:rsidRPr="00471C90" w14:paraId="75AD7C74" w14:textId="77777777" w:rsidTr="001E7736">
        <w:tc>
          <w:tcPr>
            <w:tcW w:w="9062" w:type="dxa"/>
            <w:shd w:val="clear" w:color="auto" w:fill="FFFBD5"/>
            <w:vAlign w:val="center"/>
          </w:tcPr>
          <w:p w14:paraId="25958F77" w14:textId="4A98E4D3" w:rsidR="0064703E" w:rsidRPr="00471C90" w:rsidRDefault="004D0C8E" w:rsidP="001E7736">
            <w:pPr>
              <w:rPr>
                <w:rFonts w:cs="Times New Roman"/>
                <w:szCs w:val="24"/>
                <w:lang w:val="sr-Cyrl-CS"/>
              </w:rPr>
            </w:pPr>
            <w:r w:rsidRPr="00471C90">
              <w:rPr>
                <w:rFonts w:cs="Times New Roman"/>
                <w:bCs/>
                <w:i/>
                <w:iCs/>
                <w:szCs w:val="24"/>
                <w:lang w:val="sr-Cyrl-CS"/>
              </w:rPr>
              <w:t>Надлежна институција</w:t>
            </w:r>
            <w:r w:rsidR="0064703E" w:rsidRPr="00471C90">
              <w:rPr>
                <w:rFonts w:cs="Times New Roman"/>
                <w:bCs/>
                <w:i/>
                <w:iCs/>
                <w:szCs w:val="24"/>
                <w:lang w:val="sr-Cyrl-CS"/>
              </w:rPr>
              <w:t>:</w:t>
            </w:r>
          </w:p>
        </w:tc>
      </w:tr>
      <w:tr w:rsidR="0064703E" w:rsidRPr="00471C90" w14:paraId="732A71E4" w14:textId="77777777" w:rsidTr="001E7736">
        <w:tc>
          <w:tcPr>
            <w:tcW w:w="9062" w:type="dxa"/>
            <w:vAlign w:val="center"/>
          </w:tcPr>
          <w:p w14:paraId="1B8C5F23" w14:textId="7F6393AC" w:rsidR="0064703E" w:rsidRPr="00471C90" w:rsidRDefault="004D0C8E" w:rsidP="001E7736">
            <w:pPr>
              <w:rPr>
                <w:rFonts w:cs="Times New Roman"/>
                <w:szCs w:val="24"/>
                <w:lang w:val="sr-Cyrl-CS"/>
              </w:rPr>
            </w:pPr>
            <w:r w:rsidRPr="00471C90">
              <w:rPr>
                <w:rFonts w:cs="Times New Roman"/>
                <w:szCs w:val="24"/>
                <w:lang w:val="sr-Cyrl-CS"/>
              </w:rPr>
              <w:t>Министар</w:t>
            </w:r>
            <w:r w:rsidR="004A0C1B" w:rsidRPr="00471C90">
              <w:rPr>
                <w:rFonts w:cs="Times New Roman"/>
                <w:szCs w:val="24"/>
                <w:lang w:val="sr-Cyrl-CS"/>
              </w:rPr>
              <w:t>с</w:t>
            </w:r>
            <w:r w:rsidRPr="00471C90">
              <w:rPr>
                <w:rFonts w:cs="Times New Roman"/>
                <w:szCs w:val="24"/>
                <w:lang w:val="sr-Cyrl-CS"/>
              </w:rPr>
              <w:t>тво финансија</w:t>
            </w:r>
          </w:p>
        </w:tc>
      </w:tr>
      <w:tr w:rsidR="0064703E" w:rsidRPr="00471C90" w14:paraId="0B248A50" w14:textId="77777777" w:rsidTr="001E7736">
        <w:tc>
          <w:tcPr>
            <w:tcW w:w="9062" w:type="dxa"/>
            <w:shd w:val="clear" w:color="auto" w:fill="FFFBD5"/>
            <w:vAlign w:val="center"/>
          </w:tcPr>
          <w:p w14:paraId="3E60302A" w14:textId="7F0A9C8F" w:rsidR="0064703E" w:rsidRPr="00471C90" w:rsidRDefault="004D0C8E" w:rsidP="001E7736">
            <w:pPr>
              <w:rPr>
                <w:rFonts w:cs="Times New Roman"/>
                <w:bCs/>
                <w:i/>
                <w:iCs/>
                <w:szCs w:val="24"/>
                <w:lang w:val="sr-Cyrl-CS"/>
              </w:rPr>
            </w:pPr>
            <w:r w:rsidRPr="00471C90">
              <w:rPr>
                <w:rFonts w:cs="Times New Roman"/>
                <w:bCs/>
                <w:i/>
                <w:iCs/>
                <w:szCs w:val="24"/>
                <w:lang w:val="sr-Cyrl-CS"/>
              </w:rPr>
              <w:t>Опис</w:t>
            </w:r>
            <w:r w:rsidR="0064703E" w:rsidRPr="00471C90">
              <w:rPr>
                <w:rFonts w:cs="Times New Roman"/>
                <w:bCs/>
                <w:i/>
                <w:iCs/>
                <w:szCs w:val="24"/>
                <w:lang w:val="sr-Cyrl-CS"/>
              </w:rPr>
              <w:t>:</w:t>
            </w:r>
          </w:p>
        </w:tc>
      </w:tr>
      <w:tr w:rsidR="0064703E" w:rsidRPr="00471C90" w14:paraId="4AAC823F" w14:textId="77777777" w:rsidTr="001E7736">
        <w:tc>
          <w:tcPr>
            <w:tcW w:w="9062" w:type="dxa"/>
            <w:tcBorders>
              <w:bottom w:val="single" w:sz="4" w:space="0" w:color="auto"/>
            </w:tcBorders>
            <w:vAlign w:val="center"/>
          </w:tcPr>
          <w:p w14:paraId="07843386" w14:textId="5DBC2869" w:rsidR="004D0C8E" w:rsidRPr="00471C90" w:rsidRDefault="004D0C8E" w:rsidP="004D0C8E">
            <w:pPr>
              <w:spacing w:after="120"/>
              <w:jc w:val="both"/>
              <w:rPr>
                <w:rFonts w:cs="Times New Roman"/>
                <w:szCs w:val="24"/>
                <w:lang w:val="sr-Cyrl-CS"/>
              </w:rPr>
            </w:pPr>
            <w:r w:rsidRPr="00471C90">
              <w:rPr>
                <w:rFonts w:cs="Times New Roman"/>
                <w:szCs w:val="24"/>
                <w:lang w:val="sr-Cyrl-CS"/>
              </w:rPr>
              <w:t>Развојне финансијске институције по својој сврси прихватају већи ризик од комерцијалних банака и због њихове специфичне природе било би неопходно дефинисати посебан н</w:t>
            </w:r>
            <w:r w:rsidR="00103338" w:rsidRPr="00471C90">
              <w:rPr>
                <w:rFonts w:cs="Times New Roman"/>
                <w:szCs w:val="24"/>
                <w:lang w:val="sr-Cyrl-CS"/>
              </w:rPr>
              <w:t>адзор</w:t>
            </w:r>
            <w:r w:rsidRPr="00471C90">
              <w:rPr>
                <w:rFonts w:cs="Times New Roman"/>
                <w:szCs w:val="24"/>
                <w:lang w:val="sr-Cyrl-CS"/>
              </w:rPr>
              <w:t>ни оквир и проценити одговарајуће показатеље и њихове референтне вредности.</w:t>
            </w:r>
          </w:p>
          <w:p w14:paraId="75B94291" w14:textId="31A971EA" w:rsidR="004D0C8E" w:rsidRPr="00471C90" w:rsidRDefault="004D0C8E" w:rsidP="004D0C8E">
            <w:pPr>
              <w:spacing w:after="120"/>
              <w:jc w:val="both"/>
              <w:rPr>
                <w:rFonts w:cs="Times New Roman"/>
                <w:szCs w:val="24"/>
                <w:lang w:val="sr-Cyrl-CS"/>
              </w:rPr>
            </w:pPr>
            <w:r w:rsidRPr="00471C90">
              <w:rPr>
                <w:rFonts w:cs="Times New Roman"/>
                <w:szCs w:val="24"/>
                <w:lang w:val="sr-Cyrl-CS"/>
              </w:rPr>
              <w:lastRenderedPageBreak/>
              <w:t xml:space="preserve">Показатељи који су од највећег значаја </w:t>
            </w:r>
            <w:r w:rsidR="00AA0FAB" w:rsidRPr="00471C90">
              <w:rPr>
                <w:rFonts w:cs="Times New Roman"/>
                <w:szCs w:val="24"/>
                <w:lang w:val="sr-Cyrl-CS"/>
              </w:rPr>
              <w:t>треба да буду</w:t>
            </w:r>
            <w:r w:rsidRPr="00471C90">
              <w:rPr>
                <w:rFonts w:cs="Times New Roman"/>
                <w:szCs w:val="24"/>
                <w:lang w:val="sr-Cyrl-CS"/>
              </w:rPr>
              <w:t xml:space="preserve"> посебно дефинисани</w:t>
            </w:r>
            <w:r w:rsidR="00E2689A" w:rsidRPr="00471C90">
              <w:rPr>
                <w:rFonts w:cs="Times New Roman"/>
                <w:szCs w:val="24"/>
                <w:lang w:val="sr-Cyrl-CS"/>
              </w:rPr>
              <w:t>,</w:t>
            </w:r>
            <w:r w:rsidRPr="00471C90">
              <w:rPr>
                <w:rFonts w:cs="Times New Roman"/>
                <w:szCs w:val="24"/>
                <w:lang w:val="sr-Cyrl-CS"/>
              </w:rPr>
              <w:t xml:space="preserve"> а они се првенствено односе на регулисање показатеља адекватности капитала као и показатеље у оквиру управљања ризицима развојних институција. Наведени показатељи као и њихове референтне вредности </w:t>
            </w:r>
            <w:r w:rsidR="00AA0FAB" w:rsidRPr="00471C90">
              <w:rPr>
                <w:rFonts w:cs="Times New Roman"/>
                <w:szCs w:val="24"/>
                <w:lang w:val="sr-Cyrl-CS"/>
              </w:rPr>
              <w:t>треба да буду</w:t>
            </w:r>
            <w:r w:rsidRPr="00471C90">
              <w:rPr>
                <w:rFonts w:cs="Times New Roman"/>
                <w:szCs w:val="24"/>
                <w:lang w:val="sr-Cyrl-CS"/>
              </w:rPr>
              <w:t xml:space="preserve"> усклађени са циљевима и специфичностима развојних институција који су </w:t>
            </w:r>
            <w:r w:rsidR="00AA0FAB" w:rsidRPr="00471C90">
              <w:rPr>
                <w:rFonts w:cs="Times New Roman"/>
                <w:szCs w:val="24"/>
                <w:lang w:val="sr-Cyrl-CS"/>
              </w:rPr>
              <w:t>одобриле</w:t>
            </w:r>
            <w:r w:rsidRPr="00471C90">
              <w:rPr>
                <w:rFonts w:cs="Times New Roman"/>
                <w:szCs w:val="24"/>
                <w:lang w:val="sr-Cyrl-CS"/>
              </w:rPr>
              <w:t xml:space="preserve"> </w:t>
            </w:r>
            <w:r w:rsidR="00AA0FAB" w:rsidRPr="00471C90">
              <w:rPr>
                <w:rFonts w:cs="Times New Roman"/>
                <w:szCs w:val="24"/>
                <w:lang w:val="sr-Cyrl-CS"/>
              </w:rPr>
              <w:t>надлежне државне институције</w:t>
            </w:r>
            <w:r w:rsidRPr="00471C90">
              <w:rPr>
                <w:rFonts w:cs="Times New Roman"/>
                <w:szCs w:val="24"/>
                <w:lang w:val="sr-Cyrl-CS"/>
              </w:rPr>
              <w:t xml:space="preserve">.  </w:t>
            </w:r>
          </w:p>
          <w:p w14:paraId="5F3B98EE" w14:textId="36CEA5E7" w:rsidR="004D0C8E" w:rsidRPr="00471C90" w:rsidRDefault="004D0C8E" w:rsidP="004D0C8E">
            <w:pPr>
              <w:spacing w:after="120"/>
              <w:jc w:val="both"/>
              <w:rPr>
                <w:rFonts w:cs="Times New Roman"/>
                <w:szCs w:val="24"/>
                <w:lang w:val="sr-Cyrl-CS"/>
              </w:rPr>
            </w:pPr>
            <w:r w:rsidRPr="00471C90">
              <w:rPr>
                <w:rFonts w:cs="Times New Roman"/>
                <w:szCs w:val="24"/>
                <w:lang w:val="sr-Cyrl-CS"/>
              </w:rPr>
              <w:t xml:space="preserve">У складу са тим, такође је потребно посебно дефинисати оквир за извештавање као и </w:t>
            </w:r>
            <w:r w:rsidR="00AA0FAB" w:rsidRPr="00471C90">
              <w:rPr>
                <w:rFonts w:cs="Times New Roman"/>
                <w:szCs w:val="24"/>
                <w:lang w:val="sr-Cyrl-CS"/>
              </w:rPr>
              <w:t>динамику извештавања</w:t>
            </w:r>
            <w:r w:rsidRPr="00471C90">
              <w:rPr>
                <w:rFonts w:cs="Times New Roman"/>
                <w:szCs w:val="24"/>
                <w:lang w:val="sr-Cyrl-CS"/>
              </w:rPr>
              <w:t xml:space="preserve"> кој</w:t>
            </w:r>
            <w:r w:rsidR="00AA0FAB" w:rsidRPr="00471C90">
              <w:rPr>
                <w:rFonts w:cs="Times New Roman"/>
                <w:szCs w:val="24"/>
                <w:lang w:val="sr-Cyrl-CS"/>
              </w:rPr>
              <w:t>а</w:t>
            </w:r>
            <w:r w:rsidRPr="00471C90">
              <w:rPr>
                <w:rFonts w:cs="Times New Roman"/>
                <w:szCs w:val="24"/>
                <w:lang w:val="sr-Cyrl-CS"/>
              </w:rPr>
              <w:t xml:space="preserve"> ће обухватити све извештаје који су релевантни за активности и циљеве развојних институција. </w:t>
            </w:r>
          </w:p>
          <w:p w14:paraId="13DAC461" w14:textId="287AE36D" w:rsidR="0064703E" w:rsidRPr="00471C90" w:rsidRDefault="004D0C8E" w:rsidP="003060E1">
            <w:pPr>
              <w:spacing w:after="120"/>
              <w:jc w:val="both"/>
              <w:rPr>
                <w:rFonts w:cs="Times New Roman"/>
                <w:szCs w:val="24"/>
                <w:lang w:val="sr-Cyrl-CS"/>
              </w:rPr>
            </w:pPr>
            <w:r w:rsidRPr="00471C90">
              <w:rPr>
                <w:rFonts w:cs="Times New Roman"/>
                <w:szCs w:val="24"/>
                <w:lang w:val="sr-Cyrl-CS"/>
              </w:rPr>
              <w:t xml:space="preserve">Министарство </w:t>
            </w:r>
            <w:r w:rsidR="003060E1" w:rsidRPr="00471C90">
              <w:rPr>
                <w:rFonts w:cs="Times New Roman"/>
                <w:szCs w:val="24"/>
                <w:lang w:val="sr-Cyrl-CS"/>
              </w:rPr>
              <w:t>финансија</w:t>
            </w:r>
            <w:r w:rsidRPr="00471C90">
              <w:rPr>
                <w:rFonts w:cs="Times New Roman"/>
                <w:szCs w:val="24"/>
                <w:lang w:val="sr-Cyrl-CS"/>
              </w:rPr>
              <w:t xml:space="preserve"> би требало да врши н</w:t>
            </w:r>
            <w:r w:rsidR="00103338" w:rsidRPr="00471C90">
              <w:rPr>
                <w:rFonts w:cs="Times New Roman"/>
                <w:szCs w:val="24"/>
                <w:lang w:val="sr-Cyrl-CS"/>
              </w:rPr>
              <w:t>адзор</w:t>
            </w:r>
            <w:r w:rsidRPr="00471C90">
              <w:rPr>
                <w:rFonts w:cs="Times New Roman"/>
                <w:szCs w:val="24"/>
                <w:lang w:val="sr-Cyrl-CS"/>
              </w:rPr>
              <w:t xml:space="preserve"> уз успостављен документациони оквир за спровођење </w:t>
            </w:r>
            <w:r w:rsidR="00A613EB" w:rsidRPr="00471C90">
              <w:rPr>
                <w:rFonts w:cs="Times New Roman"/>
                <w:szCs w:val="24"/>
                <w:lang w:val="sr-Cyrl-CS"/>
              </w:rPr>
              <w:t>тог надзора</w:t>
            </w:r>
            <w:r w:rsidRPr="00471C90">
              <w:rPr>
                <w:rFonts w:cs="Times New Roman"/>
                <w:szCs w:val="24"/>
                <w:lang w:val="sr-Cyrl-CS"/>
              </w:rPr>
              <w:t xml:space="preserve">. </w:t>
            </w:r>
            <w:r w:rsidR="00A613EB" w:rsidRPr="00471C90">
              <w:rPr>
                <w:rFonts w:cs="Times New Roman"/>
                <w:szCs w:val="24"/>
                <w:lang w:val="sr-Cyrl-CS"/>
              </w:rPr>
              <w:t xml:space="preserve">Министарство финансија </w:t>
            </w:r>
            <w:r w:rsidRPr="00471C90">
              <w:rPr>
                <w:rFonts w:cs="Times New Roman"/>
                <w:szCs w:val="24"/>
                <w:lang w:val="sr-Cyrl-CS"/>
              </w:rPr>
              <w:t xml:space="preserve">би у свом саставу требало да има </w:t>
            </w:r>
            <w:r w:rsidR="00A613EB" w:rsidRPr="00471C90">
              <w:rPr>
                <w:rFonts w:cs="Times New Roman"/>
                <w:szCs w:val="24"/>
                <w:lang w:val="sr-Cyrl-CS"/>
              </w:rPr>
              <w:t>одређен број запослених који би били</w:t>
            </w:r>
            <w:r w:rsidRPr="00471C90">
              <w:rPr>
                <w:rFonts w:cs="Times New Roman"/>
                <w:szCs w:val="24"/>
                <w:lang w:val="sr-Cyrl-CS"/>
              </w:rPr>
              <w:t xml:space="preserve"> задужен</w:t>
            </w:r>
            <w:r w:rsidR="00A613EB" w:rsidRPr="00471C90">
              <w:rPr>
                <w:rFonts w:cs="Times New Roman"/>
                <w:szCs w:val="24"/>
                <w:lang w:val="sr-Cyrl-CS"/>
              </w:rPr>
              <w:t>и</w:t>
            </w:r>
            <w:r w:rsidRPr="00471C90">
              <w:rPr>
                <w:rFonts w:cs="Times New Roman"/>
                <w:szCs w:val="24"/>
                <w:lang w:val="sr-Cyrl-CS"/>
              </w:rPr>
              <w:t xml:space="preserve"> за спровођење н</w:t>
            </w:r>
            <w:r w:rsidR="00103338" w:rsidRPr="00471C90">
              <w:rPr>
                <w:rFonts w:cs="Times New Roman"/>
                <w:szCs w:val="24"/>
                <w:lang w:val="sr-Cyrl-CS"/>
              </w:rPr>
              <w:t>адзор</w:t>
            </w:r>
            <w:r w:rsidRPr="00471C90">
              <w:rPr>
                <w:rFonts w:cs="Times New Roman"/>
                <w:szCs w:val="24"/>
                <w:lang w:val="sr-Cyrl-CS"/>
              </w:rPr>
              <w:t>а и који поседуј</w:t>
            </w:r>
            <w:r w:rsidR="00E2689A" w:rsidRPr="00471C90">
              <w:rPr>
                <w:rFonts w:cs="Times New Roman"/>
                <w:szCs w:val="24"/>
                <w:lang w:val="sr-Cyrl-CS"/>
              </w:rPr>
              <w:t>у</w:t>
            </w:r>
            <w:r w:rsidRPr="00471C90">
              <w:rPr>
                <w:rFonts w:cs="Times New Roman"/>
                <w:szCs w:val="24"/>
                <w:lang w:val="sr-Cyrl-CS"/>
              </w:rPr>
              <w:t xml:space="preserve"> адекватне капацитете, знање и искуство да одред</w:t>
            </w:r>
            <w:r w:rsidR="00E2689A" w:rsidRPr="00471C90">
              <w:rPr>
                <w:rFonts w:cs="Times New Roman"/>
                <w:szCs w:val="24"/>
                <w:lang w:val="sr-Cyrl-CS"/>
              </w:rPr>
              <w:t>е</w:t>
            </w:r>
            <w:r w:rsidRPr="00471C90">
              <w:rPr>
                <w:rFonts w:cs="Times New Roman"/>
                <w:szCs w:val="24"/>
                <w:lang w:val="sr-Cyrl-CS"/>
              </w:rPr>
              <w:t xml:space="preserve"> специфични приступ н</w:t>
            </w:r>
            <w:r w:rsidR="00103338" w:rsidRPr="00471C90">
              <w:rPr>
                <w:rFonts w:cs="Times New Roman"/>
                <w:szCs w:val="24"/>
                <w:lang w:val="sr-Cyrl-CS"/>
              </w:rPr>
              <w:t>адзор</w:t>
            </w:r>
            <w:r w:rsidRPr="00471C90">
              <w:rPr>
                <w:rFonts w:cs="Times New Roman"/>
                <w:szCs w:val="24"/>
                <w:lang w:val="sr-Cyrl-CS"/>
              </w:rPr>
              <w:t>у развојних финансијских институција.</w:t>
            </w:r>
          </w:p>
        </w:tc>
      </w:tr>
    </w:tbl>
    <w:p w14:paraId="5650B6C4" w14:textId="77777777" w:rsidR="00690967" w:rsidRPr="00471C90" w:rsidRDefault="00690967" w:rsidP="00E00ADF">
      <w:pPr>
        <w:spacing w:after="0"/>
        <w:rPr>
          <w:rFonts w:cs="Times New Roman"/>
          <w:szCs w:val="24"/>
          <w:lang w:val="sr-Cyrl-CS"/>
        </w:rPr>
      </w:pPr>
    </w:p>
    <w:tbl>
      <w:tblPr>
        <w:tblStyle w:val="TableGrid"/>
        <w:tblW w:w="0" w:type="auto"/>
        <w:tblLook w:val="04A0" w:firstRow="1" w:lastRow="0" w:firstColumn="1" w:lastColumn="0" w:noHBand="0" w:noVBand="1"/>
      </w:tblPr>
      <w:tblGrid>
        <w:gridCol w:w="9062"/>
      </w:tblGrid>
      <w:tr w:rsidR="0064703E" w:rsidRPr="00471C90" w14:paraId="21DAD173" w14:textId="77777777" w:rsidTr="001E7736">
        <w:tc>
          <w:tcPr>
            <w:tcW w:w="9062" w:type="dxa"/>
            <w:shd w:val="clear" w:color="auto" w:fill="FFE600"/>
            <w:vAlign w:val="center"/>
          </w:tcPr>
          <w:p w14:paraId="0230B6A0" w14:textId="0F5B763C" w:rsidR="0064703E" w:rsidRPr="00471C90" w:rsidRDefault="004D0C8E" w:rsidP="00A613EB">
            <w:pPr>
              <w:rPr>
                <w:rFonts w:cs="Times New Roman"/>
                <w:bCs/>
                <w:szCs w:val="24"/>
                <w:lang w:val="sr-Cyrl-CS"/>
              </w:rPr>
            </w:pPr>
            <w:r w:rsidRPr="00471C90">
              <w:rPr>
                <w:rFonts w:cs="Times New Roman"/>
                <w:bCs/>
                <w:szCs w:val="24"/>
                <w:lang w:val="sr-Cyrl-CS"/>
              </w:rPr>
              <w:t xml:space="preserve">Мера 8: Повећање финансирања из извора који нису </w:t>
            </w:r>
            <w:r w:rsidR="00A613EB" w:rsidRPr="00471C90">
              <w:rPr>
                <w:rFonts w:cs="Times New Roman"/>
                <w:bCs/>
                <w:szCs w:val="24"/>
                <w:lang w:val="sr-Cyrl-CS"/>
              </w:rPr>
              <w:t xml:space="preserve"> </w:t>
            </w:r>
            <w:r w:rsidRPr="00471C90">
              <w:rPr>
                <w:rFonts w:cs="Times New Roman"/>
                <w:bCs/>
                <w:szCs w:val="24"/>
                <w:lang w:val="sr-Cyrl-CS"/>
              </w:rPr>
              <w:t>буџет</w:t>
            </w:r>
            <w:r w:rsidR="00A613EB" w:rsidRPr="00471C90">
              <w:rPr>
                <w:rFonts w:cs="Times New Roman"/>
                <w:bCs/>
                <w:szCs w:val="24"/>
                <w:lang w:val="sr-Cyrl-CS"/>
              </w:rPr>
              <w:t xml:space="preserve"> Републике Србије</w:t>
            </w:r>
            <w:r w:rsidRPr="00471C90">
              <w:rPr>
                <w:rFonts w:cs="Times New Roman"/>
                <w:bCs/>
                <w:szCs w:val="24"/>
                <w:lang w:val="sr-Cyrl-CS"/>
              </w:rPr>
              <w:t xml:space="preserve"> и увођење гаранција</w:t>
            </w:r>
          </w:p>
        </w:tc>
      </w:tr>
      <w:tr w:rsidR="0064703E" w:rsidRPr="00471C90" w14:paraId="76497542" w14:textId="77777777" w:rsidTr="001E7736">
        <w:trPr>
          <w:trHeight w:val="270"/>
        </w:trPr>
        <w:tc>
          <w:tcPr>
            <w:tcW w:w="9062" w:type="dxa"/>
            <w:shd w:val="clear" w:color="auto" w:fill="FFFBD5"/>
            <w:vAlign w:val="center"/>
          </w:tcPr>
          <w:p w14:paraId="62A1DA88" w14:textId="648FFBE3" w:rsidR="0064703E" w:rsidRPr="00471C90" w:rsidRDefault="004D0C8E" w:rsidP="001E7736">
            <w:pPr>
              <w:rPr>
                <w:rFonts w:cs="Times New Roman"/>
                <w:szCs w:val="24"/>
                <w:lang w:val="sr-Cyrl-CS"/>
              </w:rPr>
            </w:pPr>
            <w:r w:rsidRPr="00471C90">
              <w:rPr>
                <w:rFonts w:cs="Times New Roman"/>
                <w:bCs/>
                <w:i/>
                <w:iCs/>
                <w:szCs w:val="24"/>
                <w:lang w:val="sr-Cyrl-CS"/>
              </w:rPr>
              <w:t>Врста мере</w:t>
            </w:r>
            <w:r w:rsidR="0064703E" w:rsidRPr="00471C90">
              <w:rPr>
                <w:rFonts w:cs="Times New Roman"/>
                <w:bCs/>
                <w:i/>
                <w:iCs/>
                <w:szCs w:val="24"/>
                <w:lang w:val="sr-Cyrl-CS"/>
              </w:rPr>
              <w:t>:</w:t>
            </w:r>
          </w:p>
        </w:tc>
      </w:tr>
      <w:tr w:rsidR="0064703E" w:rsidRPr="00471C90" w14:paraId="3F9218B7" w14:textId="77777777" w:rsidTr="001E7736">
        <w:trPr>
          <w:trHeight w:val="270"/>
        </w:trPr>
        <w:tc>
          <w:tcPr>
            <w:tcW w:w="9062" w:type="dxa"/>
            <w:shd w:val="clear" w:color="auto" w:fill="auto"/>
            <w:vAlign w:val="center"/>
          </w:tcPr>
          <w:p w14:paraId="7B246DB8" w14:textId="353037DF" w:rsidR="0064703E" w:rsidRPr="00471C90" w:rsidRDefault="004D0C8E" w:rsidP="001E7736">
            <w:pPr>
              <w:rPr>
                <w:rFonts w:cs="Times New Roman"/>
                <w:szCs w:val="24"/>
                <w:lang w:val="sr-Cyrl-CS"/>
              </w:rPr>
            </w:pPr>
            <w:r w:rsidRPr="00471C90">
              <w:rPr>
                <w:rFonts w:cs="Times New Roman"/>
                <w:szCs w:val="24"/>
                <w:lang w:val="sr-Cyrl-CS"/>
              </w:rPr>
              <w:t>институционално управљачко организациона</w:t>
            </w:r>
          </w:p>
        </w:tc>
      </w:tr>
      <w:tr w:rsidR="0064703E" w:rsidRPr="00471C90" w14:paraId="201E2661" w14:textId="77777777" w:rsidTr="001E7736">
        <w:tc>
          <w:tcPr>
            <w:tcW w:w="9062" w:type="dxa"/>
            <w:shd w:val="clear" w:color="auto" w:fill="FFFBD5"/>
            <w:vAlign w:val="center"/>
          </w:tcPr>
          <w:p w14:paraId="62CAFB78" w14:textId="42DEB6B2" w:rsidR="0064703E" w:rsidRPr="00471C90" w:rsidRDefault="004D0C8E" w:rsidP="001E7736">
            <w:pPr>
              <w:rPr>
                <w:rFonts w:cs="Times New Roman"/>
                <w:szCs w:val="24"/>
                <w:lang w:val="sr-Cyrl-CS"/>
              </w:rPr>
            </w:pPr>
            <w:r w:rsidRPr="00471C90">
              <w:rPr>
                <w:rFonts w:cs="Times New Roman"/>
                <w:bCs/>
                <w:i/>
                <w:iCs/>
                <w:szCs w:val="24"/>
                <w:lang w:val="sr-Cyrl-CS"/>
              </w:rPr>
              <w:t>Рок за примену</w:t>
            </w:r>
            <w:r w:rsidR="0064703E" w:rsidRPr="00471C90">
              <w:rPr>
                <w:rFonts w:cs="Times New Roman"/>
                <w:bCs/>
                <w:i/>
                <w:iCs/>
                <w:szCs w:val="24"/>
                <w:lang w:val="sr-Cyrl-CS"/>
              </w:rPr>
              <w:t>:</w:t>
            </w:r>
          </w:p>
        </w:tc>
      </w:tr>
      <w:tr w:rsidR="0064703E" w:rsidRPr="00471C90" w14:paraId="53165B7F" w14:textId="77777777" w:rsidTr="001E7736">
        <w:tc>
          <w:tcPr>
            <w:tcW w:w="9062" w:type="dxa"/>
            <w:vAlign w:val="center"/>
          </w:tcPr>
          <w:p w14:paraId="3FB30D69" w14:textId="1D631AB5" w:rsidR="0064703E" w:rsidRPr="00471C90" w:rsidRDefault="000221A3" w:rsidP="001E7736">
            <w:pPr>
              <w:rPr>
                <w:rFonts w:cs="Times New Roman"/>
                <w:szCs w:val="24"/>
                <w:lang w:val="sr-Cyrl-CS"/>
              </w:rPr>
            </w:pPr>
            <w:r w:rsidRPr="00471C90">
              <w:rPr>
                <w:rFonts w:cs="Times New Roman"/>
                <w:szCs w:val="24"/>
                <w:lang w:val="sr-Cyrl-CS"/>
              </w:rPr>
              <w:t>4</w:t>
            </w:r>
            <w:r w:rsidR="0064703E" w:rsidRPr="00471C90">
              <w:rPr>
                <w:rFonts w:cs="Times New Roman"/>
                <w:szCs w:val="24"/>
                <w:lang w:val="sr-Cyrl-CS"/>
              </w:rPr>
              <w:t xml:space="preserve">. </w:t>
            </w:r>
            <w:r w:rsidR="004D0C8E" w:rsidRPr="00471C90">
              <w:rPr>
                <w:rFonts w:cs="Times New Roman"/>
                <w:szCs w:val="24"/>
                <w:lang w:val="sr-Cyrl-CS"/>
              </w:rPr>
              <w:t>квартал</w:t>
            </w:r>
            <w:r w:rsidR="0064703E" w:rsidRPr="00471C90">
              <w:rPr>
                <w:rFonts w:cs="Times New Roman"/>
                <w:szCs w:val="24"/>
                <w:lang w:val="sr-Cyrl-CS"/>
              </w:rPr>
              <w:t xml:space="preserve"> </w:t>
            </w:r>
            <w:r w:rsidRPr="00471C90">
              <w:rPr>
                <w:rFonts w:cs="Times New Roman"/>
                <w:szCs w:val="24"/>
                <w:lang w:val="sr-Cyrl-CS"/>
              </w:rPr>
              <w:t>2024</w:t>
            </w:r>
            <w:r w:rsidR="0064703E" w:rsidRPr="00471C90">
              <w:rPr>
                <w:rFonts w:cs="Times New Roman"/>
                <w:szCs w:val="24"/>
                <w:lang w:val="sr-Cyrl-CS"/>
              </w:rPr>
              <w:t xml:space="preserve">. </w:t>
            </w:r>
            <w:r w:rsidR="004D0C8E" w:rsidRPr="00471C90">
              <w:rPr>
                <w:rFonts w:cs="Times New Roman"/>
                <w:szCs w:val="24"/>
                <w:lang w:val="sr-Cyrl-CS"/>
              </w:rPr>
              <w:t>године</w:t>
            </w:r>
          </w:p>
        </w:tc>
      </w:tr>
      <w:tr w:rsidR="00C83B54" w:rsidRPr="00471C90" w14:paraId="549BB079" w14:textId="77777777" w:rsidTr="001E7736">
        <w:tc>
          <w:tcPr>
            <w:tcW w:w="9062" w:type="dxa"/>
            <w:shd w:val="clear" w:color="auto" w:fill="FFFBD5"/>
            <w:vAlign w:val="center"/>
          </w:tcPr>
          <w:p w14:paraId="1BC0F5A0" w14:textId="3539F350" w:rsidR="00C83B54" w:rsidRPr="00471C90" w:rsidRDefault="00C83B54" w:rsidP="00C83B54">
            <w:pPr>
              <w:rPr>
                <w:rFonts w:cs="Times New Roman"/>
                <w:bCs/>
                <w:i/>
                <w:iCs/>
                <w:szCs w:val="24"/>
                <w:lang w:val="sr-Cyrl-CS"/>
              </w:rPr>
            </w:pPr>
            <w:r w:rsidRPr="00471C90">
              <w:rPr>
                <w:rFonts w:cs="Times New Roman"/>
                <w:bCs/>
                <w:i/>
                <w:iCs/>
                <w:szCs w:val="24"/>
                <w:lang w:val="sr-Cyrl-CS"/>
              </w:rPr>
              <w:t>Показатељи учинка:</w:t>
            </w:r>
          </w:p>
        </w:tc>
      </w:tr>
      <w:tr w:rsidR="0064703E" w:rsidRPr="00471C90" w14:paraId="3FBEAD0E" w14:textId="77777777" w:rsidTr="001E7736">
        <w:tc>
          <w:tcPr>
            <w:tcW w:w="9062" w:type="dxa"/>
            <w:vAlign w:val="center"/>
          </w:tcPr>
          <w:p w14:paraId="67A4D01D" w14:textId="42D395DE" w:rsidR="0064703E" w:rsidRPr="00471C90" w:rsidRDefault="003D1A20" w:rsidP="001E7736">
            <w:pPr>
              <w:rPr>
                <w:rFonts w:cs="Times New Roman"/>
                <w:szCs w:val="24"/>
                <w:lang w:val="sr-Cyrl-CS"/>
              </w:rPr>
            </w:pPr>
            <w:r w:rsidRPr="00471C90">
              <w:rPr>
                <w:rFonts w:cs="Times New Roman"/>
                <w:szCs w:val="24"/>
                <w:lang w:val="sr-Cyrl-CS"/>
              </w:rPr>
              <w:t xml:space="preserve">1) </w:t>
            </w:r>
            <w:r w:rsidR="00B31A13" w:rsidRPr="00471C90">
              <w:rPr>
                <w:rFonts w:cs="Times New Roman"/>
                <w:szCs w:val="24"/>
                <w:lang w:val="sr-Cyrl-CS"/>
              </w:rPr>
              <w:t>Израђен</w:t>
            </w:r>
            <w:r w:rsidR="005A287F" w:rsidRPr="00471C90">
              <w:rPr>
                <w:rFonts w:cs="Times New Roman"/>
                <w:szCs w:val="24"/>
                <w:lang w:val="sr-Cyrl-CS"/>
              </w:rPr>
              <w:t xml:space="preserve"> план за повећање у</w:t>
            </w:r>
            <w:r w:rsidR="004D0C8E" w:rsidRPr="00471C90">
              <w:rPr>
                <w:rFonts w:cs="Times New Roman"/>
                <w:szCs w:val="24"/>
                <w:lang w:val="sr-Cyrl-CS"/>
              </w:rPr>
              <w:t>чешћ</w:t>
            </w:r>
            <w:r w:rsidR="005A287F" w:rsidRPr="00471C90">
              <w:rPr>
                <w:rFonts w:cs="Times New Roman"/>
                <w:szCs w:val="24"/>
                <w:lang w:val="sr-Cyrl-CS"/>
              </w:rPr>
              <w:t>а</w:t>
            </w:r>
            <w:r w:rsidR="004D0C8E" w:rsidRPr="00471C90">
              <w:rPr>
                <w:rFonts w:cs="Times New Roman"/>
                <w:szCs w:val="24"/>
                <w:lang w:val="sr-Cyrl-CS"/>
              </w:rPr>
              <w:t xml:space="preserve"> финансирања из извора који нису буџет</w:t>
            </w:r>
            <w:r w:rsidR="00A613EB" w:rsidRPr="00471C90">
              <w:rPr>
                <w:rFonts w:cs="Times New Roman"/>
                <w:szCs w:val="24"/>
                <w:lang w:val="sr-Cyrl-CS"/>
              </w:rPr>
              <w:t xml:space="preserve"> Републике Србије</w:t>
            </w:r>
            <w:r w:rsidR="004D0C8E" w:rsidRPr="00471C90">
              <w:rPr>
                <w:rFonts w:cs="Times New Roman"/>
                <w:szCs w:val="24"/>
                <w:lang w:val="sr-Cyrl-CS"/>
              </w:rPr>
              <w:t xml:space="preserve"> у Фонду за развој</w:t>
            </w:r>
          </w:p>
          <w:p w14:paraId="15A4DE67" w14:textId="4A2936B8" w:rsidR="00F511F2" w:rsidRPr="00471C90" w:rsidRDefault="00F511F2" w:rsidP="001E7736">
            <w:pPr>
              <w:rPr>
                <w:rFonts w:cs="Times New Roman"/>
                <w:szCs w:val="24"/>
                <w:lang w:val="sr-Cyrl-CS"/>
              </w:rPr>
            </w:pPr>
            <w:r w:rsidRPr="00471C90">
              <w:rPr>
                <w:rFonts w:cs="Times New Roman"/>
                <w:szCs w:val="24"/>
                <w:lang w:val="sr-Cyrl-CS"/>
              </w:rPr>
              <w:t xml:space="preserve">2) </w:t>
            </w:r>
            <w:r w:rsidR="00B31A13" w:rsidRPr="00471C90">
              <w:rPr>
                <w:rFonts w:cs="Times New Roman"/>
                <w:szCs w:val="24"/>
                <w:lang w:val="sr-Cyrl-CS"/>
              </w:rPr>
              <w:t>Израђен</w:t>
            </w:r>
            <w:r w:rsidR="005A287F" w:rsidRPr="00471C90">
              <w:rPr>
                <w:rFonts w:cs="Times New Roman"/>
                <w:szCs w:val="24"/>
                <w:lang w:val="sr-Cyrl-CS"/>
              </w:rPr>
              <w:t xml:space="preserve"> план за повећање у</w:t>
            </w:r>
            <w:r w:rsidR="004D0C8E" w:rsidRPr="00471C90">
              <w:rPr>
                <w:rFonts w:cs="Times New Roman"/>
                <w:szCs w:val="24"/>
                <w:lang w:val="sr-Cyrl-CS"/>
              </w:rPr>
              <w:t>чешћ</w:t>
            </w:r>
            <w:r w:rsidR="005A287F" w:rsidRPr="00471C90">
              <w:rPr>
                <w:rFonts w:cs="Times New Roman"/>
                <w:szCs w:val="24"/>
                <w:lang w:val="sr-Cyrl-CS"/>
              </w:rPr>
              <w:t>а</w:t>
            </w:r>
            <w:r w:rsidR="004D0C8E" w:rsidRPr="00471C90">
              <w:rPr>
                <w:rFonts w:cs="Times New Roman"/>
                <w:szCs w:val="24"/>
                <w:lang w:val="sr-Cyrl-CS"/>
              </w:rPr>
              <w:t xml:space="preserve"> финансирања из извора који нису буџет </w:t>
            </w:r>
            <w:r w:rsidR="00B114F2" w:rsidRPr="00471C90">
              <w:rPr>
                <w:rFonts w:cs="Times New Roman"/>
                <w:szCs w:val="24"/>
                <w:lang w:val="sr-Cyrl-CS"/>
              </w:rPr>
              <w:t xml:space="preserve">Републике Србије </w:t>
            </w:r>
            <w:r w:rsidR="004D0C8E" w:rsidRPr="00471C90">
              <w:rPr>
                <w:rFonts w:cs="Times New Roman"/>
                <w:szCs w:val="24"/>
                <w:lang w:val="sr-Cyrl-CS"/>
              </w:rPr>
              <w:t>у АОФИ</w:t>
            </w:r>
          </w:p>
          <w:p w14:paraId="73CDF862" w14:textId="241BFE08" w:rsidR="00F5610D" w:rsidRPr="00471C90" w:rsidRDefault="00F5610D">
            <w:pPr>
              <w:rPr>
                <w:rFonts w:cs="Times New Roman"/>
                <w:szCs w:val="24"/>
                <w:highlight w:val="yellow"/>
                <w:lang w:val="sr-Cyrl-CS"/>
              </w:rPr>
            </w:pPr>
            <w:r w:rsidRPr="00471C90">
              <w:rPr>
                <w:rFonts w:cs="Times New Roman"/>
                <w:szCs w:val="24"/>
                <w:lang w:val="sr-Cyrl-CS"/>
              </w:rPr>
              <w:t xml:space="preserve">3) </w:t>
            </w:r>
            <w:r w:rsidR="00B31A13" w:rsidRPr="00471C90">
              <w:rPr>
                <w:rFonts w:cs="Times New Roman"/>
                <w:szCs w:val="24"/>
                <w:lang w:val="sr-Cyrl-CS"/>
              </w:rPr>
              <w:t xml:space="preserve">Израђен план за увођење </w:t>
            </w:r>
            <w:r w:rsidR="004D0C8E" w:rsidRPr="00471C90">
              <w:rPr>
                <w:rFonts w:cs="Times New Roman"/>
                <w:szCs w:val="24"/>
                <w:lang w:val="sr-Cyrl-CS"/>
              </w:rPr>
              <w:t>гаранциј</w:t>
            </w:r>
            <w:r w:rsidR="00585551" w:rsidRPr="00471C90">
              <w:rPr>
                <w:rFonts w:cs="Times New Roman"/>
                <w:szCs w:val="24"/>
                <w:lang w:val="sr-Cyrl-CS"/>
              </w:rPr>
              <w:t>а</w:t>
            </w:r>
            <w:r w:rsidR="004D0C8E" w:rsidRPr="00471C90">
              <w:rPr>
                <w:rFonts w:cs="Times New Roman"/>
                <w:szCs w:val="24"/>
                <w:lang w:val="sr-Cyrl-CS"/>
              </w:rPr>
              <w:t xml:space="preserve"> </w:t>
            </w:r>
            <w:r w:rsidR="00520EEA" w:rsidRPr="00471C90">
              <w:rPr>
                <w:rFonts w:cs="Times New Roman"/>
                <w:szCs w:val="24"/>
                <w:lang w:val="sr-Cyrl-CS"/>
              </w:rPr>
              <w:t xml:space="preserve">Републике Србије </w:t>
            </w:r>
            <w:r w:rsidR="004D0C8E" w:rsidRPr="00471C90">
              <w:rPr>
                <w:rFonts w:cs="Times New Roman"/>
                <w:szCs w:val="24"/>
                <w:lang w:val="sr-Cyrl-CS"/>
              </w:rPr>
              <w:t>за обавезе институција за развојно финансирање</w:t>
            </w:r>
          </w:p>
        </w:tc>
      </w:tr>
      <w:tr w:rsidR="0064703E" w:rsidRPr="00471C90" w14:paraId="0CA89865" w14:textId="77777777" w:rsidTr="001E7736">
        <w:tc>
          <w:tcPr>
            <w:tcW w:w="9062" w:type="dxa"/>
            <w:shd w:val="clear" w:color="auto" w:fill="FFFBD5"/>
            <w:vAlign w:val="center"/>
          </w:tcPr>
          <w:p w14:paraId="1101C9D5" w14:textId="60EA0EE1" w:rsidR="0064703E" w:rsidRPr="00471C90" w:rsidRDefault="004D0C8E" w:rsidP="001E7736">
            <w:pPr>
              <w:rPr>
                <w:rFonts w:cs="Times New Roman"/>
                <w:szCs w:val="24"/>
                <w:lang w:val="sr-Cyrl-CS"/>
              </w:rPr>
            </w:pPr>
            <w:r w:rsidRPr="00471C90">
              <w:rPr>
                <w:rFonts w:cs="Times New Roman"/>
                <w:bCs/>
                <w:i/>
                <w:iCs/>
                <w:szCs w:val="24"/>
                <w:lang w:val="sr-Cyrl-CS"/>
              </w:rPr>
              <w:t>Надлежна институција</w:t>
            </w:r>
            <w:r w:rsidR="0064703E" w:rsidRPr="00471C90">
              <w:rPr>
                <w:rFonts w:cs="Times New Roman"/>
                <w:bCs/>
                <w:i/>
                <w:iCs/>
                <w:szCs w:val="24"/>
                <w:lang w:val="sr-Cyrl-CS"/>
              </w:rPr>
              <w:t>:</w:t>
            </w:r>
          </w:p>
        </w:tc>
      </w:tr>
      <w:tr w:rsidR="0064703E" w:rsidRPr="00471C90" w14:paraId="6685998D" w14:textId="77777777" w:rsidTr="001E7736">
        <w:tc>
          <w:tcPr>
            <w:tcW w:w="9062" w:type="dxa"/>
            <w:vAlign w:val="center"/>
          </w:tcPr>
          <w:p w14:paraId="3AEB0E05" w14:textId="17B51BAA" w:rsidR="0064703E" w:rsidRPr="00471C90" w:rsidRDefault="004D0C8E" w:rsidP="001E7736">
            <w:pPr>
              <w:rPr>
                <w:rFonts w:cs="Times New Roman"/>
                <w:szCs w:val="24"/>
                <w:lang w:val="sr-Cyrl-CS"/>
              </w:rPr>
            </w:pPr>
            <w:r w:rsidRPr="00471C90">
              <w:rPr>
                <w:rFonts w:cs="Times New Roman"/>
                <w:szCs w:val="24"/>
                <w:lang w:val="sr-Cyrl-CS"/>
              </w:rPr>
              <w:t>Фонд за развој; АОФИ</w:t>
            </w:r>
          </w:p>
        </w:tc>
      </w:tr>
      <w:tr w:rsidR="0064703E" w:rsidRPr="00471C90" w14:paraId="4AAE7A09" w14:textId="77777777" w:rsidTr="001E7736">
        <w:tc>
          <w:tcPr>
            <w:tcW w:w="9062" w:type="dxa"/>
            <w:shd w:val="clear" w:color="auto" w:fill="FFFBD5"/>
            <w:vAlign w:val="center"/>
          </w:tcPr>
          <w:p w14:paraId="2E6097DB" w14:textId="6986A741" w:rsidR="0064703E" w:rsidRPr="00471C90" w:rsidRDefault="004D0C8E" w:rsidP="001E7736">
            <w:pPr>
              <w:rPr>
                <w:rFonts w:cs="Times New Roman"/>
                <w:bCs/>
                <w:i/>
                <w:iCs/>
                <w:szCs w:val="24"/>
                <w:lang w:val="sr-Cyrl-CS"/>
              </w:rPr>
            </w:pPr>
            <w:r w:rsidRPr="00471C90">
              <w:rPr>
                <w:rFonts w:cs="Times New Roman"/>
                <w:bCs/>
                <w:i/>
                <w:iCs/>
                <w:szCs w:val="24"/>
                <w:lang w:val="sr-Cyrl-CS"/>
              </w:rPr>
              <w:t>Опис</w:t>
            </w:r>
            <w:r w:rsidR="0064703E" w:rsidRPr="00471C90">
              <w:rPr>
                <w:rFonts w:cs="Times New Roman"/>
                <w:bCs/>
                <w:i/>
                <w:iCs/>
                <w:szCs w:val="24"/>
                <w:lang w:val="sr-Cyrl-CS"/>
              </w:rPr>
              <w:t>:</w:t>
            </w:r>
          </w:p>
        </w:tc>
      </w:tr>
      <w:tr w:rsidR="0064703E" w:rsidRPr="00471C90" w14:paraId="02CD2101" w14:textId="77777777" w:rsidTr="001E7736">
        <w:tc>
          <w:tcPr>
            <w:tcW w:w="9062" w:type="dxa"/>
            <w:tcBorders>
              <w:bottom w:val="single" w:sz="4" w:space="0" w:color="auto"/>
            </w:tcBorders>
            <w:vAlign w:val="center"/>
          </w:tcPr>
          <w:p w14:paraId="7639D6ED" w14:textId="232A00A7" w:rsidR="004D0C8E" w:rsidRPr="00471C90" w:rsidRDefault="00A613EB" w:rsidP="004D0C8E">
            <w:pPr>
              <w:spacing w:after="120"/>
              <w:jc w:val="both"/>
              <w:rPr>
                <w:rFonts w:cs="Times New Roman"/>
                <w:szCs w:val="24"/>
                <w:lang w:val="sr-Cyrl-CS"/>
              </w:rPr>
            </w:pPr>
            <w:r w:rsidRPr="00471C90">
              <w:rPr>
                <w:rFonts w:cs="Times New Roman"/>
                <w:szCs w:val="24"/>
                <w:lang w:val="sr-Cyrl-CS"/>
              </w:rPr>
              <w:t>У складу са</w:t>
            </w:r>
            <w:r w:rsidR="004D0C8E" w:rsidRPr="00471C90">
              <w:rPr>
                <w:rFonts w:cs="Times New Roman"/>
                <w:szCs w:val="24"/>
                <w:lang w:val="sr-Cyrl-CS"/>
              </w:rPr>
              <w:t xml:space="preserve"> </w:t>
            </w:r>
            <w:r w:rsidRPr="00471C90">
              <w:rPr>
                <w:rFonts w:cs="Times New Roman"/>
                <w:szCs w:val="24"/>
                <w:lang w:val="sr-Cyrl-CS"/>
              </w:rPr>
              <w:t>најбољим међународним праксама</w:t>
            </w:r>
            <w:r w:rsidR="004D0C8E" w:rsidRPr="00471C90">
              <w:rPr>
                <w:rFonts w:cs="Times New Roman"/>
                <w:szCs w:val="24"/>
                <w:lang w:val="sr-Cyrl-CS"/>
              </w:rPr>
              <w:t xml:space="preserve">, одговарајући обим финансирања се не обезбеђује само путем капитала, већ́ комбинацијом капитала и позајмљених средстава, попут зајмова од различитих међународних финансијских институција и издатих обвезница. Сходно томе, развојне финансијске институције у </w:t>
            </w:r>
            <w:r w:rsidR="00DA7257" w:rsidRPr="00471C90">
              <w:rPr>
                <w:rFonts w:cs="Times New Roman"/>
                <w:szCs w:val="24"/>
                <w:lang w:val="sr-Cyrl-CS"/>
              </w:rPr>
              <w:t xml:space="preserve">Републици </w:t>
            </w:r>
            <w:r w:rsidR="004D0C8E" w:rsidRPr="00471C90">
              <w:rPr>
                <w:rFonts w:cs="Times New Roman"/>
                <w:szCs w:val="24"/>
                <w:lang w:val="sr-Cyrl-CS"/>
              </w:rPr>
              <w:t>Србији треба да, када примене мере које могу да повећају њихову кредитну способност, почну да конкуришу за средства код међународних финансијских институција. Треба да постоји јасан план, у складу са циљевима ових институција, како ће се средства користити.</w:t>
            </w:r>
          </w:p>
          <w:p w14:paraId="228C7E11" w14:textId="60ED422F" w:rsidR="0064703E" w:rsidRPr="00471C90" w:rsidRDefault="004D0C8E">
            <w:pPr>
              <w:spacing w:after="120"/>
              <w:jc w:val="both"/>
              <w:rPr>
                <w:rFonts w:cs="Times New Roman"/>
                <w:szCs w:val="24"/>
                <w:lang w:val="sr-Cyrl-CS"/>
              </w:rPr>
            </w:pPr>
            <w:r w:rsidRPr="00471C90">
              <w:rPr>
                <w:rFonts w:cs="Times New Roman"/>
                <w:szCs w:val="24"/>
                <w:lang w:val="sr-Cyrl-CS"/>
              </w:rPr>
              <w:t xml:space="preserve">Поред тога, требало би увести и гаранције </w:t>
            </w:r>
            <w:r w:rsidR="00362C7D" w:rsidRPr="00471C90">
              <w:rPr>
                <w:rFonts w:cs="Times New Roman"/>
                <w:szCs w:val="24"/>
                <w:lang w:val="sr-Cyrl-CS"/>
              </w:rPr>
              <w:t xml:space="preserve">Републике Србије </w:t>
            </w:r>
            <w:r w:rsidRPr="00471C90">
              <w:rPr>
                <w:rFonts w:cs="Times New Roman"/>
                <w:szCs w:val="24"/>
                <w:lang w:val="sr-Cyrl-CS"/>
              </w:rPr>
              <w:t>за обавезе развојних финансијских институција. Гаранције би требало да допринесу привлачењу извора финансирања под повољнијим условима. Тачне услове под којима би се одобравале гаранције би требало дефинисати</w:t>
            </w:r>
            <w:r w:rsidR="00A613EB" w:rsidRPr="00471C90">
              <w:rPr>
                <w:rFonts w:cs="Times New Roman"/>
                <w:szCs w:val="24"/>
                <w:lang w:val="sr-Cyrl-CS"/>
              </w:rPr>
              <w:t xml:space="preserve"> прописима</w:t>
            </w:r>
            <w:r w:rsidRPr="00471C90">
              <w:rPr>
                <w:rFonts w:cs="Times New Roman"/>
                <w:szCs w:val="24"/>
                <w:lang w:val="sr-Cyrl-CS"/>
              </w:rPr>
              <w:t>, како би развојне финансијске институције могле да планирају своје изворе ликвидности.</w:t>
            </w:r>
          </w:p>
        </w:tc>
      </w:tr>
    </w:tbl>
    <w:p w14:paraId="69C6F596" w14:textId="77777777" w:rsidR="004A0C1B" w:rsidRPr="00471C90" w:rsidRDefault="004A0C1B" w:rsidP="00E00ADF">
      <w:pPr>
        <w:spacing w:after="0"/>
        <w:rPr>
          <w:rFonts w:cs="Times New Roman"/>
          <w:szCs w:val="24"/>
          <w:lang w:val="sr-Cyrl-CS"/>
        </w:rPr>
      </w:pPr>
    </w:p>
    <w:tbl>
      <w:tblPr>
        <w:tblStyle w:val="TableGrid"/>
        <w:tblW w:w="0" w:type="auto"/>
        <w:tblLook w:val="04A0" w:firstRow="1" w:lastRow="0" w:firstColumn="1" w:lastColumn="0" w:noHBand="0" w:noVBand="1"/>
      </w:tblPr>
      <w:tblGrid>
        <w:gridCol w:w="9062"/>
      </w:tblGrid>
      <w:tr w:rsidR="0064703E" w:rsidRPr="00471C90" w14:paraId="0E21A705" w14:textId="77777777" w:rsidTr="001E7736">
        <w:tc>
          <w:tcPr>
            <w:tcW w:w="9062" w:type="dxa"/>
            <w:shd w:val="clear" w:color="auto" w:fill="FFE600"/>
            <w:vAlign w:val="center"/>
          </w:tcPr>
          <w:p w14:paraId="410C40E0" w14:textId="55044B61" w:rsidR="0064703E" w:rsidRPr="00471C90" w:rsidRDefault="004D0C8E" w:rsidP="001E7736">
            <w:pPr>
              <w:rPr>
                <w:rFonts w:cs="Times New Roman"/>
                <w:bCs/>
                <w:szCs w:val="24"/>
                <w:lang w:val="sr-Cyrl-CS"/>
              </w:rPr>
            </w:pPr>
            <w:r w:rsidRPr="00471C90">
              <w:rPr>
                <w:rFonts w:cs="Times New Roman"/>
                <w:bCs/>
                <w:szCs w:val="24"/>
                <w:lang w:val="sr-Cyrl-CS"/>
              </w:rPr>
              <w:t>Мера 9: Издвајање активности осигурања из АОФИ у зависно друштво</w:t>
            </w:r>
          </w:p>
        </w:tc>
      </w:tr>
      <w:tr w:rsidR="0064703E" w:rsidRPr="00471C90" w14:paraId="7B4D6C2D" w14:textId="77777777" w:rsidTr="001E7736">
        <w:trPr>
          <w:trHeight w:val="270"/>
        </w:trPr>
        <w:tc>
          <w:tcPr>
            <w:tcW w:w="9062" w:type="dxa"/>
            <w:shd w:val="clear" w:color="auto" w:fill="FFFBD5"/>
            <w:vAlign w:val="center"/>
          </w:tcPr>
          <w:p w14:paraId="3C1135E5" w14:textId="125627AD" w:rsidR="0064703E" w:rsidRPr="00471C90" w:rsidRDefault="004D0C8E" w:rsidP="001E7736">
            <w:pPr>
              <w:rPr>
                <w:rFonts w:cs="Times New Roman"/>
                <w:szCs w:val="24"/>
                <w:lang w:val="sr-Cyrl-CS"/>
              </w:rPr>
            </w:pPr>
            <w:r w:rsidRPr="00471C90">
              <w:rPr>
                <w:rFonts w:cs="Times New Roman"/>
                <w:bCs/>
                <w:i/>
                <w:iCs/>
                <w:szCs w:val="24"/>
                <w:lang w:val="sr-Cyrl-CS"/>
              </w:rPr>
              <w:t>Врста мере</w:t>
            </w:r>
            <w:r w:rsidR="0064703E" w:rsidRPr="00471C90">
              <w:rPr>
                <w:rFonts w:cs="Times New Roman"/>
                <w:bCs/>
                <w:i/>
                <w:iCs/>
                <w:szCs w:val="24"/>
                <w:lang w:val="sr-Cyrl-CS"/>
              </w:rPr>
              <w:t>:</w:t>
            </w:r>
          </w:p>
        </w:tc>
      </w:tr>
      <w:tr w:rsidR="0064703E" w:rsidRPr="00471C90" w14:paraId="6CE51AEF" w14:textId="77777777" w:rsidTr="001E7736">
        <w:trPr>
          <w:trHeight w:val="270"/>
        </w:trPr>
        <w:tc>
          <w:tcPr>
            <w:tcW w:w="9062" w:type="dxa"/>
            <w:shd w:val="clear" w:color="auto" w:fill="auto"/>
            <w:vAlign w:val="center"/>
          </w:tcPr>
          <w:p w14:paraId="643C0051" w14:textId="78A7FD10" w:rsidR="0064703E" w:rsidRPr="00471C90" w:rsidRDefault="004D0C8E" w:rsidP="001E7736">
            <w:pPr>
              <w:rPr>
                <w:rFonts w:cs="Times New Roman"/>
                <w:szCs w:val="24"/>
                <w:lang w:val="sr-Cyrl-CS"/>
              </w:rPr>
            </w:pPr>
            <w:r w:rsidRPr="00471C90">
              <w:rPr>
                <w:rFonts w:cs="Times New Roman"/>
                <w:szCs w:val="24"/>
                <w:lang w:val="sr-Cyrl-CS"/>
              </w:rPr>
              <w:t>институционално управљачко организациона</w:t>
            </w:r>
          </w:p>
        </w:tc>
      </w:tr>
      <w:tr w:rsidR="0064703E" w:rsidRPr="00471C90" w14:paraId="4342681E" w14:textId="77777777" w:rsidTr="001E7736">
        <w:tc>
          <w:tcPr>
            <w:tcW w:w="9062" w:type="dxa"/>
            <w:shd w:val="clear" w:color="auto" w:fill="FFFBD5"/>
            <w:vAlign w:val="center"/>
          </w:tcPr>
          <w:p w14:paraId="2C47382A" w14:textId="352A0260" w:rsidR="0064703E" w:rsidRPr="00471C90" w:rsidRDefault="004D0C8E" w:rsidP="001E7736">
            <w:pPr>
              <w:rPr>
                <w:rFonts w:cs="Times New Roman"/>
                <w:szCs w:val="24"/>
                <w:lang w:val="sr-Cyrl-CS"/>
              </w:rPr>
            </w:pPr>
            <w:r w:rsidRPr="00471C90">
              <w:rPr>
                <w:rFonts w:cs="Times New Roman"/>
                <w:bCs/>
                <w:i/>
                <w:iCs/>
                <w:szCs w:val="24"/>
                <w:lang w:val="sr-Cyrl-CS"/>
              </w:rPr>
              <w:lastRenderedPageBreak/>
              <w:t>Рок за примену</w:t>
            </w:r>
            <w:r w:rsidR="0064703E" w:rsidRPr="00471C90">
              <w:rPr>
                <w:rFonts w:cs="Times New Roman"/>
                <w:bCs/>
                <w:i/>
                <w:iCs/>
                <w:szCs w:val="24"/>
                <w:lang w:val="sr-Cyrl-CS"/>
              </w:rPr>
              <w:t>:</w:t>
            </w:r>
          </w:p>
        </w:tc>
      </w:tr>
      <w:tr w:rsidR="0064703E" w:rsidRPr="00471C90" w14:paraId="7107691D" w14:textId="77777777" w:rsidTr="001E7736">
        <w:tc>
          <w:tcPr>
            <w:tcW w:w="9062" w:type="dxa"/>
            <w:vAlign w:val="center"/>
          </w:tcPr>
          <w:p w14:paraId="65A11DF7" w14:textId="3EF74E92" w:rsidR="0064703E" w:rsidRPr="00471C90" w:rsidRDefault="000221A3" w:rsidP="001E7736">
            <w:pPr>
              <w:rPr>
                <w:rFonts w:cs="Times New Roman"/>
                <w:szCs w:val="24"/>
                <w:lang w:val="sr-Cyrl-CS"/>
              </w:rPr>
            </w:pPr>
            <w:r w:rsidRPr="00471C90">
              <w:rPr>
                <w:rFonts w:cs="Times New Roman"/>
                <w:szCs w:val="24"/>
                <w:lang w:val="sr-Cyrl-CS"/>
              </w:rPr>
              <w:t xml:space="preserve">4. </w:t>
            </w:r>
            <w:r w:rsidR="004D0C8E" w:rsidRPr="00471C90">
              <w:rPr>
                <w:rFonts w:cs="Times New Roman"/>
                <w:szCs w:val="24"/>
                <w:lang w:val="sr-Cyrl-CS"/>
              </w:rPr>
              <w:t>квартал</w:t>
            </w:r>
            <w:r w:rsidRPr="00471C90">
              <w:rPr>
                <w:rFonts w:cs="Times New Roman"/>
                <w:szCs w:val="24"/>
                <w:lang w:val="sr-Cyrl-CS"/>
              </w:rPr>
              <w:t xml:space="preserve"> 2024. </w:t>
            </w:r>
            <w:r w:rsidR="004D0C8E" w:rsidRPr="00471C90">
              <w:rPr>
                <w:rFonts w:cs="Times New Roman"/>
                <w:szCs w:val="24"/>
                <w:lang w:val="sr-Cyrl-CS"/>
              </w:rPr>
              <w:t>године</w:t>
            </w:r>
          </w:p>
        </w:tc>
      </w:tr>
      <w:tr w:rsidR="00C83B54" w:rsidRPr="00471C90" w14:paraId="11A5EFCB" w14:textId="77777777" w:rsidTr="001E7736">
        <w:tc>
          <w:tcPr>
            <w:tcW w:w="9062" w:type="dxa"/>
            <w:shd w:val="clear" w:color="auto" w:fill="FFFBD5"/>
            <w:vAlign w:val="center"/>
          </w:tcPr>
          <w:p w14:paraId="44587C50" w14:textId="25F04FE6" w:rsidR="00C83B54" w:rsidRPr="00471C90" w:rsidRDefault="00C83B54" w:rsidP="00C83B54">
            <w:pPr>
              <w:rPr>
                <w:rFonts w:cs="Times New Roman"/>
                <w:bCs/>
                <w:i/>
                <w:iCs/>
                <w:szCs w:val="24"/>
                <w:lang w:val="sr-Cyrl-CS"/>
              </w:rPr>
            </w:pPr>
            <w:r w:rsidRPr="00471C90">
              <w:rPr>
                <w:rFonts w:cs="Times New Roman"/>
                <w:bCs/>
                <w:i/>
                <w:iCs/>
                <w:szCs w:val="24"/>
                <w:lang w:val="sr-Cyrl-CS"/>
              </w:rPr>
              <w:t>Показатељи учинка:</w:t>
            </w:r>
          </w:p>
        </w:tc>
      </w:tr>
      <w:tr w:rsidR="0064703E" w:rsidRPr="00471C90" w14:paraId="0E406471" w14:textId="77777777" w:rsidTr="001E7736">
        <w:tc>
          <w:tcPr>
            <w:tcW w:w="9062" w:type="dxa"/>
            <w:vAlign w:val="center"/>
          </w:tcPr>
          <w:p w14:paraId="25ECF359" w14:textId="34F64FB0" w:rsidR="0064703E" w:rsidRPr="00471C90" w:rsidRDefault="004A0C1B" w:rsidP="001E7736">
            <w:pPr>
              <w:rPr>
                <w:rFonts w:cs="Times New Roman"/>
                <w:szCs w:val="24"/>
                <w:highlight w:val="yellow"/>
                <w:lang w:val="sr-Cyrl-CS"/>
              </w:rPr>
            </w:pPr>
            <w:r w:rsidRPr="00471C90">
              <w:rPr>
                <w:rFonts w:cs="Times New Roman"/>
                <w:szCs w:val="24"/>
                <w:lang w:val="sr-Cyrl-CS"/>
              </w:rPr>
              <w:t xml:space="preserve">1) </w:t>
            </w:r>
            <w:r w:rsidR="004D0C8E" w:rsidRPr="00471C90">
              <w:rPr>
                <w:rFonts w:cs="Times New Roman"/>
                <w:szCs w:val="24"/>
                <w:lang w:val="sr-Cyrl-CS"/>
              </w:rPr>
              <w:t>Успостављено зависно друштво АОФИ надлежно за послове осигурања</w:t>
            </w:r>
          </w:p>
        </w:tc>
      </w:tr>
      <w:tr w:rsidR="0064703E" w:rsidRPr="00471C90" w14:paraId="337E31C2" w14:textId="77777777" w:rsidTr="001E7736">
        <w:tc>
          <w:tcPr>
            <w:tcW w:w="9062" w:type="dxa"/>
            <w:shd w:val="clear" w:color="auto" w:fill="FFFBD5"/>
            <w:vAlign w:val="center"/>
          </w:tcPr>
          <w:p w14:paraId="575A04FD" w14:textId="055E382F" w:rsidR="0064703E" w:rsidRPr="00471C90" w:rsidRDefault="004D0C8E" w:rsidP="001E7736">
            <w:pPr>
              <w:rPr>
                <w:rFonts w:cs="Times New Roman"/>
                <w:szCs w:val="24"/>
                <w:lang w:val="sr-Cyrl-CS"/>
              </w:rPr>
            </w:pPr>
            <w:r w:rsidRPr="00471C90">
              <w:rPr>
                <w:rFonts w:cs="Times New Roman"/>
                <w:bCs/>
                <w:i/>
                <w:iCs/>
                <w:szCs w:val="24"/>
                <w:lang w:val="sr-Cyrl-CS"/>
              </w:rPr>
              <w:t>Надлежна институција</w:t>
            </w:r>
            <w:r w:rsidR="0064703E" w:rsidRPr="00471C90">
              <w:rPr>
                <w:rFonts w:cs="Times New Roman"/>
                <w:bCs/>
                <w:i/>
                <w:iCs/>
                <w:szCs w:val="24"/>
                <w:lang w:val="sr-Cyrl-CS"/>
              </w:rPr>
              <w:t>:</w:t>
            </w:r>
          </w:p>
        </w:tc>
      </w:tr>
      <w:tr w:rsidR="0064703E" w:rsidRPr="00471C90" w14:paraId="5555FB5F" w14:textId="77777777" w:rsidTr="001E7736">
        <w:tc>
          <w:tcPr>
            <w:tcW w:w="9062" w:type="dxa"/>
            <w:vAlign w:val="center"/>
          </w:tcPr>
          <w:p w14:paraId="0B479CC5" w14:textId="79F91E09" w:rsidR="0064703E" w:rsidRPr="00471C90" w:rsidRDefault="004D0C8E" w:rsidP="001E7736">
            <w:pPr>
              <w:rPr>
                <w:rFonts w:cs="Times New Roman"/>
                <w:szCs w:val="24"/>
                <w:lang w:val="sr-Cyrl-CS"/>
              </w:rPr>
            </w:pPr>
            <w:r w:rsidRPr="00471C90">
              <w:rPr>
                <w:rFonts w:cs="Times New Roman"/>
                <w:szCs w:val="24"/>
                <w:lang w:val="sr-Cyrl-CS"/>
              </w:rPr>
              <w:t>АОФИ</w:t>
            </w:r>
          </w:p>
        </w:tc>
      </w:tr>
      <w:tr w:rsidR="0064703E" w:rsidRPr="00471C90" w14:paraId="388AC4EE" w14:textId="77777777" w:rsidTr="001E7736">
        <w:tc>
          <w:tcPr>
            <w:tcW w:w="9062" w:type="dxa"/>
            <w:shd w:val="clear" w:color="auto" w:fill="FFFBD5"/>
            <w:vAlign w:val="center"/>
          </w:tcPr>
          <w:p w14:paraId="5E994221" w14:textId="4C5FB9FD" w:rsidR="0064703E" w:rsidRPr="00471C90" w:rsidRDefault="00B65F16" w:rsidP="001E7736">
            <w:pPr>
              <w:rPr>
                <w:rFonts w:cs="Times New Roman"/>
                <w:bCs/>
                <w:i/>
                <w:iCs/>
                <w:szCs w:val="24"/>
                <w:lang w:val="sr-Cyrl-CS"/>
              </w:rPr>
            </w:pPr>
            <w:r w:rsidRPr="00471C90">
              <w:rPr>
                <w:rFonts w:cs="Times New Roman"/>
                <w:bCs/>
                <w:i/>
                <w:iCs/>
                <w:szCs w:val="24"/>
                <w:lang w:val="sr-Cyrl-CS"/>
              </w:rPr>
              <w:t>Опис</w:t>
            </w:r>
            <w:r w:rsidR="0064703E" w:rsidRPr="00471C90">
              <w:rPr>
                <w:rFonts w:cs="Times New Roman"/>
                <w:bCs/>
                <w:i/>
                <w:iCs/>
                <w:szCs w:val="24"/>
                <w:lang w:val="sr-Cyrl-CS"/>
              </w:rPr>
              <w:t>:</w:t>
            </w:r>
          </w:p>
        </w:tc>
      </w:tr>
      <w:tr w:rsidR="003D40CB" w:rsidRPr="00471C90" w14:paraId="40B66DA4" w14:textId="77777777" w:rsidTr="001E7736">
        <w:tc>
          <w:tcPr>
            <w:tcW w:w="9062" w:type="dxa"/>
            <w:tcBorders>
              <w:bottom w:val="single" w:sz="4" w:space="0" w:color="auto"/>
            </w:tcBorders>
            <w:vAlign w:val="center"/>
          </w:tcPr>
          <w:p w14:paraId="3EB1A93D" w14:textId="7200D484" w:rsidR="003D40CB" w:rsidRPr="00471C90" w:rsidRDefault="00B65F16">
            <w:pPr>
              <w:spacing w:after="120"/>
              <w:jc w:val="both"/>
              <w:rPr>
                <w:rFonts w:cs="Times New Roman"/>
                <w:szCs w:val="24"/>
                <w:lang w:val="sr-Cyrl-CS"/>
              </w:rPr>
            </w:pPr>
            <w:r w:rsidRPr="00471C90">
              <w:rPr>
                <w:rFonts w:cs="Times New Roman"/>
                <w:szCs w:val="24"/>
                <w:lang w:val="sr-Cyrl-CS"/>
              </w:rPr>
              <w:t>Услуге осигурања би требало да буду издвојене из АОФИ у нов</w:t>
            </w:r>
            <w:r w:rsidR="00DC0181" w:rsidRPr="00471C90">
              <w:rPr>
                <w:rFonts w:cs="Times New Roman"/>
                <w:szCs w:val="24"/>
                <w:lang w:val="sr-Cyrl-CS"/>
              </w:rPr>
              <w:t>у</w:t>
            </w:r>
            <w:r w:rsidRPr="00471C90">
              <w:rPr>
                <w:rFonts w:cs="Times New Roman"/>
                <w:szCs w:val="24"/>
                <w:lang w:val="sr-Cyrl-CS"/>
              </w:rPr>
              <w:t>, повезан</w:t>
            </w:r>
            <w:r w:rsidR="00DC0181" w:rsidRPr="00471C90">
              <w:rPr>
                <w:rFonts w:cs="Times New Roman"/>
                <w:szCs w:val="24"/>
                <w:lang w:val="sr-Cyrl-CS"/>
              </w:rPr>
              <w:t>у</w:t>
            </w:r>
            <w:r w:rsidRPr="00471C90">
              <w:rPr>
                <w:rFonts w:cs="Times New Roman"/>
                <w:szCs w:val="24"/>
                <w:lang w:val="sr-Cyrl-CS"/>
              </w:rPr>
              <w:t xml:space="preserve"> </w:t>
            </w:r>
            <w:r w:rsidR="00DC0181" w:rsidRPr="00471C90">
              <w:rPr>
                <w:rFonts w:cs="Times New Roman"/>
                <w:szCs w:val="24"/>
                <w:lang w:val="sr-Cyrl-CS"/>
              </w:rPr>
              <w:t xml:space="preserve">развојну финансијску институцију </w:t>
            </w:r>
            <w:r w:rsidRPr="00471C90">
              <w:rPr>
                <w:rFonts w:cs="Times New Roman"/>
                <w:szCs w:val="24"/>
                <w:lang w:val="sr-Cyrl-CS"/>
              </w:rPr>
              <w:t xml:space="preserve">(тј. зависно друштво АОФИ), имајући у виду значајну разлику у природи делатности осигурања у односу на активности финансирања, као и различите </w:t>
            </w:r>
            <w:r w:rsidR="00926922" w:rsidRPr="00471C90">
              <w:rPr>
                <w:rFonts w:cs="Times New Roman"/>
                <w:szCs w:val="24"/>
                <w:lang w:val="sr-Cyrl-CS"/>
              </w:rPr>
              <w:t xml:space="preserve">законодавне </w:t>
            </w:r>
            <w:r w:rsidRPr="00471C90">
              <w:rPr>
                <w:rFonts w:cs="Times New Roman"/>
                <w:szCs w:val="24"/>
                <w:lang w:val="sr-Cyrl-CS"/>
              </w:rPr>
              <w:t>оквире.</w:t>
            </w:r>
          </w:p>
        </w:tc>
      </w:tr>
    </w:tbl>
    <w:p w14:paraId="20725616" w14:textId="7607FD1E" w:rsidR="00C0460F" w:rsidRPr="00471C90" w:rsidRDefault="00C0460F">
      <w:pPr>
        <w:rPr>
          <w:rFonts w:cs="Times New Roman"/>
          <w:szCs w:val="24"/>
          <w:lang w:val="sr-Cyrl-CS"/>
        </w:rPr>
      </w:pPr>
    </w:p>
    <w:p w14:paraId="6178834F" w14:textId="6F161FD5" w:rsidR="00A339A9" w:rsidRPr="00471C90" w:rsidRDefault="00DA7257" w:rsidP="00587627">
      <w:pPr>
        <w:pStyle w:val="Heading1"/>
        <w:numPr>
          <w:ilvl w:val="0"/>
          <w:numId w:val="0"/>
        </w:numPr>
        <w:ind w:left="142"/>
        <w:jc w:val="center"/>
        <w:rPr>
          <w:rFonts w:cs="Times New Roman"/>
          <w:b w:val="0"/>
          <w:sz w:val="24"/>
          <w:szCs w:val="24"/>
          <w:lang w:val="sr-Cyrl-CS"/>
        </w:rPr>
      </w:pPr>
      <w:bookmarkStart w:id="11" w:name="_Toc86450221"/>
      <w:r w:rsidRPr="00471C90">
        <w:rPr>
          <w:rFonts w:cs="Times New Roman"/>
          <w:b w:val="0"/>
          <w:sz w:val="24"/>
          <w:szCs w:val="24"/>
          <w:lang w:val="sr-Cyrl-CS"/>
        </w:rPr>
        <w:t>VII</w:t>
      </w:r>
      <w:r w:rsidR="00453209" w:rsidRPr="00471C90">
        <w:rPr>
          <w:rFonts w:cs="Times New Roman"/>
          <w:b w:val="0"/>
          <w:sz w:val="24"/>
          <w:szCs w:val="24"/>
          <w:lang w:val="sr-Cyrl-CS"/>
        </w:rPr>
        <w:t>I</w:t>
      </w:r>
      <w:r w:rsidRPr="00471C90">
        <w:rPr>
          <w:rFonts w:cs="Times New Roman"/>
          <w:b w:val="0"/>
          <w:sz w:val="24"/>
          <w:szCs w:val="24"/>
          <w:lang w:val="sr-Cyrl-CS"/>
        </w:rPr>
        <w:t>.</w:t>
      </w:r>
      <w:bookmarkEnd w:id="11"/>
      <w:r w:rsidR="00826663" w:rsidRPr="00471C90">
        <w:rPr>
          <w:rFonts w:cs="Times New Roman"/>
          <w:b w:val="0"/>
          <w:sz w:val="24"/>
          <w:szCs w:val="24"/>
          <w:lang w:val="sr-Cyrl-CS"/>
        </w:rPr>
        <w:t xml:space="preserve"> </w:t>
      </w:r>
      <w:r w:rsidR="003060E1" w:rsidRPr="00471C90">
        <w:rPr>
          <w:rFonts w:cs="Times New Roman"/>
          <w:b w:val="0"/>
          <w:sz w:val="24"/>
          <w:szCs w:val="24"/>
          <w:lang w:val="sr-Cyrl-CS"/>
        </w:rPr>
        <w:t>ПРОЦЕНА ПОТРЕБНИХ ФИНАНСИЈСКИХ СРЕДСТАВА И ФИНАНСИЈСКИХ ЕФЕКАТА НА БУЏЕТ</w:t>
      </w:r>
    </w:p>
    <w:p w14:paraId="4DA954A4" w14:textId="18D07D50" w:rsidR="007A2EBB" w:rsidRPr="00471C90" w:rsidRDefault="00CA2110" w:rsidP="00587627">
      <w:pPr>
        <w:ind w:firstLine="284"/>
        <w:jc w:val="both"/>
        <w:rPr>
          <w:rFonts w:cs="Times New Roman"/>
          <w:color w:val="000000" w:themeColor="text1"/>
          <w:szCs w:val="24"/>
          <w:lang w:val="sr-Cyrl-CS"/>
        </w:rPr>
      </w:pPr>
      <w:r w:rsidRPr="00471C90">
        <w:rPr>
          <w:rFonts w:cs="Times New Roman"/>
          <w:color w:val="000000" w:themeColor="text1"/>
          <w:szCs w:val="24"/>
          <w:lang w:val="sr-Cyrl-CS"/>
        </w:rPr>
        <w:t xml:space="preserve">Све мере ће се финансирати из текућих прихода институција за развојно финансирање, </w:t>
      </w:r>
      <w:r w:rsidR="00367B72" w:rsidRPr="00471C90">
        <w:rPr>
          <w:rFonts w:cs="Times New Roman"/>
          <w:color w:val="000000" w:themeColor="text1"/>
          <w:szCs w:val="24"/>
          <w:lang w:val="sr-Cyrl-CS"/>
        </w:rPr>
        <w:t xml:space="preserve">уз могућност коришћења средстава међународне развојне помоћи. </w:t>
      </w:r>
      <w:r w:rsidR="00BB6F9C" w:rsidRPr="00471C90">
        <w:rPr>
          <w:rFonts w:cs="Times New Roman"/>
          <w:color w:val="000000" w:themeColor="text1"/>
          <w:szCs w:val="24"/>
          <w:lang w:val="sr-Cyrl-CS"/>
        </w:rPr>
        <w:t>Износ финансијских средстава ће се ближе одредити будућим стратешким документом којим ће се, између осталог, ближе одредити и област</w:t>
      </w:r>
      <w:r w:rsidR="00587627" w:rsidRPr="00471C90">
        <w:rPr>
          <w:rFonts w:cs="Times New Roman"/>
          <w:color w:val="000000" w:themeColor="text1"/>
          <w:szCs w:val="24"/>
          <w:lang w:val="sr-Cyrl-CS"/>
        </w:rPr>
        <w:t xml:space="preserve"> побољшања приступа финансирању</w:t>
      </w:r>
      <w:r w:rsidR="00BB6F9C" w:rsidRPr="00471C90">
        <w:rPr>
          <w:rFonts w:cs="Times New Roman"/>
          <w:color w:val="000000" w:themeColor="text1"/>
          <w:szCs w:val="24"/>
          <w:lang w:val="sr-Cyrl-CS"/>
        </w:rPr>
        <w:t>.</w:t>
      </w:r>
    </w:p>
    <w:p w14:paraId="11643770" w14:textId="77777777" w:rsidR="00587627" w:rsidRPr="00471C90" w:rsidRDefault="00587627" w:rsidP="00587627">
      <w:pPr>
        <w:ind w:firstLine="284"/>
        <w:jc w:val="both"/>
        <w:rPr>
          <w:rFonts w:cs="Times New Roman"/>
          <w:szCs w:val="24"/>
          <w:lang w:val="sr-Cyrl-CS"/>
        </w:rPr>
      </w:pPr>
    </w:p>
    <w:p w14:paraId="21DEA87A" w14:textId="6C554C60" w:rsidR="00152B22" w:rsidRPr="00471C90" w:rsidRDefault="00453209" w:rsidP="00587627">
      <w:pPr>
        <w:pStyle w:val="Heading1"/>
        <w:numPr>
          <w:ilvl w:val="0"/>
          <w:numId w:val="0"/>
        </w:numPr>
        <w:ind w:left="284"/>
        <w:jc w:val="center"/>
        <w:rPr>
          <w:rFonts w:cs="Times New Roman"/>
          <w:b w:val="0"/>
          <w:sz w:val="24"/>
          <w:szCs w:val="24"/>
          <w:lang w:val="sr-Cyrl-CS"/>
        </w:rPr>
      </w:pPr>
      <w:bookmarkStart w:id="12" w:name="_Toc86450222"/>
      <w:r w:rsidRPr="00471C90">
        <w:rPr>
          <w:rFonts w:cs="Times New Roman"/>
          <w:b w:val="0"/>
          <w:sz w:val="24"/>
          <w:szCs w:val="24"/>
          <w:lang w:val="sr-Cyrl-CS"/>
        </w:rPr>
        <w:t>IX</w:t>
      </w:r>
      <w:r w:rsidR="00DA7257" w:rsidRPr="00471C90">
        <w:rPr>
          <w:rFonts w:cs="Times New Roman"/>
          <w:b w:val="0"/>
          <w:sz w:val="24"/>
          <w:szCs w:val="24"/>
          <w:lang w:val="sr-Cyrl-CS"/>
        </w:rPr>
        <w:t>.</w:t>
      </w:r>
      <w:bookmarkEnd w:id="12"/>
      <w:r w:rsidR="00997508" w:rsidRPr="00471C90">
        <w:rPr>
          <w:rFonts w:cs="Times New Roman"/>
          <w:b w:val="0"/>
          <w:sz w:val="24"/>
          <w:szCs w:val="24"/>
          <w:lang w:val="sr-Cyrl-CS"/>
        </w:rPr>
        <w:t xml:space="preserve"> </w:t>
      </w:r>
      <w:r w:rsidR="003060E1" w:rsidRPr="00471C90">
        <w:rPr>
          <w:rFonts w:cs="Times New Roman"/>
          <w:b w:val="0"/>
          <w:sz w:val="24"/>
          <w:szCs w:val="24"/>
          <w:lang w:val="sr-Cyrl-CS"/>
        </w:rPr>
        <w:t>ПЛАН НАРЕДНИХ КОРАКА</w:t>
      </w:r>
    </w:p>
    <w:p w14:paraId="542BE333" w14:textId="7F59348E" w:rsidR="00F12FE8" w:rsidRPr="00471C90" w:rsidRDefault="001022B0" w:rsidP="00AE0CA2">
      <w:pPr>
        <w:ind w:firstLine="708"/>
        <w:rPr>
          <w:rFonts w:cs="Times New Roman"/>
          <w:szCs w:val="24"/>
          <w:lang w:val="sr-Cyrl-CS"/>
        </w:rPr>
      </w:pPr>
      <w:r w:rsidRPr="00471C90">
        <w:rPr>
          <w:rFonts w:cs="Times New Roman"/>
          <w:szCs w:val="24"/>
          <w:lang w:val="sr-Cyrl-CS"/>
        </w:rPr>
        <w:t xml:space="preserve">Спровођење дефинисаних мера ће се одвијати у роковима дефинисаним у </w:t>
      </w:r>
      <w:r w:rsidR="00E437B6" w:rsidRPr="00471C90">
        <w:rPr>
          <w:rFonts w:cs="Times New Roman"/>
          <w:szCs w:val="24"/>
          <w:lang w:val="sr-Cyrl-CS"/>
        </w:rPr>
        <w:t xml:space="preserve">глави </w:t>
      </w:r>
      <w:r w:rsidR="00453209" w:rsidRPr="00471C90">
        <w:rPr>
          <w:rFonts w:cs="Times New Roman"/>
          <w:szCs w:val="24"/>
          <w:lang w:val="sr-Cyrl-CS"/>
        </w:rPr>
        <w:t>VI</w:t>
      </w:r>
      <w:r w:rsidR="003060E1" w:rsidRPr="00471C90">
        <w:rPr>
          <w:rFonts w:cs="Times New Roman"/>
          <w:szCs w:val="24"/>
          <w:lang w:val="sr-Cyrl-CS"/>
        </w:rPr>
        <w:t>. Спроведене консултације и додатне анализе,</w:t>
      </w:r>
      <w:r w:rsidR="00453209" w:rsidRPr="00471C90">
        <w:rPr>
          <w:rFonts w:cs="Times New Roman"/>
          <w:szCs w:val="24"/>
          <w:lang w:val="sr-Cyrl-CS"/>
        </w:rPr>
        <w:t xml:space="preserve"> </w:t>
      </w:r>
      <w:r w:rsidRPr="00471C90">
        <w:rPr>
          <w:rFonts w:cs="Times New Roman"/>
          <w:szCs w:val="24"/>
          <w:lang w:val="sr-Cyrl-CS"/>
        </w:rPr>
        <w:t xml:space="preserve">Концепта. </w:t>
      </w:r>
      <w:r w:rsidR="00FB4BF1" w:rsidRPr="00471C90">
        <w:rPr>
          <w:rFonts w:cs="Times New Roman"/>
          <w:szCs w:val="24"/>
          <w:lang w:val="sr-Cyrl-CS"/>
        </w:rPr>
        <w:t xml:space="preserve">У наставку је преглед мера по </w:t>
      </w:r>
      <w:r w:rsidR="00F37F84" w:rsidRPr="00471C90">
        <w:rPr>
          <w:rFonts w:cs="Times New Roman"/>
          <w:szCs w:val="24"/>
          <w:lang w:val="sr-Cyrl-CS"/>
        </w:rPr>
        <w:t xml:space="preserve">посебним циљевима и по </w:t>
      </w:r>
      <w:r w:rsidR="00FB4BF1" w:rsidRPr="00471C90">
        <w:rPr>
          <w:rFonts w:cs="Times New Roman"/>
          <w:szCs w:val="24"/>
          <w:lang w:val="sr-Cyrl-CS"/>
        </w:rPr>
        <w:t>роковима у којима се планира њихова реализација.</w:t>
      </w:r>
    </w:p>
    <w:tbl>
      <w:tblPr>
        <w:tblStyle w:val="TableGrid"/>
        <w:tblW w:w="0" w:type="auto"/>
        <w:tblLook w:val="04A0" w:firstRow="1" w:lastRow="0" w:firstColumn="1" w:lastColumn="0" w:noHBand="0" w:noVBand="1"/>
      </w:tblPr>
      <w:tblGrid>
        <w:gridCol w:w="1838"/>
        <w:gridCol w:w="2408"/>
        <w:gridCol w:w="2408"/>
        <w:gridCol w:w="2408"/>
      </w:tblGrid>
      <w:tr w:rsidR="00F37F84" w:rsidRPr="00471C90" w14:paraId="41E5B2B1" w14:textId="77777777" w:rsidTr="00E00ADF">
        <w:tc>
          <w:tcPr>
            <w:tcW w:w="1838" w:type="dxa"/>
            <w:vMerge w:val="restart"/>
            <w:shd w:val="clear" w:color="auto" w:fill="FFE600"/>
          </w:tcPr>
          <w:p w14:paraId="7E61E6ED" w14:textId="18963A9C" w:rsidR="00F37F84" w:rsidRPr="00471C90" w:rsidRDefault="00F37F84" w:rsidP="00F12FE8">
            <w:pPr>
              <w:rPr>
                <w:rFonts w:cs="Times New Roman"/>
                <w:bCs/>
                <w:szCs w:val="24"/>
                <w:lang w:val="sr-Cyrl-CS"/>
              </w:rPr>
            </w:pPr>
            <w:r w:rsidRPr="00471C90">
              <w:rPr>
                <w:rFonts w:cs="Times New Roman"/>
                <w:bCs/>
                <w:szCs w:val="24"/>
                <w:lang w:val="sr-Cyrl-CS"/>
              </w:rPr>
              <w:t>Посебни циљ</w:t>
            </w:r>
          </w:p>
        </w:tc>
        <w:tc>
          <w:tcPr>
            <w:tcW w:w="7224" w:type="dxa"/>
            <w:gridSpan w:val="3"/>
            <w:shd w:val="clear" w:color="auto" w:fill="FFE600"/>
          </w:tcPr>
          <w:p w14:paraId="5A67243A" w14:textId="3DC99694" w:rsidR="00F37F84" w:rsidRPr="00471C90" w:rsidRDefault="00F37F84" w:rsidP="00E00ADF">
            <w:pPr>
              <w:jc w:val="center"/>
              <w:rPr>
                <w:rFonts w:cs="Times New Roman"/>
                <w:bCs/>
                <w:szCs w:val="24"/>
                <w:lang w:val="sr-Cyrl-CS"/>
              </w:rPr>
            </w:pPr>
            <w:r w:rsidRPr="00471C90">
              <w:rPr>
                <w:rFonts w:cs="Times New Roman"/>
                <w:bCs/>
                <w:szCs w:val="24"/>
                <w:lang w:val="sr-Cyrl-CS"/>
              </w:rPr>
              <w:t>Планирани рок реализације</w:t>
            </w:r>
          </w:p>
        </w:tc>
      </w:tr>
      <w:tr w:rsidR="00F37F84" w:rsidRPr="00471C90" w14:paraId="6E95FA24" w14:textId="77777777" w:rsidTr="00E00ADF">
        <w:tc>
          <w:tcPr>
            <w:tcW w:w="1838" w:type="dxa"/>
            <w:vMerge/>
            <w:shd w:val="clear" w:color="auto" w:fill="FFE600"/>
          </w:tcPr>
          <w:p w14:paraId="5C3D2BCC" w14:textId="77777777" w:rsidR="00F37F84" w:rsidRPr="00471C90" w:rsidRDefault="00F37F84" w:rsidP="00F12FE8">
            <w:pPr>
              <w:rPr>
                <w:rFonts w:cs="Times New Roman"/>
                <w:bCs/>
                <w:szCs w:val="24"/>
                <w:lang w:val="sr-Cyrl-CS"/>
              </w:rPr>
            </w:pPr>
          </w:p>
        </w:tc>
        <w:tc>
          <w:tcPr>
            <w:tcW w:w="2408" w:type="dxa"/>
            <w:shd w:val="clear" w:color="auto" w:fill="FFE600"/>
          </w:tcPr>
          <w:p w14:paraId="31C60AE0" w14:textId="5A868083" w:rsidR="00F37F84" w:rsidRPr="00471C90" w:rsidRDefault="00453209" w:rsidP="00453209">
            <w:pPr>
              <w:jc w:val="center"/>
              <w:rPr>
                <w:rFonts w:cs="Times New Roman"/>
                <w:bCs/>
                <w:szCs w:val="24"/>
                <w:lang w:val="sr-Cyrl-CS"/>
              </w:rPr>
            </w:pPr>
            <w:r w:rsidRPr="00471C90">
              <w:rPr>
                <w:rFonts w:cs="Times New Roman"/>
                <w:bCs/>
                <w:szCs w:val="24"/>
                <w:lang w:val="sr-Cyrl-CS"/>
              </w:rPr>
              <w:t>1</w:t>
            </w:r>
            <w:r w:rsidR="00F37F84" w:rsidRPr="00471C90">
              <w:rPr>
                <w:rFonts w:cs="Times New Roman"/>
                <w:bCs/>
                <w:szCs w:val="24"/>
                <w:lang w:val="sr-Cyrl-CS"/>
              </w:rPr>
              <w:t xml:space="preserve">. квартал </w:t>
            </w:r>
            <w:r w:rsidRPr="00471C90">
              <w:rPr>
                <w:rFonts w:cs="Times New Roman"/>
                <w:bCs/>
                <w:szCs w:val="24"/>
                <w:lang w:val="sr-Cyrl-CS"/>
              </w:rPr>
              <w:t>2023</w:t>
            </w:r>
            <w:r w:rsidR="00F37F84" w:rsidRPr="00471C90">
              <w:rPr>
                <w:rFonts w:cs="Times New Roman"/>
                <w:bCs/>
                <w:szCs w:val="24"/>
                <w:lang w:val="sr-Cyrl-CS"/>
              </w:rPr>
              <w:t>.</w:t>
            </w:r>
          </w:p>
        </w:tc>
        <w:tc>
          <w:tcPr>
            <w:tcW w:w="2408" w:type="dxa"/>
            <w:shd w:val="clear" w:color="auto" w:fill="FFE600"/>
          </w:tcPr>
          <w:p w14:paraId="159BFE15" w14:textId="5544CF44" w:rsidR="00F37F84" w:rsidRPr="00471C90" w:rsidRDefault="00453209" w:rsidP="00453209">
            <w:pPr>
              <w:jc w:val="center"/>
              <w:rPr>
                <w:rFonts w:cs="Times New Roman"/>
                <w:bCs/>
                <w:szCs w:val="24"/>
                <w:lang w:val="sr-Cyrl-CS"/>
              </w:rPr>
            </w:pPr>
            <w:r w:rsidRPr="00471C90">
              <w:rPr>
                <w:rFonts w:cs="Times New Roman"/>
                <w:bCs/>
                <w:szCs w:val="24"/>
                <w:lang w:val="sr-Cyrl-CS"/>
              </w:rPr>
              <w:t>1</w:t>
            </w:r>
            <w:r w:rsidR="00F37F84" w:rsidRPr="00471C90">
              <w:rPr>
                <w:rFonts w:cs="Times New Roman"/>
                <w:bCs/>
                <w:szCs w:val="24"/>
                <w:lang w:val="sr-Cyrl-CS"/>
              </w:rPr>
              <w:t>.</w:t>
            </w:r>
            <w:r w:rsidR="005860D9" w:rsidRPr="00471C90">
              <w:rPr>
                <w:rFonts w:cs="Times New Roman"/>
                <w:bCs/>
                <w:szCs w:val="24"/>
                <w:lang w:val="sr-Cyrl-CS"/>
              </w:rPr>
              <w:t xml:space="preserve"> </w:t>
            </w:r>
            <w:r w:rsidR="00F37F84" w:rsidRPr="00471C90">
              <w:rPr>
                <w:rFonts w:cs="Times New Roman"/>
                <w:bCs/>
                <w:szCs w:val="24"/>
                <w:lang w:val="sr-Cyrl-CS"/>
              </w:rPr>
              <w:t xml:space="preserve">квартал </w:t>
            </w:r>
            <w:r w:rsidRPr="00471C90">
              <w:rPr>
                <w:rFonts w:cs="Times New Roman"/>
                <w:bCs/>
                <w:szCs w:val="24"/>
                <w:lang w:val="sr-Cyrl-CS"/>
              </w:rPr>
              <w:t>2024</w:t>
            </w:r>
            <w:r w:rsidR="00F37F84" w:rsidRPr="00471C90">
              <w:rPr>
                <w:rFonts w:cs="Times New Roman"/>
                <w:bCs/>
                <w:szCs w:val="24"/>
                <w:lang w:val="sr-Cyrl-CS"/>
              </w:rPr>
              <w:t>.</w:t>
            </w:r>
          </w:p>
        </w:tc>
        <w:tc>
          <w:tcPr>
            <w:tcW w:w="2408" w:type="dxa"/>
            <w:shd w:val="clear" w:color="auto" w:fill="FFE600"/>
          </w:tcPr>
          <w:p w14:paraId="1C6F22C7" w14:textId="0DE280A0" w:rsidR="00F37F84" w:rsidRPr="00471C90" w:rsidRDefault="00F37F84" w:rsidP="00E00ADF">
            <w:pPr>
              <w:jc w:val="center"/>
              <w:rPr>
                <w:rFonts w:cs="Times New Roman"/>
                <w:bCs/>
                <w:szCs w:val="24"/>
                <w:lang w:val="sr-Cyrl-CS"/>
              </w:rPr>
            </w:pPr>
            <w:r w:rsidRPr="00471C90">
              <w:rPr>
                <w:rFonts w:cs="Times New Roman"/>
                <w:bCs/>
                <w:szCs w:val="24"/>
                <w:lang w:val="sr-Cyrl-CS"/>
              </w:rPr>
              <w:t>4. квартал 2024.</w:t>
            </w:r>
          </w:p>
        </w:tc>
      </w:tr>
      <w:tr w:rsidR="00F37F84" w:rsidRPr="00471C90" w14:paraId="54762E03" w14:textId="77777777" w:rsidTr="00E00ADF">
        <w:tc>
          <w:tcPr>
            <w:tcW w:w="1838" w:type="dxa"/>
          </w:tcPr>
          <w:p w14:paraId="2405002D" w14:textId="086547E7" w:rsidR="00F37F84" w:rsidRPr="00471C90" w:rsidRDefault="00F37F84" w:rsidP="00F12FE8">
            <w:pPr>
              <w:rPr>
                <w:rFonts w:cs="Times New Roman"/>
                <w:szCs w:val="24"/>
                <w:lang w:val="sr-Cyrl-CS"/>
              </w:rPr>
            </w:pPr>
            <w:r w:rsidRPr="00471C90">
              <w:rPr>
                <w:rFonts w:cs="Times New Roman"/>
                <w:szCs w:val="24"/>
                <w:lang w:val="sr-Cyrl-CS"/>
              </w:rPr>
              <w:t>Први посебни циљ</w:t>
            </w:r>
          </w:p>
        </w:tc>
        <w:tc>
          <w:tcPr>
            <w:tcW w:w="2408" w:type="dxa"/>
          </w:tcPr>
          <w:p w14:paraId="6A118553" w14:textId="0FAFCA9E" w:rsidR="00F37F84" w:rsidRPr="00471C90" w:rsidRDefault="00F37F84" w:rsidP="00E00ADF">
            <w:pPr>
              <w:spacing w:after="120"/>
              <w:rPr>
                <w:rFonts w:cs="Times New Roman"/>
                <w:szCs w:val="24"/>
                <w:lang w:val="sr-Cyrl-CS"/>
              </w:rPr>
            </w:pPr>
            <w:r w:rsidRPr="00471C90">
              <w:rPr>
                <w:rFonts w:cs="Times New Roman"/>
                <w:szCs w:val="24"/>
                <w:lang w:val="sr-Cyrl-CS"/>
              </w:rPr>
              <w:t>Мера 1: Јачање функције подизања свести у развојним институцијама</w:t>
            </w:r>
          </w:p>
          <w:p w14:paraId="65FCCA4A" w14:textId="22DD726E" w:rsidR="00B30145" w:rsidRPr="00471C90" w:rsidRDefault="00B30145" w:rsidP="00E00ADF">
            <w:pPr>
              <w:spacing w:after="120"/>
              <w:rPr>
                <w:rFonts w:cs="Times New Roman"/>
                <w:szCs w:val="24"/>
                <w:lang w:val="sr-Cyrl-CS"/>
              </w:rPr>
            </w:pPr>
            <w:r w:rsidRPr="00471C90">
              <w:rPr>
                <w:rFonts w:cs="Times New Roman"/>
                <w:szCs w:val="24"/>
                <w:lang w:val="sr-Cyrl-CS"/>
              </w:rPr>
              <w:t>Мера 2: Побољшање постојећих типова зајмова и гаранција</w:t>
            </w:r>
          </w:p>
          <w:p w14:paraId="6EE489F3" w14:textId="6B0729A2" w:rsidR="00F37F84" w:rsidRPr="00471C90" w:rsidRDefault="00B30145" w:rsidP="00E00ADF">
            <w:pPr>
              <w:spacing w:after="120"/>
              <w:rPr>
                <w:rFonts w:cs="Times New Roman"/>
                <w:szCs w:val="24"/>
                <w:lang w:val="sr-Cyrl-CS"/>
              </w:rPr>
            </w:pPr>
            <w:r w:rsidRPr="00471C90">
              <w:rPr>
                <w:rFonts w:cs="Times New Roman"/>
                <w:szCs w:val="24"/>
                <w:lang w:val="sr-Cyrl-CS"/>
              </w:rPr>
              <w:t>Мера 3: Увођење нових врста финансирања извоза</w:t>
            </w:r>
          </w:p>
        </w:tc>
        <w:tc>
          <w:tcPr>
            <w:tcW w:w="2408" w:type="dxa"/>
          </w:tcPr>
          <w:p w14:paraId="508D13AE" w14:textId="7D4647F4" w:rsidR="00F37F84" w:rsidRPr="00471C90" w:rsidRDefault="0039253D" w:rsidP="00E00ADF">
            <w:pPr>
              <w:spacing w:after="120"/>
              <w:rPr>
                <w:rFonts w:cs="Times New Roman"/>
                <w:szCs w:val="24"/>
                <w:lang w:val="sr-Cyrl-CS"/>
              </w:rPr>
            </w:pPr>
            <w:r w:rsidRPr="00471C90">
              <w:rPr>
                <w:rFonts w:cs="Times New Roman"/>
                <w:szCs w:val="24"/>
                <w:lang w:val="sr-Cyrl-CS"/>
              </w:rPr>
              <w:t>Нису планиране мере са овим роком.</w:t>
            </w:r>
          </w:p>
        </w:tc>
        <w:tc>
          <w:tcPr>
            <w:tcW w:w="2408" w:type="dxa"/>
          </w:tcPr>
          <w:p w14:paraId="4F38E356" w14:textId="5DF48B5B" w:rsidR="00F37F84" w:rsidRPr="00471C90" w:rsidRDefault="0039253D" w:rsidP="00E00ADF">
            <w:pPr>
              <w:spacing w:after="120"/>
              <w:rPr>
                <w:rFonts w:cs="Times New Roman"/>
                <w:szCs w:val="24"/>
                <w:lang w:val="sr-Cyrl-CS"/>
              </w:rPr>
            </w:pPr>
            <w:r w:rsidRPr="00471C90">
              <w:rPr>
                <w:rFonts w:cs="Times New Roman"/>
                <w:szCs w:val="24"/>
                <w:lang w:val="sr-Cyrl-CS"/>
              </w:rPr>
              <w:t>Нису планиране мере са овим роком.</w:t>
            </w:r>
          </w:p>
        </w:tc>
      </w:tr>
      <w:tr w:rsidR="00F37F84" w:rsidRPr="00471C90" w14:paraId="2FF46D07" w14:textId="77777777" w:rsidTr="00E00ADF">
        <w:tc>
          <w:tcPr>
            <w:tcW w:w="1838" w:type="dxa"/>
          </w:tcPr>
          <w:p w14:paraId="54D005C6" w14:textId="773050C5" w:rsidR="00F37F84" w:rsidRPr="00471C90" w:rsidRDefault="00F37F84" w:rsidP="00F12FE8">
            <w:pPr>
              <w:rPr>
                <w:rFonts w:cs="Times New Roman"/>
                <w:szCs w:val="24"/>
                <w:lang w:val="sr-Cyrl-CS"/>
              </w:rPr>
            </w:pPr>
            <w:r w:rsidRPr="00471C90">
              <w:rPr>
                <w:rFonts w:cs="Times New Roman"/>
                <w:szCs w:val="24"/>
                <w:lang w:val="sr-Cyrl-CS"/>
              </w:rPr>
              <w:t>Други посебни циљ</w:t>
            </w:r>
          </w:p>
        </w:tc>
        <w:tc>
          <w:tcPr>
            <w:tcW w:w="2408" w:type="dxa"/>
          </w:tcPr>
          <w:p w14:paraId="391482B6" w14:textId="77777777" w:rsidR="00F37F84" w:rsidRPr="00471C90" w:rsidRDefault="00A45EC1" w:rsidP="00E00ADF">
            <w:pPr>
              <w:spacing w:after="120"/>
              <w:rPr>
                <w:rFonts w:cs="Times New Roman"/>
                <w:szCs w:val="24"/>
                <w:lang w:val="sr-Cyrl-CS"/>
              </w:rPr>
            </w:pPr>
            <w:r w:rsidRPr="00471C90">
              <w:rPr>
                <w:rFonts w:cs="Times New Roman"/>
                <w:szCs w:val="24"/>
                <w:lang w:val="sr-Cyrl-CS"/>
              </w:rPr>
              <w:t>Мера 1: Спољна ревизија</w:t>
            </w:r>
          </w:p>
          <w:p w14:paraId="1E7317AF" w14:textId="77777777" w:rsidR="00A45EC1" w:rsidRPr="00471C90" w:rsidRDefault="00A45EC1" w:rsidP="00E00ADF">
            <w:pPr>
              <w:spacing w:after="120"/>
              <w:rPr>
                <w:rFonts w:cs="Times New Roman"/>
                <w:szCs w:val="24"/>
                <w:lang w:val="sr-Cyrl-CS"/>
              </w:rPr>
            </w:pPr>
            <w:r w:rsidRPr="00471C90">
              <w:rPr>
                <w:rFonts w:cs="Times New Roman"/>
                <w:szCs w:val="24"/>
                <w:lang w:val="sr-Cyrl-CS"/>
              </w:rPr>
              <w:t>Мера 2: Побољшање управљања перформансама</w:t>
            </w:r>
          </w:p>
          <w:p w14:paraId="7742BE77" w14:textId="3D01FD3D" w:rsidR="00A45EC1" w:rsidRPr="00471C90" w:rsidRDefault="00A45EC1">
            <w:pPr>
              <w:spacing w:after="120"/>
              <w:rPr>
                <w:rFonts w:cs="Times New Roman"/>
                <w:szCs w:val="24"/>
                <w:lang w:val="sr-Cyrl-CS"/>
              </w:rPr>
            </w:pPr>
            <w:r w:rsidRPr="00471C90">
              <w:rPr>
                <w:rFonts w:cs="Times New Roman"/>
                <w:szCs w:val="24"/>
                <w:lang w:val="sr-Cyrl-CS"/>
              </w:rPr>
              <w:t xml:space="preserve">Мера 3: Побољшање функција интерне </w:t>
            </w:r>
            <w:r w:rsidRPr="00471C90">
              <w:rPr>
                <w:rFonts w:cs="Times New Roman"/>
                <w:szCs w:val="24"/>
                <w:lang w:val="sr-Cyrl-CS"/>
              </w:rPr>
              <w:lastRenderedPageBreak/>
              <w:t>ревизије, управљања ризиком и усклађености пословања</w:t>
            </w:r>
          </w:p>
          <w:p w14:paraId="4B7A7138" w14:textId="55FFC700" w:rsidR="00A45EC1" w:rsidRPr="00471C90" w:rsidRDefault="00F6047A" w:rsidP="00B114F2">
            <w:pPr>
              <w:spacing w:after="120"/>
              <w:rPr>
                <w:rFonts w:cs="Times New Roman"/>
                <w:szCs w:val="24"/>
                <w:lang w:val="sr-Cyrl-CS"/>
              </w:rPr>
            </w:pPr>
            <w:r w:rsidRPr="00471C90">
              <w:rPr>
                <w:rFonts w:cs="Times New Roman"/>
                <w:szCs w:val="24"/>
                <w:lang w:val="sr-Cyrl-CS"/>
              </w:rPr>
              <w:t>Мера 5: Докапитализација и кредитне линије финансиране из буџета</w:t>
            </w:r>
            <w:r w:rsidR="00B114F2" w:rsidRPr="00471C90">
              <w:rPr>
                <w:rFonts w:cs="Times New Roman"/>
                <w:szCs w:val="24"/>
                <w:lang w:val="sr-Cyrl-CS"/>
              </w:rPr>
              <w:t xml:space="preserve"> Републике Србије</w:t>
            </w:r>
          </w:p>
        </w:tc>
        <w:tc>
          <w:tcPr>
            <w:tcW w:w="2408" w:type="dxa"/>
          </w:tcPr>
          <w:p w14:paraId="01D4B303" w14:textId="65D51F82" w:rsidR="00A45EC1" w:rsidRPr="00471C90" w:rsidRDefault="00A45EC1" w:rsidP="00E00ADF">
            <w:pPr>
              <w:spacing w:after="120"/>
              <w:rPr>
                <w:rFonts w:cs="Times New Roman"/>
                <w:szCs w:val="24"/>
                <w:lang w:val="sr-Cyrl-CS"/>
              </w:rPr>
            </w:pPr>
            <w:r w:rsidRPr="00471C90">
              <w:rPr>
                <w:rFonts w:cs="Times New Roman"/>
                <w:szCs w:val="24"/>
                <w:lang w:val="sr-Cyrl-CS"/>
              </w:rPr>
              <w:lastRenderedPageBreak/>
              <w:t>Мера 4: Изградња капацитета</w:t>
            </w:r>
            <w:r w:rsidR="007E64D9" w:rsidRPr="00471C90">
              <w:rPr>
                <w:rFonts w:cs="Times New Roman"/>
                <w:szCs w:val="24"/>
                <w:lang w:val="sr-Cyrl-CS"/>
              </w:rPr>
              <w:t xml:space="preserve"> (3. квартал 2023.)</w:t>
            </w:r>
          </w:p>
          <w:p w14:paraId="33564796" w14:textId="596598A8" w:rsidR="00A45EC1" w:rsidRPr="00471C90" w:rsidRDefault="00A45EC1" w:rsidP="00E00ADF">
            <w:pPr>
              <w:spacing w:after="120"/>
              <w:rPr>
                <w:rFonts w:cs="Times New Roman"/>
                <w:szCs w:val="24"/>
                <w:lang w:val="sr-Cyrl-CS"/>
              </w:rPr>
            </w:pPr>
            <w:r w:rsidRPr="00471C90">
              <w:rPr>
                <w:rFonts w:cs="Times New Roman"/>
                <w:szCs w:val="24"/>
                <w:lang w:val="sr-Cyrl-CS"/>
              </w:rPr>
              <w:t xml:space="preserve">Мера 6: Успостављање истих органа управљања као и код других </w:t>
            </w:r>
            <w:r w:rsidRPr="00471C90">
              <w:rPr>
                <w:rFonts w:cs="Times New Roman"/>
                <w:szCs w:val="24"/>
                <w:lang w:val="sr-Cyrl-CS"/>
              </w:rPr>
              <w:lastRenderedPageBreak/>
              <w:t>финансијских институција</w:t>
            </w:r>
          </w:p>
        </w:tc>
        <w:tc>
          <w:tcPr>
            <w:tcW w:w="2408" w:type="dxa"/>
          </w:tcPr>
          <w:p w14:paraId="705B2A36" w14:textId="32A74EC9" w:rsidR="00F37F84" w:rsidRPr="00471C90" w:rsidRDefault="00A45EC1" w:rsidP="00E00ADF">
            <w:pPr>
              <w:spacing w:after="120"/>
              <w:rPr>
                <w:rFonts w:cs="Times New Roman"/>
                <w:szCs w:val="24"/>
                <w:lang w:val="sr-Cyrl-CS"/>
              </w:rPr>
            </w:pPr>
            <w:r w:rsidRPr="00471C90">
              <w:rPr>
                <w:rFonts w:cs="Times New Roman"/>
                <w:szCs w:val="24"/>
                <w:lang w:val="sr-Cyrl-CS"/>
              </w:rPr>
              <w:lastRenderedPageBreak/>
              <w:t xml:space="preserve">Мера 7: </w:t>
            </w:r>
            <w:r w:rsidR="00B84068" w:rsidRPr="00471C90">
              <w:rPr>
                <w:rFonts w:cs="Times New Roman"/>
                <w:szCs w:val="24"/>
                <w:lang w:val="sr-Cyrl-CS"/>
              </w:rPr>
              <w:t>Унапређење н</w:t>
            </w:r>
            <w:r w:rsidRPr="00471C90">
              <w:rPr>
                <w:rFonts w:cs="Times New Roman"/>
                <w:szCs w:val="24"/>
                <w:lang w:val="sr-Cyrl-CS"/>
              </w:rPr>
              <w:t>адзор</w:t>
            </w:r>
            <w:r w:rsidR="00B84068" w:rsidRPr="00471C90">
              <w:rPr>
                <w:rFonts w:cs="Times New Roman"/>
                <w:szCs w:val="24"/>
                <w:lang w:val="sr-Cyrl-CS"/>
              </w:rPr>
              <w:t>а</w:t>
            </w:r>
            <w:r w:rsidRPr="00471C90">
              <w:rPr>
                <w:rFonts w:cs="Times New Roman"/>
                <w:szCs w:val="24"/>
                <w:lang w:val="sr-Cyrl-CS"/>
              </w:rPr>
              <w:t xml:space="preserve"> који врши </w:t>
            </w:r>
            <w:r w:rsidR="007D3D6C" w:rsidRPr="00471C90">
              <w:rPr>
                <w:rFonts w:cs="Times New Roman"/>
                <w:szCs w:val="24"/>
                <w:lang w:val="sr-Cyrl-CS"/>
              </w:rPr>
              <w:t>Министарство финансија</w:t>
            </w:r>
          </w:p>
          <w:p w14:paraId="54508514" w14:textId="5510B0AA" w:rsidR="00A45EC1" w:rsidRPr="00471C90" w:rsidRDefault="00751136" w:rsidP="00E00ADF">
            <w:pPr>
              <w:spacing w:after="120"/>
              <w:rPr>
                <w:rFonts w:cs="Times New Roman"/>
                <w:szCs w:val="24"/>
                <w:lang w:val="sr-Cyrl-CS"/>
              </w:rPr>
            </w:pPr>
            <w:r w:rsidRPr="00471C90">
              <w:rPr>
                <w:rFonts w:cs="Times New Roman"/>
                <w:szCs w:val="24"/>
                <w:lang w:val="sr-Cyrl-CS"/>
              </w:rPr>
              <w:t>Мера 8: Повећање финансирања из извора који нису буџет</w:t>
            </w:r>
            <w:r w:rsidR="00B114F2" w:rsidRPr="00471C90">
              <w:rPr>
                <w:rFonts w:cs="Times New Roman"/>
                <w:szCs w:val="24"/>
                <w:lang w:val="sr-Cyrl-CS"/>
              </w:rPr>
              <w:t xml:space="preserve"> Републике </w:t>
            </w:r>
            <w:r w:rsidR="00B114F2" w:rsidRPr="00471C90">
              <w:rPr>
                <w:rFonts w:cs="Times New Roman"/>
                <w:szCs w:val="24"/>
                <w:lang w:val="sr-Cyrl-CS"/>
              </w:rPr>
              <w:lastRenderedPageBreak/>
              <w:t>Србије</w:t>
            </w:r>
            <w:r w:rsidRPr="00471C90">
              <w:rPr>
                <w:rFonts w:cs="Times New Roman"/>
                <w:szCs w:val="24"/>
                <w:lang w:val="sr-Cyrl-CS"/>
              </w:rPr>
              <w:t xml:space="preserve"> и увођење </w:t>
            </w:r>
            <w:r w:rsidR="00D8570B" w:rsidRPr="00471C90">
              <w:rPr>
                <w:rFonts w:cs="Times New Roman"/>
                <w:szCs w:val="24"/>
                <w:lang w:val="sr-Cyrl-CS"/>
              </w:rPr>
              <w:t>гаранција Републике Србије</w:t>
            </w:r>
          </w:p>
          <w:p w14:paraId="100521F5" w14:textId="7655221A" w:rsidR="00751136" w:rsidRPr="00471C90" w:rsidRDefault="00751136" w:rsidP="00E00ADF">
            <w:pPr>
              <w:spacing w:after="120"/>
              <w:rPr>
                <w:rFonts w:cs="Times New Roman"/>
                <w:szCs w:val="24"/>
                <w:lang w:val="sr-Cyrl-CS"/>
              </w:rPr>
            </w:pPr>
            <w:r w:rsidRPr="00471C90">
              <w:rPr>
                <w:rFonts w:cs="Times New Roman"/>
                <w:szCs w:val="24"/>
                <w:lang w:val="sr-Cyrl-CS"/>
              </w:rPr>
              <w:t>Мера 9: Издвајање активности осигурања из АОФИ у зависно друштво</w:t>
            </w:r>
          </w:p>
        </w:tc>
      </w:tr>
    </w:tbl>
    <w:p w14:paraId="288E9355" w14:textId="3C532B60" w:rsidR="00F37F84" w:rsidRPr="00471C90" w:rsidRDefault="00F37F84" w:rsidP="00F6577C">
      <w:pPr>
        <w:spacing w:after="0"/>
        <w:jc w:val="both"/>
        <w:rPr>
          <w:rFonts w:cs="Times New Roman"/>
          <w:szCs w:val="24"/>
          <w:lang w:val="sr-Cyrl-CS"/>
        </w:rPr>
      </w:pPr>
    </w:p>
    <w:p w14:paraId="379565B5" w14:textId="24E5C929" w:rsidR="007F0E5C" w:rsidRPr="00471C90" w:rsidRDefault="00394DE1" w:rsidP="00F6577C">
      <w:pPr>
        <w:pStyle w:val="Heading1"/>
        <w:numPr>
          <w:ilvl w:val="0"/>
          <w:numId w:val="0"/>
        </w:numPr>
        <w:spacing w:before="0" w:after="0"/>
        <w:ind w:firstLine="709"/>
        <w:jc w:val="both"/>
        <w:rPr>
          <w:rFonts w:cs="Times New Roman"/>
          <w:b w:val="0"/>
          <w:sz w:val="24"/>
          <w:szCs w:val="24"/>
          <w:lang w:val="sr-Cyrl-CS"/>
        </w:rPr>
      </w:pPr>
      <w:r w:rsidRPr="00471C90">
        <w:rPr>
          <w:rFonts w:cs="Times New Roman"/>
          <w:b w:val="0"/>
          <w:sz w:val="24"/>
          <w:szCs w:val="24"/>
          <w:lang w:val="sr-Cyrl-CS"/>
        </w:rPr>
        <w:t xml:space="preserve">Надлежности за спровођење сваке од мера су дефинисане у оквиру </w:t>
      </w:r>
      <w:r w:rsidR="00E437B6" w:rsidRPr="00471C90">
        <w:rPr>
          <w:rFonts w:cs="Times New Roman"/>
          <w:b w:val="0"/>
          <w:sz w:val="24"/>
          <w:szCs w:val="24"/>
          <w:lang w:val="sr-Cyrl-CS"/>
        </w:rPr>
        <w:t xml:space="preserve">главе </w:t>
      </w:r>
      <w:r w:rsidR="00D8570B" w:rsidRPr="00471C90">
        <w:rPr>
          <w:rFonts w:cs="Times New Roman"/>
          <w:b w:val="0"/>
          <w:sz w:val="24"/>
          <w:szCs w:val="24"/>
          <w:lang w:val="sr-Cyrl-CS"/>
        </w:rPr>
        <w:t>VI. Спроведене консултације и додатне анализе,</w:t>
      </w:r>
      <w:r w:rsidR="00D8570B" w:rsidRPr="00471C90">
        <w:rPr>
          <w:rFonts w:cs="Times New Roman"/>
          <w:sz w:val="24"/>
          <w:szCs w:val="24"/>
          <w:lang w:val="sr-Cyrl-CS"/>
        </w:rPr>
        <w:t xml:space="preserve"> </w:t>
      </w:r>
      <w:r w:rsidR="00E437B6" w:rsidRPr="00471C90">
        <w:rPr>
          <w:rFonts w:cs="Times New Roman"/>
          <w:b w:val="0"/>
          <w:sz w:val="24"/>
          <w:szCs w:val="24"/>
          <w:lang w:val="sr-Cyrl-CS"/>
        </w:rPr>
        <w:t>Концепта</w:t>
      </w:r>
      <w:r w:rsidRPr="00471C90">
        <w:rPr>
          <w:rFonts w:cs="Times New Roman"/>
          <w:b w:val="0"/>
          <w:sz w:val="24"/>
          <w:szCs w:val="24"/>
          <w:lang w:val="sr-Cyrl-CS"/>
        </w:rPr>
        <w:t>.</w:t>
      </w:r>
    </w:p>
    <w:p w14:paraId="581A455D" w14:textId="77777777" w:rsidR="00D8570B" w:rsidRPr="00471C90" w:rsidRDefault="00D8570B" w:rsidP="00F6577C">
      <w:pPr>
        <w:spacing w:after="0"/>
        <w:jc w:val="both"/>
        <w:rPr>
          <w:rFonts w:cs="Times New Roman"/>
          <w:szCs w:val="24"/>
          <w:lang w:val="sr-Cyrl-CS"/>
        </w:rPr>
      </w:pPr>
    </w:p>
    <w:p w14:paraId="1F99DD2C" w14:textId="5E40DC17" w:rsidR="00DE1561" w:rsidRPr="00471C90" w:rsidRDefault="00453209" w:rsidP="00F6577C">
      <w:pPr>
        <w:pStyle w:val="Heading1"/>
        <w:numPr>
          <w:ilvl w:val="0"/>
          <w:numId w:val="0"/>
        </w:numPr>
        <w:spacing w:before="0" w:after="0"/>
        <w:jc w:val="center"/>
        <w:rPr>
          <w:rFonts w:cs="Times New Roman"/>
          <w:b w:val="0"/>
          <w:sz w:val="24"/>
          <w:szCs w:val="24"/>
          <w:lang w:val="sr-Cyrl-CS"/>
        </w:rPr>
      </w:pPr>
      <w:bookmarkStart w:id="13" w:name="_Toc86450223"/>
      <w:r w:rsidRPr="00471C90">
        <w:rPr>
          <w:rFonts w:cs="Times New Roman"/>
          <w:b w:val="0"/>
          <w:sz w:val="24"/>
          <w:szCs w:val="24"/>
          <w:lang w:val="sr-Cyrl-CS"/>
        </w:rPr>
        <w:t>X</w:t>
      </w:r>
      <w:r w:rsidR="00DA7257" w:rsidRPr="00471C90">
        <w:rPr>
          <w:rFonts w:cs="Times New Roman"/>
          <w:b w:val="0"/>
          <w:sz w:val="24"/>
          <w:szCs w:val="24"/>
          <w:lang w:val="sr-Cyrl-CS"/>
        </w:rPr>
        <w:t>.</w:t>
      </w:r>
      <w:bookmarkEnd w:id="13"/>
      <w:r w:rsidR="005860D9" w:rsidRPr="00471C90">
        <w:rPr>
          <w:rFonts w:cs="Times New Roman"/>
          <w:b w:val="0"/>
          <w:sz w:val="24"/>
          <w:szCs w:val="24"/>
          <w:lang w:val="sr-Cyrl-CS"/>
        </w:rPr>
        <w:t xml:space="preserve"> </w:t>
      </w:r>
      <w:r w:rsidR="00D8570B" w:rsidRPr="00471C90">
        <w:rPr>
          <w:rFonts w:cs="Times New Roman"/>
          <w:b w:val="0"/>
          <w:sz w:val="24"/>
          <w:szCs w:val="24"/>
          <w:lang w:val="sr-Cyrl-CS"/>
        </w:rPr>
        <w:t>МЕХАНИЗАМ ЗА ИЗВЕШТАВАЊЕ</w:t>
      </w:r>
    </w:p>
    <w:p w14:paraId="794848AD" w14:textId="77777777" w:rsidR="002F12E8" w:rsidRPr="00471C90" w:rsidRDefault="002F12E8" w:rsidP="00F6577C">
      <w:pPr>
        <w:rPr>
          <w:b/>
          <w:lang w:val="sr-Cyrl-CS"/>
        </w:rPr>
      </w:pPr>
    </w:p>
    <w:p w14:paraId="03108AB0" w14:textId="3162198E" w:rsidR="00580EE0" w:rsidRPr="00471C90" w:rsidRDefault="009E26A3" w:rsidP="00F6577C">
      <w:pPr>
        <w:spacing w:after="0"/>
        <w:ind w:firstLine="708"/>
        <w:jc w:val="both"/>
        <w:rPr>
          <w:rFonts w:cs="Times New Roman"/>
          <w:szCs w:val="24"/>
          <w:lang w:val="sr-Cyrl-CS"/>
        </w:rPr>
      </w:pPr>
      <w:r w:rsidRPr="00471C90">
        <w:rPr>
          <w:rFonts w:cs="Times New Roman"/>
          <w:szCs w:val="24"/>
          <w:lang w:val="sr-Cyrl-CS"/>
        </w:rPr>
        <w:t xml:space="preserve">Надлежни орган за </w:t>
      </w:r>
      <w:r w:rsidR="00BC0EE7" w:rsidRPr="00471C90">
        <w:rPr>
          <w:rFonts w:cs="Times New Roman"/>
          <w:szCs w:val="24"/>
          <w:lang w:val="sr-Cyrl-CS"/>
        </w:rPr>
        <w:t xml:space="preserve">праћење </w:t>
      </w:r>
      <w:r w:rsidRPr="00471C90">
        <w:rPr>
          <w:rFonts w:cs="Times New Roman"/>
          <w:szCs w:val="24"/>
          <w:lang w:val="sr-Cyrl-CS"/>
        </w:rPr>
        <w:t>спровођењ</w:t>
      </w:r>
      <w:r w:rsidR="00F85D5E" w:rsidRPr="00471C90">
        <w:rPr>
          <w:rFonts w:cs="Times New Roman"/>
          <w:szCs w:val="24"/>
          <w:lang w:val="sr-Cyrl-CS"/>
        </w:rPr>
        <w:t>а</w:t>
      </w:r>
      <w:r w:rsidRPr="00471C90">
        <w:rPr>
          <w:rFonts w:cs="Times New Roman"/>
          <w:szCs w:val="24"/>
          <w:lang w:val="sr-Cyrl-CS"/>
        </w:rPr>
        <w:t xml:space="preserve"> Концепта је </w:t>
      </w:r>
      <w:r w:rsidR="00970E3D" w:rsidRPr="00471C90">
        <w:rPr>
          <w:rFonts w:cs="Times New Roman"/>
          <w:iCs/>
          <w:szCs w:val="24"/>
          <w:lang w:val="sr-Cyrl-CS"/>
        </w:rPr>
        <w:t>Mинистарство привреде</w:t>
      </w:r>
      <w:r w:rsidRPr="00471C90">
        <w:rPr>
          <w:rFonts w:cs="Times New Roman"/>
          <w:szCs w:val="24"/>
          <w:lang w:val="sr-Cyrl-CS"/>
        </w:rPr>
        <w:t xml:space="preserve">, које ће </w:t>
      </w:r>
      <w:r w:rsidR="00F14623" w:rsidRPr="00471C90">
        <w:rPr>
          <w:rFonts w:cs="Times New Roman"/>
          <w:szCs w:val="24"/>
          <w:lang w:val="sr-Cyrl-CS"/>
        </w:rPr>
        <w:t>успоставити и руководити сарадњом са осталим</w:t>
      </w:r>
      <w:r w:rsidRPr="00471C90">
        <w:rPr>
          <w:rFonts w:cs="Times New Roman"/>
          <w:szCs w:val="24"/>
          <w:lang w:val="sr-Cyrl-CS"/>
        </w:rPr>
        <w:t xml:space="preserve"> </w:t>
      </w:r>
      <w:r w:rsidR="00F14623" w:rsidRPr="00471C90">
        <w:rPr>
          <w:rFonts w:cs="Times New Roman"/>
          <w:szCs w:val="24"/>
          <w:lang w:val="sr-Cyrl-CS"/>
        </w:rPr>
        <w:t xml:space="preserve">институцијама укљученим </w:t>
      </w:r>
      <w:r w:rsidRPr="00471C90">
        <w:rPr>
          <w:rFonts w:cs="Times New Roman"/>
          <w:szCs w:val="24"/>
          <w:lang w:val="sr-Cyrl-CS"/>
        </w:rPr>
        <w:t>у процес спровођења</w:t>
      </w:r>
      <w:r w:rsidR="00C015FA" w:rsidRPr="00471C90">
        <w:rPr>
          <w:rFonts w:cs="Times New Roman"/>
          <w:szCs w:val="24"/>
          <w:lang w:val="sr-Cyrl-CS"/>
        </w:rPr>
        <w:t>.</w:t>
      </w:r>
    </w:p>
    <w:p w14:paraId="54F5FE90" w14:textId="1B7B177B" w:rsidR="00C015FA" w:rsidRPr="00471C90" w:rsidRDefault="00F14623" w:rsidP="00F6577C">
      <w:pPr>
        <w:spacing w:after="0"/>
        <w:ind w:firstLine="708"/>
        <w:jc w:val="both"/>
        <w:rPr>
          <w:rFonts w:cs="Times New Roman"/>
          <w:szCs w:val="24"/>
          <w:lang w:val="sr-Cyrl-CS"/>
        </w:rPr>
      </w:pPr>
      <w:r w:rsidRPr="00471C90">
        <w:rPr>
          <w:rFonts w:cs="Times New Roman"/>
          <w:szCs w:val="24"/>
          <w:lang w:val="sr-Cyrl-CS"/>
        </w:rPr>
        <w:t>О</w:t>
      </w:r>
      <w:r w:rsidR="00C015FA" w:rsidRPr="00471C90">
        <w:rPr>
          <w:rFonts w:cs="Times New Roman"/>
          <w:szCs w:val="24"/>
          <w:lang w:val="sr-Cyrl-CS"/>
        </w:rPr>
        <w:t xml:space="preserve">ргани, односно институције са којима ће </w:t>
      </w:r>
      <w:r w:rsidR="00970E3D" w:rsidRPr="00471C90">
        <w:rPr>
          <w:rFonts w:cs="Times New Roman"/>
          <w:iCs/>
          <w:szCs w:val="24"/>
          <w:lang w:val="sr-Cyrl-CS"/>
        </w:rPr>
        <w:t>Mинистарство привреде</w:t>
      </w:r>
      <w:r w:rsidR="00C015FA" w:rsidRPr="00471C90">
        <w:rPr>
          <w:rFonts w:cs="Times New Roman"/>
          <w:szCs w:val="24"/>
          <w:lang w:val="sr-Cyrl-CS"/>
        </w:rPr>
        <w:t xml:space="preserve"> сарађивати</w:t>
      </w:r>
      <w:r w:rsidR="008A7689" w:rsidRPr="00471C90">
        <w:rPr>
          <w:rFonts w:cs="Times New Roman"/>
          <w:szCs w:val="24"/>
          <w:lang w:val="sr-Cyrl-CS"/>
        </w:rPr>
        <w:t xml:space="preserve"> </w:t>
      </w:r>
      <w:r w:rsidRPr="00471C90">
        <w:rPr>
          <w:rFonts w:cs="Times New Roman"/>
          <w:szCs w:val="24"/>
          <w:lang w:val="sr-Cyrl-CS"/>
        </w:rPr>
        <w:t xml:space="preserve">ће једном годишње достављати Mинистарству </w:t>
      </w:r>
      <w:r w:rsidR="009359C9" w:rsidRPr="00471C90">
        <w:rPr>
          <w:rFonts w:cs="Times New Roman"/>
          <w:szCs w:val="24"/>
          <w:lang w:val="sr-Cyrl-CS"/>
        </w:rPr>
        <w:t>привреде</w:t>
      </w:r>
      <w:r w:rsidR="008A7689" w:rsidRPr="00471C90">
        <w:rPr>
          <w:rFonts w:cs="Times New Roman"/>
          <w:szCs w:val="24"/>
          <w:lang w:val="sr-Cyrl-CS"/>
        </w:rPr>
        <w:t xml:space="preserve"> </w:t>
      </w:r>
      <w:r w:rsidRPr="00471C90">
        <w:rPr>
          <w:rFonts w:cs="Times New Roman"/>
          <w:szCs w:val="24"/>
          <w:lang w:val="sr-Cyrl-CS"/>
        </w:rPr>
        <w:t xml:space="preserve">извештај у </w:t>
      </w:r>
      <w:r w:rsidR="00D8570B" w:rsidRPr="00471C90">
        <w:rPr>
          <w:rFonts w:cs="Times New Roman"/>
          <w:szCs w:val="24"/>
          <w:lang w:val="sr-Cyrl-CS"/>
        </w:rPr>
        <w:t xml:space="preserve">писаном </w:t>
      </w:r>
      <w:r w:rsidRPr="00471C90">
        <w:rPr>
          <w:rFonts w:cs="Times New Roman"/>
          <w:szCs w:val="24"/>
          <w:lang w:val="sr-Cyrl-CS"/>
        </w:rPr>
        <w:t>облику</w:t>
      </w:r>
      <w:r w:rsidR="00265738" w:rsidRPr="00471C90">
        <w:rPr>
          <w:rFonts w:cs="Times New Roman"/>
          <w:szCs w:val="24"/>
          <w:lang w:val="sr-Cyrl-CS"/>
        </w:rPr>
        <w:t xml:space="preserve"> о реализацији</w:t>
      </w:r>
      <w:r w:rsidRPr="00471C90">
        <w:rPr>
          <w:rFonts w:cs="Times New Roman"/>
          <w:szCs w:val="24"/>
          <w:lang w:val="sr-Cyrl-CS"/>
        </w:rPr>
        <w:t xml:space="preserve"> Концепта</w:t>
      </w:r>
      <w:r w:rsidR="00B31061" w:rsidRPr="00471C90">
        <w:rPr>
          <w:rFonts w:cs="Times New Roman"/>
          <w:szCs w:val="24"/>
          <w:lang w:val="sr-Cyrl-CS"/>
        </w:rPr>
        <w:t>, односно о евентуалним проблемима</w:t>
      </w:r>
      <w:r w:rsidRPr="00471C90">
        <w:rPr>
          <w:rFonts w:cs="Times New Roman"/>
          <w:szCs w:val="24"/>
          <w:lang w:val="sr-Cyrl-CS"/>
        </w:rPr>
        <w:t xml:space="preserve"> у реализацији</w:t>
      </w:r>
      <w:r w:rsidR="00D8570B" w:rsidRPr="00471C90">
        <w:rPr>
          <w:rFonts w:cs="Times New Roman"/>
          <w:szCs w:val="24"/>
          <w:lang w:val="sr-Cyrl-CS"/>
        </w:rPr>
        <w:t>.</w:t>
      </w:r>
      <w:r w:rsidRPr="00471C90">
        <w:rPr>
          <w:rFonts w:cs="Times New Roman"/>
          <w:szCs w:val="24"/>
          <w:lang w:val="sr-Cyrl-CS"/>
        </w:rPr>
        <w:t xml:space="preserve"> Извештај се </w:t>
      </w:r>
      <w:r w:rsidR="00D8570B" w:rsidRPr="00471C90">
        <w:rPr>
          <w:rFonts w:cs="Times New Roman"/>
          <w:szCs w:val="24"/>
          <w:lang w:val="sr-Cyrl-CS"/>
        </w:rPr>
        <w:t xml:space="preserve">доставља </w:t>
      </w:r>
      <w:r w:rsidR="00DE4318" w:rsidRPr="00471C90">
        <w:rPr>
          <w:rFonts w:cs="Times New Roman"/>
          <w:szCs w:val="24"/>
          <w:lang w:val="sr-Cyrl-CS"/>
        </w:rPr>
        <w:t xml:space="preserve">у </w:t>
      </w:r>
      <w:r w:rsidRPr="00471C90">
        <w:rPr>
          <w:rFonts w:cs="Times New Roman"/>
          <w:szCs w:val="24"/>
          <w:lang w:val="sr-Cyrl-CS"/>
        </w:rPr>
        <w:t xml:space="preserve">другом </w:t>
      </w:r>
      <w:r w:rsidR="00DE4318" w:rsidRPr="00471C90">
        <w:rPr>
          <w:rFonts w:cs="Times New Roman"/>
          <w:szCs w:val="24"/>
          <w:lang w:val="sr-Cyrl-CS"/>
        </w:rPr>
        <w:t xml:space="preserve">кварталу сваке године, </w:t>
      </w:r>
      <w:r w:rsidR="00B31061" w:rsidRPr="00471C90">
        <w:rPr>
          <w:rFonts w:cs="Times New Roman"/>
          <w:szCs w:val="24"/>
          <w:lang w:val="sr-Cyrl-CS"/>
        </w:rPr>
        <w:t xml:space="preserve">почевши </w:t>
      </w:r>
      <w:r w:rsidR="00DE4318" w:rsidRPr="00471C90">
        <w:rPr>
          <w:rFonts w:cs="Times New Roman"/>
          <w:szCs w:val="24"/>
          <w:lang w:val="sr-Cyrl-CS"/>
        </w:rPr>
        <w:t xml:space="preserve">од </w:t>
      </w:r>
      <w:r w:rsidRPr="00471C90">
        <w:rPr>
          <w:rFonts w:cs="Times New Roman"/>
          <w:szCs w:val="24"/>
          <w:lang w:val="sr-Cyrl-CS"/>
        </w:rPr>
        <w:t xml:space="preserve">другог </w:t>
      </w:r>
      <w:r w:rsidR="00DE4318" w:rsidRPr="00471C90">
        <w:rPr>
          <w:rFonts w:cs="Times New Roman"/>
          <w:szCs w:val="24"/>
          <w:lang w:val="sr-Cyrl-CS"/>
        </w:rPr>
        <w:t>квартала 2023. године.</w:t>
      </w:r>
    </w:p>
    <w:p w14:paraId="2E056D45" w14:textId="59BE5716" w:rsidR="00505338" w:rsidRPr="00471C90" w:rsidRDefault="00505338" w:rsidP="00F6577C">
      <w:pPr>
        <w:spacing w:after="0"/>
        <w:ind w:firstLine="708"/>
        <w:jc w:val="both"/>
        <w:rPr>
          <w:rFonts w:cs="Times New Roman"/>
          <w:szCs w:val="24"/>
          <w:lang w:val="sr-Cyrl-CS"/>
        </w:rPr>
      </w:pPr>
      <w:r w:rsidRPr="00471C90">
        <w:rPr>
          <w:rFonts w:cs="Times New Roman"/>
          <w:szCs w:val="24"/>
          <w:lang w:val="sr-Cyrl-CS"/>
        </w:rPr>
        <w:t xml:space="preserve">Извештај о резултатима у достизању утврђених циљева Концепта биће припремљен на основу </w:t>
      </w:r>
      <w:r w:rsidRPr="00471C90">
        <w:rPr>
          <w:rFonts w:cs="Times New Roman"/>
          <w:i/>
          <w:szCs w:val="24"/>
          <w:lang w:val="sr-Cyrl-CS"/>
        </w:rPr>
        <w:t>еx-post</w:t>
      </w:r>
      <w:r w:rsidRPr="00471C90">
        <w:rPr>
          <w:rFonts w:cs="Times New Roman"/>
          <w:szCs w:val="24"/>
          <w:lang w:val="sr-Cyrl-CS"/>
        </w:rPr>
        <w:t xml:space="preserve"> </w:t>
      </w:r>
      <w:r w:rsidR="00F14623" w:rsidRPr="00471C90">
        <w:rPr>
          <w:rFonts w:cs="Times New Roman"/>
          <w:szCs w:val="24"/>
          <w:lang w:val="sr-Cyrl-CS"/>
        </w:rPr>
        <w:t xml:space="preserve">анализе </w:t>
      </w:r>
      <w:r w:rsidRPr="00471C90">
        <w:rPr>
          <w:rFonts w:cs="Times New Roman"/>
          <w:szCs w:val="24"/>
          <w:lang w:val="sr-Cyrl-CS"/>
        </w:rPr>
        <w:t>ефеката, а финални извештај биће поднет Влади по спровођењу Концепта.</w:t>
      </w:r>
    </w:p>
    <w:p w14:paraId="134711E7" w14:textId="5C409AAE" w:rsidR="002F12E8" w:rsidRPr="00471C90" w:rsidRDefault="00BD7F55" w:rsidP="00F6577C">
      <w:pPr>
        <w:spacing w:after="0"/>
        <w:ind w:firstLine="708"/>
        <w:jc w:val="both"/>
        <w:rPr>
          <w:rFonts w:cs="Times New Roman"/>
          <w:szCs w:val="24"/>
          <w:lang w:val="sr-Cyrl-CS"/>
        </w:rPr>
      </w:pPr>
      <w:r w:rsidRPr="00471C90">
        <w:rPr>
          <w:rFonts w:cs="Times New Roman"/>
          <w:szCs w:val="24"/>
          <w:lang w:val="sr-Cyrl-CS"/>
        </w:rPr>
        <w:t xml:space="preserve">Вредновање учинка Концепта  врши се </w:t>
      </w:r>
      <w:r w:rsidR="00F14623" w:rsidRPr="00471C90">
        <w:rPr>
          <w:rFonts w:cs="Times New Roman"/>
          <w:szCs w:val="24"/>
          <w:lang w:val="sr-Cyrl-CS"/>
        </w:rPr>
        <w:t>анализом реализације</w:t>
      </w:r>
      <w:r w:rsidRPr="00471C90">
        <w:rPr>
          <w:rFonts w:cs="Times New Roman"/>
          <w:szCs w:val="24"/>
          <w:lang w:val="sr-Cyrl-CS"/>
        </w:rPr>
        <w:t xml:space="preserve"> </w:t>
      </w:r>
      <w:r w:rsidR="00F14623" w:rsidRPr="00471C90">
        <w:rPr>
          <w:rFonts w:cs="Times New Roman"/>
          <w:szCs w:val="24"/>
          <w:lang w:val="sr-Cyrl-CS"/>
        </w:rPr>
        <w:t xml:space="preserve">циљних </w:t>
      </w:r>
      <w:r w:rsidRPr="00471C90">
        <w:rPr>
          <w:rFonts w:cs="Times New Roman"/>
          <w:szCs w:val="24"/>
          <w:lang w:val="sr-Cyrl-CS"/>
        </w:rPr>
        <w:t>вредности</w:t>
      </w:r>
      <w:r w:rsidR="002405B6" w:rsidRPr="00471C90">
        <w:rPr>
          <w:rFonts w:cs="Times New Roman"/>
          <w:szCs w:val="24"/>
          <w:lang w:val="sr-Cyrl-CS"/>
        </w:rPr>
        <w:t xml:space="preserve"> </w:t>
      </w:r>
      <w:r w:rsidR="00F14623" w:rsidRPr="00471C90">
        <w:rPr>
          <w:rFonts w:cs="Times New Roman"/>
          <w:szCs w:val="24"/>
          <w:lang w:val="sr-Cyrl-CS"/>
        </w:rPr>
        <w:t xml:space="preserve">дефинисаних </w:t>
      </w:r>
      <w:r w:rsidR="002405B6" w:rsidRPr="00471C90">
        <w:rPr>
          <w:rFonts w:cs="Times New Roman"/>
          <w:szCs w:val="24"/>
          <w:lang w:val="sr-Cyrl-CS"/>
        </w:rPr>
        <w:t>на нивоу појединачних мера.</w:t>
      </w:r>
    </w:p>
    <w:p w14:paraId="3BC0FF23" w14:textId="77777777" w:rsidR="002F12E8" w:rsidRPr="00471C90" w:rsidRDefault="002F12E8" w:rsidP="00F6577C">
      <w:pPr>
        <w:spacing w:after="0"/>
        <w:ind w:firstLine="708"/>
        <w:jc w:val="both"/>
        <w:rPr>
          <w:rFonts w:cs="Times New Roman"/>
          <w:szCs w:val="24"/>
          <w:lang w:val="sr-Cyrl-CS"/>
        </w:rPr>
      </w:pPr>
    </w:p>
    <w:p w14:paraId="07C49A91" w14:textId="77777777" w:rsidR="0046153B" w:rsidRPr="00471C90" w:rsidRDefault="0046153B" w:rsidP="00F6577C">
      <w:pPr>
        <w:spacing w:after="0"/>
        <w:ind w:firstLine="708"/>
        <w:jc w:val="both"/>
        <w:rPr>
          <w:rFonts w:cs="Times New Roman"/>
          <w:szCs w:val="24"/>
          <w:lang w:val="sr-Cyrl-CS"/>
        </w:rPr>
      </w:pPr>
    </w:p>
    <w:p w14:paraId="53341666" w14:textId="166CB280" w:rsidR="0094791A" w:rsidRPr="00471C90" w:rsidRDefault="00453209" w:rsidP="00F6577C">
      <w:pPr>
        <w:spacing w:after="0"/>
        <w:jc w:val="center"/>
        <w:rPr>
          <w:rFonts w:cs="Times New Roman"/>
          <w:szCs w:val="24"/>
          <w:lang w:val="sr-Cyrl-CS"/>
        </w:rPr>
      </w:pPr>
      <w:r w:rsidRPr="00471C90">
        <w:rPr>
          <w:rFonts w:cs="Times New Roman"/>
          <w:szCs w:val="24"/>
          <w:lang w:val="sr-Cyrl-CS"/>
        </w:rPr>
        <w:t>XI.</w:t>
      </w:r>
      <w:r w:rsidR="001D217E" w:rsidRPr="00471C90">
        <w:rPr>
          <w:rFonts w:cs="Times New Roman"/>
          <w:b/>
          <w:szCs w:val="24"/>
          <w:lang w:val="sr-Cyrl-CS"/>
        </w:rPr>
        <w:t xml:space="preserve"> </w:t>
      </w:r>
      <w:r w:rsidR="00D8570B" w:rsidRPr="00471C90">
        <w:rPr>
          <w:rFonts w:cs="Times New Roman"/>
          <w:szCs w:val="24"/>
          <w:lang w:val="sr-Cyrl-CS"/>
        </w:rPr>
        <w:t>ЗАВРШНИ ДЕО</w:t>
      </w:r>
    </w:p>
    <w:p w14:paraId="6308A899" w14:textId="77777777" w:rsidR="002F12E8" w:rsidRPr="00471C90" w:rsidRDefault="002F12E8" w:rsidP="00F6577C">
      <w:pPr>
        <w:spacing w:after="0"/>
        <w:jc w:val="center"/>
        <w:rPr>
          <w:rFonts w:cs="Times New Roman"/>
          <w:szCs w:val="24"/>
          <w:lang w:val="sr-Cyrl-CS"/>
        </w:rPr>
      </w:pPr>
    </w:p>
    <w:p w14:paraId="11BB23F3" w14:textId="47D40FFD" w:rsidR="002F12E8" w:rsidRPr="00471C90" w:rsidRDefault="00F14623" w:rsidP="00F6577C">
      <w:pPr>
        <w:spacing w:after="0"/>
        <w:ind w:firstLine="708"/>
        <w:jc w:val="both"/>
        <w:rPr>
          <w:rFonts w:cs="Times New Roman"/>
          <w:szCs w:val="24"/>
          <w:lang w:val="sr-Cyrl-CS"/>
        </w:rPr>
      </w:pPr>
      <w:r w:rsidRPr="00471C90">
        <w:rPr>
          <w:rFonts w:cs="Times New Roman"/>
          <w:szCs w:val="24"/>
          <w:lang w:val="sr-Cyrl-CS"/>
        </w:rPr>
        <w:t xml:space="preserve">Овај </w:t>
      </w:r>
      <w:r w:rsidR="00510608" w:rsidRPr="00471C90">
        <w:rPr>
          <w:rFonts w:cs="Times New Roman"/>
          <w:szCs w:val="24"/>
          <w:lang w:val="sr-Cyrl-CS"/>
        </w:rPr>
        <w:t>к</w:t>
      </w:r>
      <w:r w:rsidR="00453209" w:rsidRPr="00471C90">
        <w:rPr>
          <w:rFonts w:cs="Times New Roman"/>
          <w:szCs w:val="24"/>
          <w:lang w:val="sr-Cyrl-CS"/>
        </w:rPr>
        <w:t>онцепт</w:t>
      </w:r>
      <w:r w:rsidR="00587627" w:rsidRPr="00471C90">
        <w:rPr>
          <w:rFonts w:cs="Times New Roman"/>
          <w:szCs w:val="24"/>
          <w:lang w:val="sr-Cyrl-CS"/>
        </w:rPr>
        <w:t xml:space="preserve"> </w:t>
      </w:r>
      <w:r w:rsidR="00510608" w:rsidRPr="00471C90">
        <w:rPr>
          <w:rFonts w:cs="Times New Roman"/>
          <w:szCs w:val="24"/>
          <w:lang w:val="sr-Cyrl-CS"/>
        </w:rPr>
        <w:t xml:space="preserve">политике </w:t>
      </w:r>
      <w:r w:rsidR="0094791A" w:rsidRPr="00471C90">
        <w:rPr>
          <w:rFonts w:cs="Times New Roman"/>
          <w:szCs w:val="24"/>
          <w:lang w:val="sr-Cyrl-CS"/>
        </w:rPr>
        <w:t>објавити на интернет</w:t>
      </w:r>
      <w:r w:rsidR="00195E6A" w:rsidRPr="00471C90">
        <w:rPr>
          <w:rFonts w:cs="Times New Roman"/>
          <w:szCs w:val="24"/>
          <w:lang w:val="sr-Cyrl-CS"/>
        </w:rPr>
        <w:t xml:space="preserve"> страници Владе, интернет страници Министарства привреде и порталу е-</w:t>
      </w:r>
      <w:r w:rsidRPr="00471C90">
        <w:rPr>
          <w:rFonts w:cs="Times New Roman"/>
          <w:szCs w:val="24"/>
          <w:lang w:val="sr-Cyrl-CS"/>
        </w:rPr>
        <w:t>Управа</w:t>
      </w:r>
      <w:r w:rsidR="00195E6A" w:rsidRPr="00471C90">
        <w:rPr>
          <w:rFonts w:cs="Times New Roman"/>
          <w:szCs w:val="24"/>
          <w:lang w:val="sr-Cyrl-CS"/>
        </w:rPr>
        <w:t>, у року од седам радних дана од дана усвајања.</w:t>
      </w:r>
    </w:p>
    <w:p w14:paraId="68DE7BA5" w14:textId="77777777" w:rsidR="007F0E5C" w:rsidRPr="00471C90" w:rsidRDefault="007F0E5C" w:rsidP="00F6577C">
      <w:pPr>
        <w:spacing w:after="0"/>
        <w:ind w:firstLine="708"/>
        <w:jc w:val="both"/>
        <w:rPr>
          <w:rFonts w:cs="Times New Roman"/>
          <w:szCs w:val="24"/>
          <w:lang w:val="sr-Cyrl-CS"/>
        </w:rPr>
      </w:pPr>
    </w:p>
    <w:p w14:paraId="26E1A62F" w14:textId="67D1D48D" w:rsidR="0046153B" w:rsidRPr="00471C90" w:rsidRDefault="0046153B" w:rsidP="00471C90">
      <w:pPr>
        <w:spacing w:after="0" w:line="240" w:lineRule="auto"/>
        <w:rPr>
          <w:rFonts w:cs="Times New Roman"/>
          <w:szCs w:val="24"/>
          <w:lang w:val="sr-Cyrl-CS"/>
        </w:rPr>
      </w:pPr>
      <w:r w:rsidRPr="00471C90">
        <w:rPr>
          <w:rFonts w:cs="Times New Roman"/>
          <w:szCs w:val="24"/>
          <w:lang w:val="sr-Cyrl-CS"/>
        </w:rPr>
        <w:t xml:space="preserve">05 Број: </w:t>
      </w:r>
      <w:r w:rsidR="00471C90">
        <w:rPr>
          <w:rFonts w:cs="Times New Roman"/>
          <w:szCs w:val="24"/>
          <w:lang w:val="sr-Cyrl-CS"/>
        </w:rPr>
        <w:t>401-10844/2022</w:t>
      </w:r>
    </w:p>
    <w:p w14:paraId="39B130F7" w14:textId="0BE451B1" w:rsidR="0046153B" w:rsidRDefault="0046153B" w:rsidP="00471C90">
      <w:pPr>
        <w:spacing w:after="0" w:line="240" w:lineRule="auto"/>
        <w:rPr>
          <w:rFonts w:cs="Times New Roman"/>
          <w:szCs w:val="24"/>
          <w:lang w:val="sr-Cyrl-CS"/>
        </w:rPr>
      </w:pPr>
      <w:r w:rsidRPr="00471C90">
        <w:rPr>
          <w:rFonts w:cs="Times New Roman"/>
          <w:szCs w:val="24"/>
          <w:lang w:val="sr-Cyrl-CS"/>
        </w:rPr>
        <w:t xml:space="preserve">У Београду, </w:t>
      </w:r>
      <w:r w:rsidR="00471C90">
        <w:rPr>
          <w:rFonts w:cs="Times New Roman"/>
          <w:szCs w:val="24"/>
          <w:lang w:val="sr-Cyrl-CS"/>
        </w:rPr>
        <w:t>22. децембра 2022. године</w:t>
      </w:r>
    </w:p>
    <w:p w14:paraId="511EA354" w14:textId="77777777" w:rsidR="00471C90" w:rsidRPr="00471C90" w:rsidRDefault="00471C90" w:rsidP="00471C90">
      <w:pPr>
        <w:spacing w:after="0" w:line="240" w:lineRule="auto"/>
        <w:rPr>
          <w:rFonts w:cs="Times New Roman"/>
          <w:szCs w:val="24"/>
          <w:lang w:val="sr-Cyrl-CS"/>
        </w:rPr>
      </w:pPr>
    </w:p>
    <w:p w14:paraId="1B652625" w14:textId="4CA8330C" w:rsidR="0046153B" w:rsidRPr="00471C90" w:rsidRDefault="0046153B" w:rsidP="00587627">
      <w:pPr>
        <w:jc w:val="center"/>
        <w:rPr>
          <w:rFonts w:cs="Times New Roman"/>
          <w:szCs w:val="24"/>
          <w:lang w:val="sr-Cyrl-CS"/>
        </w:rPr>
      </w:pPr>
      <w:r w:rsidRPr="00471C90">
        <w:rPr>
          <w:rFonts w:cs="Times New Roman"/>
          <w:szCs w:val="24"/>
          <w:lang w:val="sr-Cyrl-CS"/>
        </w:rPr>
        <w:t>В Л А Д А</w:t>
      </w:r>
    </w:p>
    <w:tbl>
      <w:tblPr>
        <w:tblW w:w="0" w:type="auto"/>
        <w:tblLayout w:type="fixed"/>
        <w:tblLook w:val="0000" w:firstRow="0" w:lastRow="0" w:firstColumn="0" w:lastColumn="0" w:noHBand="0" w:noVBand="0"/>
      </w:tblPr>
      <w:tblGrid>
        <w:gridCol w:w="4360"/>
        <w:gridCol w:w="4360"/>
      </w:tblGrid>
      <w:tr w:rsidR="00471C90" w:rsidRPr="00A40D52" w14:paraId="08E76268" w14:textId="77777777" w:rsidTr="00CE4F89">
        <w:tc>
          <w:tcPr>
            <w:tcW w:w="4360" w:type="dxa"/>
          </w:tcPr>
          <w:p w14:paraId="5E001630" w14:textId="77777777" w:rsidR="00471C90" w:rsidRPr="00A40D52" w:rsidRDefault="00471C90" w:rsidP="00CE4F89">
            <w:pPr>
              <w:jc w:val="center"/>
              <w:rPr>
                <w:lang w:val="sr-Cyrl-RS"/>
              </w:rPr>
            </w:pPr>
            <w:r w:rsidRPr="00A40D52">
              <w:rPr>
                <w:lang w:val="sr-Cyrl-RS"/>
              </w:rPr>
              <w:t>Тачност преписа оверава</w:t>
            </w:r>
          </w:p>
          <w:p w14:paraId="44601976" w14:textId="77777777" w:rsidR="00471C90" w:rsidRPr="00A40D52" w:rsidRDefault="00471C90" w:rsidP="00CE4F89">
            <w:pPr>
              <w:jc w:val="center"/>
              <w:rPr>
                <w:lang w:val="sr-Cyrl-RS"/>
              </w:rPr>
            </w:pPr>
            <w:r w:rsidRPr="00A40D52">
              <w:rPr>
                <w:lang w:val="sr-Cyrl-RS"/>
              </w:rPr>
              <w:t xml:space="preserve">ГЕНЕРАЛНИ СЕКРЕТАР </w:t>
            </w:r>
          </w:p>
          <w:p w14:paraId="75358DC8" w14:textId="77777777" w:rsidR="00471C90" w:rsidRPr="00A40D52" w:rsidRDefault="00471C90" w:rsidP="00CE4F89">
            <w:pPr>
              <w:jc w:val="center"/>
              <w:rPr>
                <w:lang w:val="ru-RU"/>
              </w:rPr>
            </w:pPr>
            <w:r w:rsidRPr="00A40D52">
              <w:rPr>
                <w:lang w:val="sr-Cyrl-RS"/>
              </w:rPr>
              <w:t>Новак Недић</w:t>
            </w:r>
          </w:p>
        </w:tc>
        <w:tc>
          <w:tcPr>
            <w:tcW w:w="4360" w:type="dxa"/>
          </w:tcPr>
          <w:p w14:paraId="228D2A5E" w14:textId="77777777" w:rsidR="00471C90" w:rsidRPr="00A40D52" w:rsidRDefault="00471C90" w:rsidP="00CE4F89">
            <w:pPr>
              <w:jc w:val="center"/>
              <w:rPr>
                <w:lang w:val="ru-RU"/>
              </w:rPr>
            </w:pPr>
          </w:p>
          <w:p w14:paraId="1C9F239B" w14:textId="77777777" w:rsidR="00471C90" w:rsidRPr="00A40D52" w:rsidRDefault="00471C90" w:rsidP="00CE4F89">
            <w:pPr>
              <w:jc w:val="center"/>
              <w:rPr>
                <w:lang w:val="ru-RU"/>
              </w:rPr>
            </w:pPr>
            <w:r w:rsidRPr="00A40D52">
              <w:rPr>
                <w:lang w:val="ru-RU"/>
              </w:rPr>
              <w:t>ПРЕДСЕДНИК</w:t>
            </w:r>
          </w:p>
          <w:p w14:paraId="5AA1B69C" w14:textId="77777777" w:rsidR="00471C90" w:rsidRPr="00A40D52" w:rsidRDefault="00471C90" w:rsidP="00CE4F89">
            <w:pPr>
              <w:pStyle w:val="Footer"/>
              <w:jc w:val="center"/>
              <w:rPr>
                <w:lang w:val="ru-RU"/>
              </w:rPr>
            </w:pPr>
            <w:r w:rsidRPr="00A40D52">
              <w:rPr>
                <w:lang w:val="ru-RU"/>
              </w:rPr>
              <w:t>Ана Брнабић, с.р.</w:t>
            </w:r>
          </w:p>
        </w:tc>
      </w:tr>
    </w:tbl>
    <w:p w14:paraId="1D1FB519" w14:textId="612C1BB3" w:rsidR="00FF5A80" w:rsidRPr="00471C90" w:rsidRDefault="00FF5A80" w:rsidP="00471C90">
      <w:pPr>
        <w:rPr>
          <w:rFonts w:cs="Times New Roman"/>
          <w:szCs w:val="24"/>
          <w:lang w:val="sr-Cyrl-CS"/>
        </w:rPr>
      </w:pPr>
    </w:p>
    <w:sectPr w:rsidR="00FF5A80" w:rsidRPr="00471C90" w:rsidSect="00ED61F4">
      <w:footerReference w:type="defaul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BCCC2" w14:textId="77777777" w:rsidR="00252F7A" w:rsidRDefault="00252F7A" w:rsidP="003427FD">
      <w:pPr>
        <w:spacing w:after="0" w:line="240" w:lineRule="auto"/>
      </w:pPr>
      <w:r>
        <w:separator/>
      </w:r>
    </w:p>
  </w:endnote>
  <w:endnote w:type="continuationSeparator" w:id="0">
    <w:p w14:paraId="354DA82A" w14:textId="77777777" w:rsidR="00252F7A" w:rsidRDefault="00252F7A" w:rsidP="00342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YInterstate Light">
    <w:altName w:val="Franklin Gothic Medium Cond"/>
    <w:charset w:val="EE"/>
    <w:family w:val="auto"/>
    <w:pitch w:val="variable"/>
    <w:sig w:usb0="00000001" w:usb1="5000206A"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562299"/>
      <w:docPartObj>
        <w:docPartGallery w:val="Page Numbers (Bottom of Page)"/>
        <w:docPartUnique/>
      </w:docPartObj>
    </w:sdtPr>
    <w:sdtEndPr>
      <w:rPr>
        <w:noProof/>
      </w:rPr>
    </w:sdtEndPr>
    <w:sdtContent>
      <w:p w14:paraId="56A18ACA" w14:textId="7026E0A7" w:rsidR="00ED61F4" w:rsidRDefault="00ED61F4">
        <w:pPr>
          <w:pStyle w:val="Footer"/>
          <w:jc w:val="right"/>
        </w:pPr>
        <w:r>
          <w:fldChar w:fldCharType="begin"/>
        </w:r>
        <w:r>
          <w:instrText xml:space="preserve"> PAGE   \* MERGEFORMAT </w:instrText>
        </w:r>
        <w:r>
          <w:fldChar w:fldCharType="separate"/>
        </w:r>
        <w:r w:rsidR="001C65C4">
          <w:rPr>
            <w:noProof/>
          </w:rPr>
          <w:t>21</w:t>
        </w:r>
        <w:r>
          <w:rPr>
            <w:noProof/>
          </w:rPr>
          <w:fldChar w:fldCharType="end"/>
        </w:r>
      </w:p>
    </w:sdtContent>
  </w:sdt>
  <w:p w14:paraId="3D26B25D" w14:textId="77777777" w:rsidR="006F613D" w:rsidRDefault="006F61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7A8A2" w14:textId="77777777" w:rsidR="00252F7A" w:rsidRDefault="00252F7A" w:rsidP="003427FD">
      <w:pPr>
        <w:spacing w:after="0" w:line="240" w:lineRule="auto"/>
      </w:pPr>
      <w:r>
        <w:separator/>
      </w:r>
    </w:p>
  </w:footnote>
  <w:footnote w:type="continuationSeparator" w:id="0">
    <w:p w14:paraId="6D394BBD" w14:textId="77777777" w:rsidR="00252F7A" w:rsidRDefault="00252F7A" w:rsidP="003427FD">
      <w:pPr>
        <w:spacing w:after="0" w:line="240" w:lineRule="auto"/>
      </w:pPr>
      <w:r>
        <w:continuationSeparator/>
      </w:r>
    </w:p>
  </w:footnote>
  <w:footnote w:id="1">
    <w:p w14:paraId="72DDB68D" w14:textId="2D76254B" w:rsidR="006F613D" w:rsidRPr="006F6945" w:rsidRDefault="006F613D">
      <w:pPr>
        <w:pStyle w:val="FootnoteText"/>
        <w:rPr>
          <w:lang w:val="sr-Cyrl-RS"/>
        </w:rPr>
      </w:pPr>
      <w:r>
        <w:rPr>
          <w:rStyle w:val="FootnoteReference"/>
        </w:rPr>
        <w:footnoteRef/>
      </w:r>
      <w:r>
        <w:t xml:space="preserve"> </w:t>
      </w:r>
      <w:r w:rsidRPr="006F6945">
        <w:rPr>
          <w:rFonts w:ascii="Times New Roman" w:hAnsi="Times New Roman" w:cs="Times New Roman"/>
          <w:sz w:val="16"/>
          <w:szCs w:val="16"/>
          <w:lang w:val="sr-Cyrl-RS"/>
        </w:rPr>
        <w:t>Подаци Министарства привреде</w:t>
      </w:r>
    </w:p>
  </w:footnote>
  <w:footnote w:id="2">
    <w:p w14:paraId="53B30C31" w14:textId="3E4D89D7" w:rsidR="006F613D" w:rsidRPr="00581EC2" w:rsidRDefault="006F613D">
      <w:pPr>
        <w:pStyle w:val="FootnoteText"/>
        <w:rPr>
          <w:lang w:val="sr-Cyrl-RS"/>
        </w:rPr>
      </w:pPr>
      <w:r w:rsidRPr="00581EC2">
        <w:rPr>
          <w:rStyle w:val="FootnoteReference"/>
          <w:rFonts w:ascii="Times New Roman" w:hAnsi="Times New Roman" w:cs="Times New Roman"/>
        </w:rPr>
        <w:footnoteRef/>
      </w:r>
      <w:r w:rsidRPr="00581EC2">
        <w:rPr>
          <w:rFonts w:ascii="Times New Roman" w:hAnsi="Times New Roman" w:cs="Times New Roman"/>
        </w:rPr>
        <w:t xml:space="preserve"> </w:t>
      </w:r>
      <w:r>
        <w:rPr>
          <w:rFonts w:ascii="Times New Roman" w:hAnsi="Times New Roman" w:cs="Times New Roman"/>
          <w:sz w:val="16"/>
          <w:szCs w:val="16"/>
          <w:lang w:val="sr-Cyrl-RS"/>
        </w:rPr>
        <w:t>Извор</w:t>
      </w:r>
      <w:r w:rsidRPr="00DD75B7">
        <w:rPr>
          <w:rFonts w:ascii="Times New Roman" w:hAnsi="Times New Roman" w:cs="Times New Roman"/>
          <w:sz w:val="16"/>
          <w:szCs w:val="16"/>
          <w:lang w:val="sr-Cyrl-RS"/>
        </w:rPr>
        <w:t xml:space="preserve">: </w:t>
      </w:r>
      <w:r w:rsidRPr="00F6577C">
        <w:rPr>
          <w:rFonts w:ascii="Times New Roman" w:hAnsi="Times New Roman" w:cs="Times New Roman"/>
          <w:i/>
          <w:sz w:val="16"/>
          <w:szCs w:val="16"/>
          <w:lang w:val="sr-Cyrl-RS"/>
        </w:rPr>
        <w:t>European Commission/European Central Bank (2020), Survey on Access to Finance of Enterprises. September-October 2020.</w:t>
      </w:r>
    </w:p>
  </w:footnote>
  <w:footnote w:id="3">
    <w:p w14:paraId="0358FA66" w14:textId="2881738E" w:rsidR="006F613D" w:rsidRPr="00AE0997" w:rsidRDefault="006F613D">
      <w:pPr>
        <w:pStyle w:val="FootnoteText"/>
        <w:rPr>
          <w:rFonts w:ascii="Times New Roman" w:hAnsi="Times New Roman" w:cs="Times New Roman"/>
        </w:rPr>
      </w:pPr>
      <w:r w:rsidRPr="00F72728">
        <w:rPr>
          <w:rStyle w:val="FootnoteReference"/>
          <w:rFonts w:ascii="Times New Roman" w:hAnsi="Times New Roman" w:cs="Times New Roman"/>
        </w:rPr>
        <w:footnoteRef/>
      </w:r>
      <w:r w:rsidRPr="00F72728">
        <w:rPr>
          <w:rFonts w:ascii="Times New Roman" w:hAnsi="Times New Roman" w:cs="Times New Roman"/>
        </w:rPr>
        <w:t xml:space="preserve"> </w:t>
      </w:r>
      <w:r w:rsidRPr="00F72728">
        <w:rPr>
          <w:rFonts w:ascii="Times New Roman" w:hAnsi="Times New Roman" w:cs="Times New Roman"/>
          <w:sz w:val="16"/>
          <w:szCs w:val="12"/>
          <w:lang w:val="sr-Cyrl-RS"/>
        </w:rPr>
        <w:t>Кор</w:t>
      </w:r>
      <w:r>
        <w:rPr>
          <w:rFonts w:ascii="Times New Roman" w:hAnsi="Times New Roman" w:cs="Times New Roman"/>
          <w:sz w:val="16"/>
          <w:szCs w:val="12"/>
          <w:lang w:val="sr-Cyrl-RS"/>
        </w:rPr>
        <w:t xml:space="preserve">ишћена је комбинација података Агенције за привредне регистре, Народне банке Србије, </w:t>
      </w:r>
      <w:r>
        <w:rPr>
          <w:rFonts w:ascii="Times New Roman" w:hAnsi="Times New Roman" w:cs="Times New Roman"/>
          <w:sz w:val="16"/>
          <w:szCs w:val="12"/>
        </w:rPr>
        <w:t xml:space="preserve">SAFE </w:t>
      </w:r>
      <w:r>
        <w:rPr>
          <w:rFonts w:ascii="Times New Roman" w:hAnsi="Times New Roman" w:cs="Times New Roman"/>
          <w:sz w:val="16"/>
          <w:szCs w:val="12"/>
          <w:lang w:val="sr-Cyrl-RS"/>
        </w:rPr>
        <w:t>истраживања које су спровеле Европска комисија  и Европска централна банка и</w:t>
      </w:r>
      <w:r>
        <w:rPr>
          <w:rFonts w:ascii="Times New Roman" w:hAnsi="Times New Roman" w:cs="Times New Roman"/>
          <w:sz w:val="16"/>
          <w:szCs w:val="12"/>
        </w:rPr>
        <w:t xml:space="preserve"> </w:t>
      </w:r>
      <w:r>
        <w:rPr>
          <w:rFonts w:ascii="Times New Roman" w:hAnsi="Times New Roman" w:cs="Times New Roman"/>
          <w:sz w:val="16"/>
          <w:szCs w:val="12"/>
          <w:lang w:val="sr-Cyrl-RS"/>
        </w:rPr>
        <w:t>истраживања „</w:t>
      </w:r>
      <w:r>
        <w:rPr>
          <w:rFonts w:ascii="Times New Roman" w:hAnsi="Times New Roman" w:cs="Times New Roman"/>
          <w:sz w:val="16"/>
          <w:szCs w:val="12"/>
        </w:rPr>
        <w:t>OECD Scoreboard – Serbia</w:t>
      </w:r>
      <w:r w:rsidR="00C8558E">
        <w:rPr>
          <w:rFonts w:ascii="Times New Roman" w:hAnsi="Times New Roman" w:cs="Times New Roman"/>
          <w:sz w:val="16"/>
          <w:szCs w:val="12"/>
        </w:rPr>
        <w:t>ˮ</w:t>
      </w:r>
    </w:p>
  </w:footnote>
  <w:footnote w:id="4">
    <w:p w14:paraId="00CD84D0" w14:textId="7D7A3C78" w:rsidR="006F613D" w:rsidRPr="00DD75B7" w:rsidRDefault="006F613D">
      <w:pPr>
        <w:pStyle w:val="FootnoteText"/>
        <w:rPr>
          <w:rFonts w:ascii="Times New Roman" w:hAnsi="Times New Roman" w:cs="Times New Roman"/>
          <w:sz w:val="16"/>
          <w:szCs w:val="16"/>
          <w:lang w:val="sr-Cyrl-RS"/>
        </w:rPr>
      </w:pPr>
      <w:r w:rsidRPr="00F72728">
        <w:rPr>
          <w:rStyle w:val="FootnoteReference"/>
          <w:rFonts w:ascii="Times New Roman" w:hAnsi="Times New Roman" w:cs="Times New Roman"/>
        </w:rPr>
        <w:footnoteRef/>
      </w:r>
      <w:r w:rsidRPr="00F72728">
        <w:rPr>
          <w:rFonts w:ascii="Times New Roman" w:hAnsi="Times New Roman" w:cs="Times New Roman"/>
        </w:rPr>
        <w:t xml:space="preserve"> </w:t>
      </w:r>
      <w:r>
        <w:rPr>
          <w:rFonts w:ascii="Times New Roman" w:hAnsi="Times New Roman" w:cs="Times New Roman"/>
          <w:sz w:val="16"/>
          <w:szCs w:val="16"/>
          <w:lang w:val="sr-Cyrl-RS"/>
        </w:rPr>
        <w:t xml:space="preserve">46,005 милијарди </w:t>
      </w:r>
      <w:r w:rsidR="00C8558E">
        <w:rPr>
          <w:rFonts w:ascii="Times New Roman" w:hAnsi="Times New Roman" w:cs="Times New Roman"/>
          <w:sz w:val="16"/>
          <w:szCs w:val="16"/>
          <w:lang w:val="sr-Cyrl-RS"/>
        </w:rPr>
        <w:t>евра</w:t>
      </w:r>
      <w:r>
        <w:rPr>
          <w:rFonts w:ascii="Times New Roman" w:hAnsi="Times New Roman" w:cs="Times New Roman"/>
          <w:sz w:val="16"/>
          <w:szCs w:val="16"/>
          <w:lang w:val="sr-Cyrl-RS"/>
        </w:rPr>
        <w:t xml:space="preserve">, </w:t>
      </w:r>
      <w:r w:rsidR="00C8558E">
        <w:rPr>
          <w:rFonts w:ascii="Times New Roman" w:hAnsi="Times New Roman" w:cs="Times New Roman"/>
          <w:sz w:val="16"/>
          <w:szCs w:val="16"/>
          <w:lang w:val="sr-Cyrl-RS"/>
        </w:rPr>
        <w:t>п</w:t>
      </w:r>
      <w:r>
        <w:rPr>
          <w:rFonts w:ascii="Times New Roman" w:hAnsi="Times New Roman" w:cs="Times New Roman"/>
          <w:sz w:val="16"/>
          <w:szCs w:val="16"/>
          <w:lang w:val="sr-Cyrl-RS"/>
        </w:rPr>
        <w:t>рема подацима Н</w:t>
      </w:r>
      <w:r w:rsidR="00C8558E">
        <w:rPr>
          <w:rFonts w:ascii="Times New Roman" w:hAnsi="Times New Roman" w:cs="Times New Roman"/>
          <w:sz w:val="16"/>
          <w:szCs w:val="16"/>
          <w:lang w:val="sr-Cyrl-RS"/>
        </w:rPr>
        <w:t>ародне банке Србије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27A3"/>
    <w:multiLevelType w:val="multilevel"/>
    <w:tmpl w:val="12720E9A"/>
    <w:lvl w:ilvl="0">
      <w:start w:val="1"/>
      <w:numFmt w:val="decimal"/>
      <w:lvlText w:val="%1."/>
      <w:lvlJc w:val="left"/>
      <w:pPr>
        <w:ind w:left="720" w:hanging="360"/>
      </w:pPr>
    </w:lvl>
    <w:lvl w:ilvl="1">
      <w:start w:val="3"/>
      <w:numFmt w:val="decimal"/>
      <w:isLgl/>
      <w:lvlText w:val="%1.%2"/>
      <w:lvlJc w:val="left"/>
      <w:pPr>
        <w:ind w:left="1464" w:hanging="720"/>
      </w:pPr>
      <w:rPr>
        <w:rFonts w:hint="default"/>
      </w:rPr>
    </w:lvl>
    <w:lvl w:ilvl="2">
      <w:start w:val="1"/>
      <w:numFmt w:val="decimal"/>
      <w:isLgl/>
      <w:lvlText w:val="%1.%2.%3"/>
      <w:lvlJc w:val="left"/>
      <w:pPr>
        <w:ind w:left="1848" w:hanging="720"/>
      </w:pPr>
      <w:rPr>
        <w:rFonts w:hint="default"/>
      </w:rPr>
    </w:lvl>
    <w:lvl w:ilvl="3">
      <w:start w:val="1"/>
      <w:numFmt w:val="decimal"/>
      <w:isLgl/>
      <w:lvlText w:val="%1.%2.%3.%4"/>
      <w:lvlJc w:val="left"/>
      <w:pPr>
        <w:ind w:left="2592" w:hanging="1080"/>
      </w:pPr>
      <w:rPr>
        <w:rFonts w:hint="default"/>
      </w:rPr>
    </w:lvl>
    <w:lvl w:ilvl="4">
      <w:start w:val="1"/>
      <w:numFmt w:val="decimal"/>
      <w:isLgl/>
      <w:lvlText w:val="%1.%2.%3.%4.%5"/>
      <w:lvlJc w:val="left"/>
      <w:pPr>
        <w:ind w:left="3336" w:hanging="1440"/>
      </w:pPr>
      <w:rPr>
        <w:rFonts w:hint="default"/>
      </w:rPr>
    </w:lvl>
    <w:lvl w:ilvl="5">
      <w:start w:val="1"/>
      <w:numFmt w:val="decimal"/>
      <w:isLgl/>
      <w:lvlText w:val="%1.%2.%3.%4.%5.%6"/>
      <w:lvlJc w:val="left"/>
      <w:pPr>
        <w:ind w:left="4080" w:hanging="1800"/>
      </w:pPr>
      <w:rPr>
        <w:rFonts w:hint="default"/>
      </w:rPr>
    </w:lvl>
    <w:lvl w:ilvl="6">
      <w:start w:val="1"/>
      <w:numFmt w:val="decimal"/>
      <w:isLgl/>
      <w:lvlText w:val="%1.%2.%3.%4.%5.%6.%7"/>
      <w:lvlJc w:val="left"/>
      <w:pPr>
        <w:ind w:left="4464" w:hanging="1800"/>
      </w:pPr>
      <w:rPr>
        <w:rFonts w:hint="default"/>
      </w:rPr>
    </w:lvl>
    <w:lvl w:ilvl="7">
      <w:start w:val="1"/>
      <w:numFmt w:val="decimal"/>
      <w:isLgl/>
      <w:lvlText w:val="%1.%2.%3.%4.%5.%6.%7.%8"/>
      <w:lvlJc w:val="left"/>
      <w:pPr>
        <w:ind w:left="5208" w:hanging="2160"/>
      </w:pPr>
      <w:rPr>
        <w:rFonts w:hint="default"/>
      </w:rPr>
    </w:lvl>
    <w:lvl w:ilvl="8">
      <w:start w:val="1"/>
      <w:numFmt w:val="decimal"/>
      <w:isLgl/>
      <w:lvlText w:val="%1.%2.%3.%4.%5.%6.%7.%8.%9"/>
      <w:lvlJc w:val="left"/>
      <w:pPr>
        <w:ind w:left="5952" w:hanging="2520"/>
      </w:pPr>
      <w:rPr>
        <w:rFonts w:hint="default"/>
      </w:rPr>
    </w:lvl>
  </w:abstractNum>
  <w:abstractNum w:abstractNumId="1" w15:restartNumberingAfterBreak="0">
    <w:nsid w:val="0C401F94"/>
    <w:multiLevelType w:val="hybridMultilevel"/>
    <w:tmpl w:val="2BAA987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D66799"/>
    <w:multiLevelType w:val="hybridMultilevel"/>
    <w:tmpl w:val="5E38F8C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5FE5C31"/>
    <w:multiLevelType w:val="hybridMultilevel"/>
    <w:tmpl w:val="37DE9244"/>
    <w:lvl w:ilvl="0" w:tplc="12FCB3F4">
      <w:start w:val="1"/>
      <w:numFmt w:val="bullet"/>
      <w:lvlText w:val=""/>
      <w:lvlJc w:val="left"/>
      <w:pPr>
        <w:ind w:left="783"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91B609A"/>
    <w:multiLevelType w:val="hybridMultilevel"/>
    <w:tmpl w:val="637C0BFE"/>
    <w:lvl w:ilvl="0" w:tplc="E05A9A8A">
      <w:start w:val="213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E34E9A"/>
    <w:multiLevelType w:val="hybridMultilevel"/>
    <w:tmpl w:val="555E4C10"/>
    <w:lvl w:ilvl="0" w:tplc="241A0017">
      <w:start w:val="1"/>
      <w:numFmt w:val="lowerLetter"/>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4837C1F"/>
    <w:multiLevelType w:val="hybridMultilevel"/>
    <w:tmpl w:val="2FCE7D86"/>
    <w:lvl w:ilvl="0" w:tplc="241A0019">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88F1D53"/>
    <w:multiLevelType w:val="hybridMultilevel"/>
    <w:tmpl w:val="3B0EDF0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8AD294D"/>
    <w:multiLevelType w:val="hybridMultilevel"/>
    <w:tmpl w:val="541ADAF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DB93BAB"/>
    <w:multiLevelType w:val="hybridMultilevel"/>
    <w:tmpl w:val="6D027A3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DDC0749"/>
    <w:multiLevelType w:val="hybridMultilevel"/>
    <w:tmpl w:val="7BC22C22"/>
    <w:lvl w:ilvl="0" w:tplc="E05A9A8A">
      <w:start w:val="2130"/>
      <w:numFmt w:val="bullet"/>
      <w:lvlText w:val="-"/>
      <w:lvlJc w:val="left"/>
      <w:pPr>
        <w:ind w:left="1440" w:hanging="360"/>
      </w:pPr>
      <w:rPr>
        <w:rFonts w:ascii="Times New Roman" w:eastAsia="Times New Roman" w:hAnsi="Times New Roman" w:cs="Times New Roman"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1" w15:restartNumberingAfterBreak="0">
    <w:nsid w:val="3DA34491"/>
    <w:multiLevelType w:val="hybridMultilevel"/>
    <w:tmpl w:val="921E07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41D96E7D"/>
    <w:multiLevelType w:val="hybridMultilevel"/>
    <w:tmpl w:val="272E6C0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522D55DB"/>
    <w:multiLevelType w:val="hybridMultilevel"/>
    <w:tmpl w:val="74DC9478"/>
    <w:lvl w:ilvl="0" w:tplc="241A000F">
      <w:start w:val="1"/>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14" w15:restartNumberingAfterBreak="0">
    <w:nsid w:val="54D378A1"/>
    <w:multiLevelType w:val="hybridMultilevel"/>
    <w:tmpl w:val="0FA449B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6B47B8E"/>
    <w:multiLevelType w:val="hybridMultilevel"/>
    <w:tmpl w:val="B79EAC5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7191897"/>
    <w:multiLevelType w:val="hybridMultilevel"/>
    <w:tmpl w:val="2D5EB3B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5BBC7357"/>
    <w:multiLevelType w:val="hybridMultilevel"/>
    <w:tmpl w:val="0FA449B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622E4B98"/>
    <w:multiLevelType w:val="hybridMultilevel"/>
    <w:tmpl w:val="7C78A07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64642E50"/>
    <w:multiLevelType w:val="hybridMultilevel"/>
    <w:tmpl w:val="C24C797C"/>
    <w:lvl w:ilvl="0" w:tplc="E05A9A8A">
      <w:start w:val="2130"/>
      <w:numFmt w:val="bullet"/>
      <w:lvlText w:val="-"/>
      <w:lvlJc w:val="left"/>
      <w:pPr>
        <w:ind w:left="1440" w:hanging="360"/>
      </w:pPr>
      <w:rPr>
        <w:rFonts w:ascii="Times New Roman" w:eastAsia="Times New Roman" w:hAnsi="Times New Roman" w:cs="Times New Roman"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0" w15:restartNumberingAfterBreak="0">
    <w:nsid w:val="64FE3FB5"/>
    <w:multiLevelType w:val="multilevel"/>
    <w:tmpl w:val="1422C98A"/>
    <w:lvl w:ilvl="0">
      <w:start w:val="1"/>
      <w:numFmt w:val="decimal"/>
      <w:pStyle w:val="Heading1"/>
      <w:lvlText w:val="%1"/>
      <w:lvlJc w:val="left"/>
      <w:pPr>
        <w:ind w:left="716" w:hanging="432"/>
      </w:pPr>
      <w:rPr>
        <w:sz w:val="32"/>
        <w:szCs w:val="32"/>
      </w:r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668E29A6"/>
    <w:multiLevelType w:val="hybridMultilevel"/>
    <w:tmpl w:val="C188F0D2"/>
    <w:lvl w:ilvl="0" w:tplc="946A3732">
      <w:start w:val="4"/>
      <w:numFmt w:val="bullet"/>
      <w:lvlText w:val="-"/>
      <w:lvlJc w:val="left"/>
      <w:pPr>
        <w:ind w:left="720" w:hanging="360"/>
      </w:pPr>
      <w:rPr>
        <w:rFonts w:ascii="Arial" w:eastAsiaTheme="minorHAns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B224751"/>
    <w:multiLevelType w:val="hybridMultilevel"/>
    <w:tmpl w:val="2996D1C2"/>
    <w:lvl w:ilvl="0" w:tplc="2388A216">
      <w:start w:val="1"/>
      <w:numFmt w:val="russianLow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70CF7CD6"/>
    <w:multiLevelType w:val="hybridMultilevel"/>
    <w:tmpl w:val="CA4A03EC"/>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74A07D13"/>
    <w:multiLevelType w:val="hybridMultilevel"/>
    <w:tmpl w:val="FB86068A"/>
    <w:lvl w:ilvl="0" w:tplc="3334A3E6">
      <w:start w:val="1"/>
      <w:numFmt w:val="decimal"/>
      <w:lvlText w:val="%1)"/>
      <w:lvlJc w:val="left"/>
      <w:pPr>
        <w:ind w:left="720" w:hanging="360"/>
      </w:pPr>
      <w:rPr>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77525BBE"/>
    <w:multiLevelType w:val="hybridMultilevel"/>
    <w:tmpl w:val="9BD833E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788E3C7D"/>
    <w:multiLevelType w:val="hybridMultilevel"/>
    <w:tmpl w:val="873A5EF0"/>
    <w:lvl w:ilvl="0" w:tplc="E05A9A8A">
      <w:start w:val="213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791D1A28"/>
    <w:multiLevelType w:val="hybridMultilevel"/>
    <w:tmpl w:val="4F1A22E4"/>
    <w:lvl w:ilvl="0" w:tplc="E05A9A8A">
      <w:start w:val="2130"/>
      <w:numFmt w:val="bullet"/>
      <w:lvlText w:val="-"/>
      <w:lvlJc w:val="left"/>
      <w:pPr>
        <w:ind w:left="1440" w:hanging="360"/>
      </w:pPr>
      <w:rPr>
        <w:rFonts w:ascii="Times New Roman" w:eastAsia="Times New Roman" w:hAnsi="Times New Roman" w:cs="Times New Roman"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8" w15:restartNumberingAfterBreak="0">
    <w:nsid w:val="7B7A55E4"/>
    <w:multiLevelType w:val="hybridMultilevel"/>
    <w:tmpl w:val="AD2A94E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1901210398">
    <w:abstractNumId w:val="0"/>
  </w:num>
  <w:num w:numId="2" w16cid:durableId="519397533">
    <w:abstractNumId w:val="21"/>
  </w:num>
  <w:num w:numId="3" w16cid:durableId="1686252793">
    <w:abstractNumId w:val="15"/>
  </w:num>
  <w:num w:numId="4" w16cid:durableId="568538612">
    <w:abstractNumId w:val="17"/>
  </w:num>
  <w:num w:numId="5" w16cid:durableId="1225414522">
    <w:abstractNumId w:val="6"/>
  </w:num>
  <w:num w:numId="6" w16cid:durableId="1613587126">
    <w:abstractNumId w:val="24"/>
  </w:num>
  <w:num w:numId="7" w16cid:durableId="296880233">
    <w:abstractNumId w:val="23"/>
  </w:num>
  <w:num w:numId="8" w16cid:durableId="1004163260">
    <w:abstractNumId w:val="5"/>
  </w:num>
  <w:num w:numId="9" w16cid:durableId="1038164203">
    <w:abstractNumId w:val="16"/>
  </w:num>
  <w:num w:numId="10" w16cid:durableId="661204105">
    <w:abstractNumId w:val="20"/>
  </w:num>
  <w:num w:numId="11" w16cid:durableId="587006014">
    <w:abstractNumId w:val="8"/>
  </w:num>
  <w:num w:numId="12" w16cid:durableId="481428653">
    <w:abstractNumId w:val="14"/>
  </w:num>
  <w:num w:numId="13" w16cid:durableId="54548350">
    <w:abstractNumId w:val="3"/>
  </w:num>
  <w:num w:numId="14" w16cid:durableId="1483959950">
    <w:abstractNumId w:val="2"/>
  </w:num>
  <w:num w:numId="15" w16cid:durableId="414711965">
    <w:abstractNumId w:val="22"/>
  </w:num>
  <w:num w:numId="16" w16cid:durableId="315964107">
    <w:abstractNumId w:val="28"/>
  </w:num>
  <w:num w:numId="17" w16cid:durableId="1480611008">
    <w:abstractNumId w:val="7"/>
  </w:num>
  <w:num w:numId="18" w16cid:durableId="755519790">
    <w:abstractNumId w:val="20"/>
  </w:num>
  <w:num w:numId="19" w16cid:durableId="93744869">
    <w:abstractNumId w:val="20"/>
  </w:num>
  <w:num w:numId="20" w16cid:durableId="80370595">
    <w:abstractNumId w:val="20"/>
    <w:lvlOverride w:ilvl="0">
      <w:startOverride w:val="5"/>
    </w:lvlOverride>
    <w:lvlOverride w:ilvl="1">
      <w:startOverride w:val="2"/>
    </w:lvlOverride>
  </w:num>
  <w:num w:numId="21" w16cid:durableId="36469894">
    <w:abstractNumId w:val="20"/>
    <w:lvlOverride w:ilvl="0">
      <w:startOverride w:val="5"/>
    </w:lvlOverride>
    <w:lvlOverride w:ilvl="1">
      <w:startOverride w:val="2"/>
    </w:lvlOverride>
  </w:num>
  <w:num w:numId="22" w16cid:durableId="413673220">
    <w:abstractNumId w:val="20"/>
    <w:lvlOverride w:ilvl="0">
      <w:startOverride w:val="5"/>
    </w:lvlOverride>
    <w:lvlOverride w:ilvl="1">
      <w:startOverride w:val="2"/>
    </w:lvlOverride>
  </w:num>
  <w:num w:numId="23" w16cid:durableId="1393967882">
    <w:abstractNumId w:val="20"/>
    <w:lvlOverride w:ilvl="0">
      <w:startOverride w:val="5"/>
    </w:lvlOverride>
    <w:lvlOverride w:ilvl="1">
      <w:startOverride w:val="2"/>
    </w:lvlOverride>
  </w:num>
  <w:num w:numId="24" w16cid:durableId="1122531281">
    <w:abstractNumId w:val="20"/>
    <w:lvlOverride w:ilvl="0">
      <w:startOverride w:val="5"/>
    </w:lvlOverride>
    <w:lvlOverride w:ilvl="1">
      <w:startOverride w:val="3"/>
    </w:lvlOverride>
  </w:num>
  <w:num w:numId="25" w16cid:durableId="509879430">
    <w:abstractNumId w:val="20"/>
    <w:lvlOverride w:ilvl="0">
      <w:startOverride w:val="5"/>
    </w:lvlOverride>
    <w:lvlOverride w:ilvl="1">
      <w:startOverride w:val="3"/>
    </w:lvlOverride>
  </w:num>
  <w:num w:numId="26" w16cid:durableId="1535263773">
    <w:abstractNumId w:val="11"/>
  </w:num>
  <w:num w:numId="27" w16cid:durableId="803500595">
    <w:abstractNumId w:val="20"/>
  </w:num>
  <w:num w:numId="28" w16cid:durableId="246352535">
    <w:abstractNumId w:val="25"/>
  </w:num>
  <w:num w:numId="29" w16cid:durableId="597719169">
    <w:abstractNumId w:val="9"/>
  </w:num>
  <w:num w:numId="30" w16cid:durableId="839344497">
    <w:abstractNumId w:val="12"/>
  </w:num>
  <w:num w:numId="31" w16cid:durableId="348609005">
    <w:abstractNumId w:val="4"/>
  </w:num>
  <w:num w:numId="32" w16cid:durableId="1451245120">
    <w:abstractNumId w:val="13"/>
  </w:num>
  <w:num w:numId="33" w16cid:durableId="1539314028">
    <w:abstractNumId w:val="26"/>
  </w:num>
  <w:num w:numId="34" w16cid:durableId="1569458670">
    <w:abstractNumId w:val="18"/>
  </w:num>
  <w:num w:numId="35" w16cid:durableId="1911649851">
    <w:abstractNumId w:val="1"/>
  </w:num>
  <w:num w:numId="36" w16cid:durableId="1442581">
    <w:abstractNumId w:val="19"/>
  </w:num>
  <w:num w:numId="37" w16cid:durableId="1442797885">
    <w:abstractNumId w:val="10"/>
  </w:num>
  <w:num w:numId="38" w16cid:durableId="17553716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86B"/>
    <w:rsid w:val="00000409"/>
    <w:rsid w:val="0000081E"/>
    <w:rsid w:val="00005D0F"/>
    <w:rsid w:val="00007239"/>
    <w:rsid w:val="00011AF3"/>
    <w:rsid w:val="00015146"/>
    <w:rsid w:val="000221A3"/>
    <w:rsid w:val="00023818"/>
    <w:rsid w:val="0002563A"/>
    <w:rsid w:val="000317CC"/>
    <w:rsid w:val="00033BC0"/>
    <w:rsid w:val="00033E4F"/>
    <w:rsid w:val="00034BE6"/>
    <w:rsid w:val="000357A1"/>
    <w:rsid w:val="000369AD"/>
    <w:rsid w:val="00040E5E"/>
    <w:rsid w:val="00040EDF"/>
    <w:rsid w:val="00041C66"/>
    <w:rsid w:val="00043DCD"/>
    <w:rsid w:val="0004579B"/>
    <w:rsid w:val="000538FE"/>
    <w:rsid w:val="00056230"/>
    <w:rsid w:val="00060F3C"/>
    <w:rsid w:val="0006118E"/>
    <w:rsid w:val="00067080"/>
    <w:rsid w:val="0007254F"/>
    <w:rsid w:val="000726C9"/>
    <w:rsid w:val="000744B5"/>
    <w:rsid w:val="000757DC"/>
    <w:rsid w:val="00075C2F"/>
    <w:rsid w:val="00077468"/>
    <w:rsid w:val="00081698"/>
    <w:rsid w:val="000818DF"/>
    <w:rsid w:val="00082877"/>
    <w:rsid w:val="000877C4"/>
    <w:rsid w:val="0009279E"/>
    <w:rsid w:val="000929C4"/>
    <w:rsid w:val="000939C6"/>
    <w:rsid w:val="00093D95"/>
    <w:rsid w:val="00094E01"/>
    <w:rsid w:val="00096DED"/>
    <w:rsid w:val="000A095C"/>
    <w:rsid w:val="000A4AE2"/>
    <w:rsid w:val="000A628B"/>
    <w:rsid w:val="000A7073"/>
    <w:rsid w:val="000B604E"/>
    <w:rsid w:val="000C3C9B"/>
    <w:rsid w:val="000C4FC9"/>
    <w:rsid w:val="000C5918"/>
    <w:rsid w:val="000C5FAE"/>
    <w:rsid w:val="000D1757"/>
    <w:rsid w:val="000D3E87"/>
    <w:rsid w:val="000D7CA4"/>
    <w:rsid w:val="000D7E9E"/>
    <w:rsid w:val="000E1B3A"/>
    <w:rsid w:val="000E5EA8"/>
    <w:rsid w:val="000E64D3"/>
    <w:rsid w:val="000F1306"/>
    <w:rsid w:val="000F172B"/>
    <w:rsid w:val="000F3AAB"/>
    <w:rsid w:val="000F6386"/>
    <w:rsid w:val="001022B0"/>
    <w:rsid w:val="001025A3"/>
    <w:rsid w:val="00103338"/>
    <w:rsid w:val="0010761B"/>
    <w:rsid w:val="00107796"/>
    <w:rsid w:val="00111E2F"/>
    <w:rsid w:val="00112008"/>
    <w:rsid w:val="001216DC"/>
    <w:rsid w:val="00121E54"/>
    <w:rsid w:val="00123226"/>
    <w:rsid w:val="00130A14"/>
    <w:rsid w:val="001318BA"/>
    <w:rsid w:val="00137A80"/>
    <w:rsid w:val="00140B39"/>
    <w:rsid w:val="001418AF"/>
    <w:rsid w:val="00143929"/>
    <w:rsid w:val="001453C4"/>
    <w:rsid w:val="00146432"/>
    <w:rsid w:val="0015190E"/>
    <w:rsid w:val="00152B22"/>
    <w:rsid w:val="001606A5"/>
    <w:rsid w:val="001700D7"/>
    <w:rsid w:val="00171432"/>
    <w:rsid w:val="001757D5"/>
    <w:rsid w:val="00181662"/>
    <w:rsid w:val="00181D6A"/>
    <w:rsid w:val="00192580"/>
    <w:rsid w:val="001943D0"/>
    <w:rsid w:val="00195E6A"/>
    <w:rsid w:val="00197B29"/>
    <w:rsid w:val="001A1286"/>
    <w:rsid w:val="001A26B0"/>
    <w:rsid w:val="001A4BED"/>
    <w:rsid w:val="001A5921"/>
    <w:rsid w:val="001A5A95"/>
    <w:rsid w:val="001A7510"/>
    <w:rsid w:val="001A7D83"/>
    <w:rsid w:val="001B03B6"/>
    <w:rsid w:val="001B6BCC"/>
    <w:rsid w:val="001B7E42"/>
    <w:rsid w:val="001C3728"/>
    <w:rsid w:val="001C65C4"/>
    <w:rsid w:val="001D217E"/>
    <w:rsid w:val="001D4D7C"/>
    <w:rsid w:val="001D6DCE"/>
    <w:rsid w:val="001E2FDA"/>
    <w:rsid w:val="001E665C"/>
    <w:rsid w:val="001E7736"/>
    <w:rsid w:val="001F0D99"/>
    <w:rsid w:val="001F0E15"/>
    <w:rsid w:val="001F1A98"/>
    <w:rsid w:val="001F437E"/>
    <w:rsid w:val="0020062D"/>
    <w:rsid w:val="00201222"/>
    <w:rsid w:val="002030DE"/>
    <w:rsid w:val="0020328A"/>
    <w:rsid w:val="00206085"/>
    <w:rsid w:val="002108CF"/>
    <w:rsid w:val="00213F41"/>
    <w:rsid w:val="00215DEA"/>
    <w:rsid w:val="0022190D"/>
    <w:rsid w:val="00226900"/>
    <w:rsid w:val="00226BCE"/>
    <w:rsid w:val="00230CE4"/>
    <w:rsid w:val="002310DF"/>
    <w:rsid w:val="00231127"/>
    <w:rsid w:val="00231756"/>
    <w:rsid w:val="00235B4C"/>
    <w:rsid w:val="00236FAD"/>
    <w:rsid w:val="002405B6"/>
    <w:rsid w:val="0024500E"/>
    <w:rsid w:val="00247F5D"/>
    <w:rsid w:val="002513A2"/>
    <w:rsid w:val="00252806"/>
    <w:rsid w:val="00252F7A"/>
    <w:rsid w:val="0025790C"/>
    <w:rsid w:val="00257F0E"/>
    <w:rsid w:val="002622AC"/>
    <w:rsid w:val="00265147"/>
    <w:rsid w:val="00265216"/>
    <w:rsid w:val="00265738"/>
    <w:rsid w:val="002663C2"/>
    <w:rsid w:val="00272F1D"/>
    <w:rsid w:val="00274301"/>
    <w:rsid w:val="00274F60"/>
    <w:rsid w:val="002756A2"/>
    <w:rsid w:val="00276B68"/>
    <w:rsid w:val="00277B27"/>
    <w:rsid w:val="0028157E"/>
    <w:rsid w:val="00282389"/>
    <w:rsid w:val="00286ABA"/>
    <w:rsid w:val="0029014C"/>
    <w:rsid w:val="00291BE2"/>
    <w:rsid w:val="00295E2B"/>
    <w:rsid w:val="002A0C5A"/>
    <w:rsid w:val="002A1702"/>
    <w:rsid w:val="002A5D00"/>
    <w:rsid w:val="002B305A"/>
    <w:rsid w:val="002B5BAA"/>
    <w:rsid w:val="002C1F5D"/>
    <w:rsid w:val="002C32BD"/>
    <w:rsid w:val="002D0177"/>
    <w:rsid w:val="002D289C"/>
    <w:rsid w:val="002D4DB4"/>
    <w:rsid w:val="002E2A45"/>
    <w:rsid w:val="002E4D0A"/>
    <w:rsid w:val="002E7AD5"/>
    <w:rsid w:val="002E7E0A"/>
    <w:rsid w:val="002F100D"/>
    <w:rsid w:val="002F12E8"/>
    <w:rsid w:val="002F3D8E"/>
    <w:rsid w:val="002F54AF"/>
    <w:rsid w:val="002F73CC"/>
    <w:rsid w:val="002F79D0"/>
    <w:rsid w:val="00300B53"/>
    <w:rsid w:val="003037F8"/>
    <w:rsid w:val="003060E1"/>
    <w:rsid w:val="003158EB"/>
    <w:rsid w:val="00315E17"/>
    <w:rsid w:val="00331FFE"/>
    <w:rsid w:val="00333CD0"/>
    <w:rsid w:val="00334458"/>
    <w:rsid w:val="003363D6"/>
    <w:rsid w:val="003413B4"/>
    <w:rsid w:val="00342654"/>
    <w:rsid w:val="003427FD"/>
    <w:rsid w:val="00343E00"/>
    <w:rsid w:val="003470ED"/>
    <w:rsid w:val="00347F6E"/>
    <w:rsid w:val="0035156C"/>
    <w:rsid w:val="0035599C"/>
    <w:rsid w:val="003573D5"/>
    <w:rsid w:val="00362C7D"/>
    <w:rsid w:val="00363513"/>
    <w:rsid w:val="003667AE"/>
    <w:rsid w:val="00367B72"/>
    <w:rsid w:val="00372030"/>
    <w:rsid w:val="003735BB"/>
    <w:rsid w:val="003759DA"/>
    <w:rsid w:val="003807A4"/>
    <w:rsid w:val="00381958"/>
    <w:rsid w:val="00381BDB"/>
    <w:rsid w:val="003829DE"/>
    <w:rsid w:val="00383377"/>
    <w:rsid w:val="0038356C"/>
    <w:rsid w:val="0039253D"/>
    <w:rsid w:val="003926A3"/>
    <w:rsid w:val="003928DA"/>
    <w:rsid w:val="00392B62"/>
    <w:rsid w:val="00394DE1"/>
    <w:rsid w:val="0039793A"/>
    <w:rsid w:val="003A0576"/>
    <w:rsid w:val="003A15A5"/>
    <w:rsid w:val="003A3D9D"/>
    <w:rsid w:val="003B6338"/>
    <w:rsid w:val="003B7F96"/>
    <w:rsid w:val="003C1E38"/>
    <w:rsid w:val="003C2CEC"/>
    <w:rsid w:val="003C388F"/>
    <w:rsid w:val="003D1A20"/>
    <w:rsid w:val="003D37D8"/>
    <w:rsid w:val="003D40CB"/>
    <w:rsid w:val="003D5025"/>
    <w:rsid w:val="003E5D9C"/>
    <w:rsid w:val="003E6920"/>
    <w:rsid w:val="003E6FE1"/>
    <w:rsid w:val="003F0FE5"/>
    <w:rsid w:val="003F463E"/>
    <w:rsid w:val="003F4ACC"/>
    <w:rsid w:val="003F7326"/>
    <w:rsid w:val="003F7A71"/>
    <w:rsid w:val="00400C32"/>
    <w:rsid w:val="004011D0"/>
    <w:rsid w:val="00403CB9"/>
    <w:rsid w:val="00403E15"/>
    <w:rsid w:val="00404547"/>
    <w:rsid w:val="00413C70"/>
    <w:rsid w:val="004143EA"/>
    <w:rsid w:val="004158CF"/>
    <w:rsid w:val="0042411C"/>
    <w:rsid w:val="00426506"/>
    <w:rsid w:val="00426B56"/>
    <w:rsid w:val="00427781"/>
    <w:rsid w:val="00433A6E"/>
    <w:rsid w:val="00433B12"/>
    <w:rsid w:val="0043417D"/>
    <w:rsid w:val="00440663"/>
    <w:rsid w:val="00442BCD"/>
    <w:rsid w:val="00451BEB"/>
    <w:rsid w:val="00453209"/>
    <w:rsid w:val="00453AE4"/>
    <w:rsid w:val="00454E37"/>
    <w:rsid w:val="004579F3"/>
    <w:rsid w:val="00460404"/>
    <w:rsid w:val="004606B5"/>
    <w:rsid w:val="0046153B"/>
    <w:rsid w:val="00461D41"/>
    <w:rsid w:val="00466DB7"/>
    <w:rsid w:val="0047024D"/>
    <w:rsid w:val="00471C90"/>
    <w:rsid w:val="0047263E"/>
    <w:rsid w:val="00480BFD"/>
    <w:rsid w:val="00482130"/>
    <w:rsid w:val="00482456"/>
    <w:rsid w:val="00484463"/>
    <w:rsid w:val="00487CA6"/>
    <w:rsid w:val="00491158"/>
    <w:rsid w:val="004926EB"/>
    <w:rsid w:val="00497357"/>
    <w:rsid w:val="004A0C1B"/>
    <w:rsid w:val="004A19A7"/>
    <w:rsid w:val="004B580D"/>
    <w:rsid w:val="004C35A2"/>
    <w:rsid w:val="004C5866"/>
    <w:rsid w:val="004D0C8E"/>
    <w:rsid w:val="004D1330"/>
    <w:rsid w:val="004D3540"/>
    <w:rsid w:val="004D485C"/>
    <w:rsid w:val="004D5680"/>
    <w:rsid w:val="004E036B"/>
    <w:rsid w:val="004E0725"/>
    <w:rsid w:val="004E0E32"/>
    <w:rsid w:val="004E2129"/>
    <w:rsid w:val="004E2F7B"/>
    <w:rsid w:val="004E4259"/>
    <w:rsid w:val="004F25BA"/>
    <w:rsid w:val="004F5C97"/>
    <w:rsid w:val="004F66FC"/>
    <w:rsid w:val="005017C2"/>
    <w:rsid w:val="00501FBC"/>
    <w:rsid w:val="00502CB0"/>
    <w:rsid w:val="00503C78"/>
    <w:rsid w:val="00504B4E"/>
    <w:rsid w:val="00505338"/>
    <w:rsid w:val="005100C2"/>
    <w:rsid w:val="00510608"/>
    <w:rsid w:val="0051144F"/>
    <w:rsid w:val="00511B28"/>
    <w:rsid w:val="00512660"/>
    <w:rsid w:val="00512C1D"/>
    <w:rsid w:val="00514A5D"/>
    <w:rsid w:val="00520D6A"/>
    <w:rsid w:val="00520EEA"/>
    <w:rsid w:val="005232BF"/>
    <w:rsid w:val="00523515"/>
    <w:rsid w:val="0052469C"/>
    <w:rsid w:val="0053078C"/>
    <w:rsid w:val="005342D3"/>
    <w:rsid w:val="005363FA"/>
    <w:rsid w:val="00536FEE"/>
    <w:rsid w:val="005410FB"/>
    <w:rsid w:val="00544401"/>
    <w:rsid w:val="005476BC"/>
    <w:rsid w:val="00550160"/>
    <w:rsid w:val="00551387"/>
    <w:rsid w:val="0055381F"/>
    <w:rsid w:val="00555007"/>
    <w:rsid w:val="005616B6"/>
    <w:rsid w:val="00562300"/>
    <w:rsid w:val="005623B5"/>
    <w:rsid w:val="00562472"/>
    <w:rsid w:val="00566BA8"/>
    <w:rsid w:val="005702EC"/>
    <w:rsid w:val="005706AA"/>
    <w:rsid w:val="00572C6B"/>
    <w:rsid w:val="00576202"/>
    <w:rsid w:val="00580EE0"/>
    <w:rsid w:val="00581637"/>
    <w:rsid w:val="00581EC2"/>
    <w:rsid w:val="00585551"/>
    <w:rsid w:val="00585D07"/>
    <w:rsid w:val="005860D9"/>
    <w:rsid w:val="00587627"/>
    <w:rsid w:val="00590037"/>
    <w:rsid w:val="0059572B"/>
    <w:rsid w:val="005A287F"/>
    <w:rsid w:val="005A5A5C"/>
    <w:rsid w:val="005C0157"/>
    <w:rsid w:val="005C5B7C"/>
    <w:rsid w:val="005D5CAD"/>
    <w:rsid w:val="005D6CEE"/>
    <w:rsid w:val="005E146A"/>
    <w:rsid w:val="005E3E51"/>
    <w:rsid w:val="005E6409"/>
    <w:rsid w:val="005F1BBA"/>
    <w:rsid w:val="005F2C79"/>
    <w:rsid w:val="00601227"/>
    <w:rsid w:val="00604BA8"/>
    <w:rsid w:val="00605412"/>
    <w:rsid w:val="006057A3"/>
    <w:rsid w:val="00612656"/>
    <w:rsid w:val="006143EA"/>
    <w:rsid w:val="00614900"/>
    <w:rsid w:val="006167FE"/>
    <w:rsid w:val="00616CB1"/>
    <w:rsid w:val="00621D37"/>
    <w:rsid w:val="00622BEC"/>
    <w:rsid w:val="00623E84"/>
    <w:rsid w:val="0062604B"/>
    <w:rsid w:val="00626661"/>
    <w:rsid w:val="00627E8C"/>
    <w:rsid w:val="00630963"/>
    <w:rsid w:val="0063188E"/>
    <w:rsid w:val="006368F7"/>
    <w:rsid w:val="00641BB1"/>
    <w:rsid w:val="00644B65"/>
    <w:rsid w:val="0064703E"/>
    <w:rsid w:val="006538D6"/>
    <w:rsid w:val="00654F55"/>
    <w:rsid w:val="00657FB1"/>
    <w:rsid w:val="006627F4"/>
    <w:rsid w:val="0067209E"/>
    <w:rsid w:val="0067215E"/>
    <w:rsid w:val="00673AEF"/>
    <w:rsid w:val="006803E0"/>
    <w:rsid w:val="006806BB"/>
    <w:rsid w:val="006815D5"/>
    <w:rsid w:val="00687081"/>
    <w:rsid w:val="006877BC"/>
    <w:rsid w:val="00690452"/>
    <w:rsid w:val="00690967"/>
    <w:rsid w:val="006928F3"/>
    <w:rsid w:val="0069446F"/>
    <w:rsid w:val="00696DC9"/>
    <w:rsid w:val="006A0250"/>
    <w:rsid w:val="006A25E0"/>
    <w:rsid w:val="006B0074"/>
    <w:rsid w:val="006C265E"/>
    <w:rsid w:val="006C290B"/>
    <w:rsid w:val="006D4286"/>
    <w:rsid w:val="006D5EE0"/>
    <w:rsid w:val="006D7710"/>
    <w:rsid w:val="006E435D"/>
    <w:rsid w:val="006E5ED9"/>
    <w:rsid w:val="006F27B3"/>
    <w:rsid w:val="006F613D"/>
    <w:rsid w:val="006F6945"/>
    <w:rsid w:val="006F71E1"/>
    <w:rsid w:val="00704E0D"/>
    <w:rsid w:val="00716C92"/>
    <w:rsid w:val="007175AD"/>
    <w:rsid w:val="00720C01"/>
    <w:rsid w:val="007311E9"/>
    <w:rsid w:val="00732976"/>
    <w:rsid w:val="0073420C"/>
    <w:rsid w:val="00741A17"/>
    <w:rsid w:val="0074256B"/>
    <w:rsid w:val="00746F1D"/>
    <w:rsid w:val="007502AA"/>
    <w:rsid w:val="00751136"/>
    <w:rsid w:val="00752435"/>
    <w:rsid w:val="007528F6"/>
    <w:rsid w:val="007558B0"/>
    <w:rsid w:val="007568AB"/>
    <w:rsid w:val="00756D00"/>
    <w:rsid w:val="00761E78"/>
    <w:rsid w:val="007626C2"/>
    <w:rsid w:val="00764E92"/>
    <w:rsid w:val="0076658E"/>
    <w:rsid w:val="0077010D"/>
    <w:rsid w:val="0077330A"/>
    <w:rsid w:val="00780AA5"/>
    <w:rsid w:val="007813D8"/>
    <w:rsid w:val="00781A3B"/>
    <w:rsid w:val="00782C26"/>
    <w:rsid w:val="00783BFD"/>
    <w:rsid w:val="007846B5"/>
    <w:rsid w:val="00786775"/>
    <w:rsid w:val="00786EA0"/>
    <w:rsid w:val="00787961"/>
    <w:rsid w:val="0079072C"/>
    <w:rsid w:val="007936F6"/>
    <w:rsid w:val="0079449B"/>
    <w:rsid w:val="00794DB0"/>
    <w:rsid w:val="007A2EBB"/>
    <w:rsid w:val="007A4670"/>
    <w:rsid w:val="007A5524"/>
    <w:rsid w:val="007A6F92"/>
    <w:rsid w:val="007B4BD1"/>
    <w:rsid w:val="007B5B1B"/>
    <w:rsid w:val="007B749F"/>
    <w:rsid w:val="007B7F55"/>
    <w:rsid w:val="007C6C5C"/>
    <w:rsid w:val="007C7E6D"/>
    <w:rsid w:val="007D3D6C"/>
    <w:rsid w:val="007D3DE6"/>
    <w:rsid w:val="007D3E21"/>
    <w:rsid w:val="007D4E2D"/>
    <w:rsid w:val="007E113F"/>
    <w:rsid w:val="007E64D9"/>
    <w:rsid w:val="007E6F08"/>
    <w:rsid w:val="007E7C2E"/>
    <w:rsid w:val="007F0E5C"/>
    <w:rsid w:val="007F0FE3"/>
    <w:rsid w:val="007F1ADF"/>
    <w:rsid w:val="007F4358"/>
    <w:rsid w:val="007F6284"/>
    <w:rsid w:val="0080540B"/>
    <w:rsid w:val="008072A5"/>
    <w:rsid w:val="00807884"/>
    <w:rsid w:val="00807CFA"/>
    <w:rsid w:val="00817336"/>
    <w:rsid w:val="00817858"/>
    <w:rsid w:val="008216FB"/>
    <w:rsid w:val="00826663"/>
    <w:rsid w:val="00834EF8"/>
    <w:rsid w:val="0083635E"/>
    <w:rsid w:val="00842977"/>
    <w:rsid w:val="0084451A"/>
    <w:rsid w:val="0085012F"/>
    <w:rsid w:val="00850816"/>
    <w:rsid w:val="00851B99"/>
    <w:rsid w:val="00856B7B"/>
    <w:rsid w:val="0085767F"/>
    <w:rsid w:val="0086124A"/>
    <w:rsid w:val="008627D8"/>
    <w:rsid w:val="008644E1"/>
    <w:rsid w:val="00864D20"/>
    <w:rsid w:val="00867FD7"/>
    <w:rsid w:val="008700B4"/>
    <w:rsid w:val="008739C6"/>
    <w:rsid w:val="0088527A"/>
    <w:rsid w:val="00886192"/>
    <w:rsid w:val="0089120E"/>
    <w:rsid w:val="008933C9"/>
    <w:rsid w:val="008938E4"/>
    <w:rsid w:val="00896016"/>
    <w:rsid w:val="008A0560"/>
    <w:rsid w:val="008A1AB9"/>
    <w:rsid w:val="008A4C36"/>
    <w:rsid w:val="008A55DA"/>
    <w:rsid w:val="008A746B"/>
    <w:rsid w:val="008A7689"/>
    <w:rsid w:val="008B0FDC"/>
    <w:rsid w:val="008B1AAC"/>
    <w:rsid w:val="008B42D0"/>
    <w:rsid w:val="008B4935"/>
    <w:rsid w:val="008B4D1F"/>
    <w:rsid w:val="008B5EB8"/>
    <w:rsid w:val="008B7C77"/>
    <w:rsid w:val="008B7DD9"/>
    <w:rsid w:val="008C0B53"/>
    <w:rsid w:val="008C36B9"/>
    <w:rsid w:val="008C7EA3"/>
    <w:rsid w:val="008D03D2"/>
    <w:rsid w:val="008D1AF5"/>
    <w:rsid w:val="008D3296"/>
    <w:rsid w:val="008D6EE3"/>
    <w:rsid w:val="008D731F"/>
    <w:rsid w:val="008D73ED"/>
    <w:rsid w:val="008E1802"/>
    <w:rsid w:val="008E585E"/>
    <w:rsid w:val="008E59AD"/>
    <w:rsid w:val="008F030E"/>
    <w:rsid w:val="008F1433"/>
    <w:rsid w:val="008F2AC9"/>
    <w:rsid w:val="008F5259"/>
    <w:rsid w:val="00904A41"/>
    <w:rsid w:val="00904BA5"/>
    <w:rsid w:val="00904DC3"/>
    <w:rsid w:val="00911A5C"/>
    <w:rsid w:val="0091470C"/>
    <w:rsid w:val="00915490"/>
    <w:rsid w:val="00921873"/>
    <w:rsid w:val="00924AF1"/>
    <w:rsid w:val="009250AB"/>
    <w:rsid w:val="00925DD6"/>
    <w:rsid w:val="00926922"/>
    <w:rsid w:val="009359C9"/>
    <w:rsid w:val="0093643D"/>
    <w:rsid w:val="00941C96"/>
    <w:rsid w:val="00942F0D"/>
    <w:rsid w:val="009433D8"/>
    <w:rsid w:val="0094791A"/>
    <w:rsid w:val="009530AC"/>
    <w:rsid w:val="009704E2"/>
    <w:rsid w:val="00970E3D"/>
    <w:rsid w:val="0097386B"/>
    <w:rsid w:val="00981B0E"/>
    <w:rsid w:val="00981F68"/>
    <w:rsid w:val="00985AF4"/>
    <w:rsid w:val="0098708F"/>
    <w:rsid w:val="009878BE"/>
    <w:rsid w:val="00990A0A"/>
    <w:rsid w:val="00990BED"/>
    <w:rsid w:val="00992B73"/>
    <w:rsid w:val="0099466E"/>
    <w:rsid w:val="00997508"/>
    <w:rsid w:val="009A0F12"/>
    <w:rsid w:val="009A1064"/>
    <w:rsid w:val="009A4C25"/>
    <w:rsid w:val="009A74E4"/>
    <w:rsid w:val="009A798F"/>
    <w:rsid w:val="009B5655"/>
    <w:rsid w:val="009B5AB8"/>
    <w:rsid w:val="009B7B03"/>
    <w:rsid w:val="009C108A"/>
    <w:rsid w:val="009C3D6F"/>
    <w:rsid w:val="009D01CE"/>
    <w:rsid w:val="009D09B4"/>
    <w:rsid w:val="009D23A0"/>
    <w:rsid w:val="009D43F4"/>
    <w:rsid w:val="009D7027"/>
    <w:rsid w:val="009D706D"/>
    <w:rsid w:val="009E21F3"/>
    <w:rsid w:val="009E26A3"/>
    <w:rsid w:val="009F0EC6"/>
    <w:rsid w:val="009F1D6C"/>
    <w:rsid w:val="009F1F5E"/>
    <w:rsid w:val="009F31FA"/>
    <w:rsid w:val="009F5F8C"/>
    <w:rsid w:val="00A0277A"/>
    <w:rsid w:val="00A03C72"/>
    <w:rsid w:val="00A0758B"/>
    <w:rsid w:val="00A0760F"/>
    <w:rsid w:val="00A07F6F"/>
    <w:rsid w:val="00A220E2"/>
    <w:rsid w:val="00A22583"/>
    <w:rsid w:val="00A22C8B"/>
    <w:rsid w:val="00A234C3"/>
    <w:rsid w:val="00A2374D"/>
    <w:rsid w:val="00A24B33"/>
    <w:rsid w:val="00A2599D"/>
    <w:rsid w:val="00A3083A"/>
    <w:rsid w:val="00A30915"/>
    <w:rsid w:val="00A339A9"/>
    <w:rsid w:val="00A377B8"/>
    <w:rsid w:val="00A37FB5"/>
    <w:rsid w:val="00A435CF"/>
    <w:rsid w:val="00A4450C"/>
    <w:rsid w:val="00A45019"/>
    <w:rsid w:val="00A45EC1"/>
    <w:rsid w:val="00A5072E"/>
    <w:rsid w:val="00A55C01"/>
    <w:rsid w:val="00A55EAE"/>
    <w:rsid w:val="00A613EB"/>
    <w:rsid w:val="00A62168"/>
    <w:rsid w:val="00A679D3"/>
    <w:rsid w:val="00A67C4F"/>
    <w:rsid w:val="00A7072F"/>
    <w:rsid w:val="00A7096D"/>
    <w:rsid w:val="00A71939"/>
    <w:rsid w:val="00A73DB1"/>
    <w:rsid w:val="00A7652F"/>
    <w:rsid w:val="00A84A68"/>
    <w:rsid w:val="00A853BD"/>
    <w:rsid w:val="00A938AC"/>
    <w:rsid w:val="00A963A8"/>
    <w:rsid w:val="00A97991"/>
    <w:rsid w:val="00A97ECE"/>
    <w:rsid w:val="00AA0BA7"/>
    <w:rsid w:val="00AA0FAB"/>
    <w:rsid w:val="00AA2601"/>
    <w:rsid w:val="00AA3055"/>
    <w:rsid w:val="00AB00FD"/>
    <w:rsid w:val="00AB1242"/>
    <w:rsid w:val="00AB1885"/>
    <w:rsid w:val="00AB4001"/>
    <w:rsid w:val="00AB68F0"/>
    <w:rsid w:val="00AC3AAE"/>
    <w:rsid w:val="00AC67A0"/>
    <w:rsid w:val="00AD28D3"/>
    <w:rsid w:val="00AD3E8C"/>
    <w:rsid w:val="00AE0997"/>
    <w:rsid w:val="00AE0CA2"/>
    <w:rsid w:val="00AE6605"/>
    <w:rsid w:val="00AF0CA0"/>
    <w:rsid w:val="00AF128D"/>
    <w:rsid w:val="00AF195D"/>
    <w:rsid w:val="00AF2E63"/>
    <w:rsid w:val="00AF30AB"/>
    <w:rsid w:val="00AF44FD"/>
    <w:rsid w:val="00AF4BF4"/>
    <w:rsid w:val="00B02CEF"/>
    <w:rsid w:val="00B0549A"/>
    <w:rsid w:val="00B0766F"/>
    <w:rsid w:val="00B07BAE"/>
    <w:rsid w:val="00B114F2"/>
    <w:rsid w:val="00B12CF3"/>
    <w:rsid w:val="00B12F25"/>
    <w:rsid w:val="00B135F9"/>
    <w:rsid w:val="00B14123"/>
    <w:rsid w:val="00B145A0"/>
    <w:rsid w:val="00B17028"/>
    <w:rsid w:val="00B17393"/>
    <w:rsid w:val="00B22170"/>
    <w:rsid w:val="00B25136"/>
    <w:rsid w:val="00B30145"/>
    <w:rsid w:val="00B3096B"/>
    <w:rsid w:val="00B31061"/>
    <w:rsid w:val="00B317A6"/>
    <w:rsid w:val="00B31A13"/>
    <w:rsid w:val="00B32E07"/>
    <w:rsid w:val="00B333D3"/>
    <w:rsid w:val="00B34747"/>
    <w:rsid w:val="00B351EA"/>
    <w:rsid w:val="00B35B6F"/>
    <w:rsid w:val="00B4064C"/>
    <w:rsid w:val="00B50C6C"/>
    <w:rsid w:val="00B54A8D"/>
    <w:rsid w:val="00B5556A"/>
    <w:rsid w:val="00B573D0"/>
    <w:rsid w:val="00B57B48"/>
    <w:rsid w:val="00B61DA9"/>
    <w:rsid w:val="00B652C7"/>
    <w:rsid w:val="00B65F16"/>
    <w:rsid w:val="00B71643"/>
    <w:rsid w:val="00B74EC7"/>
    <w:rsid w:val="00B81289"/>
    <w:rsid w:val="00B82627"/>
    <w:rsid w:val="00B84068"/>
    <w:rsid w:val="00B86015"/>
    <w:rsid w:val="00B86632"/>
    <w:rsid w:val="00B9162D"/>
    <w:rsid w:val="00B93270"/>
    <w:rsid w:val="00BA0F37"/>
    <w:rsid w:val="00BA3932"/>
    <w:rsid w:val="00BA44BD"/>
    <w:rsid w:val="00BB2502"/>
    <w:rsid w:val="00BB60C2"/>
    <w:rsid w:val="00BB6349"/>
    <w:rsid w:val="00BB6F9C"/>
    <w:rsid w:val="00BC0367"/>
    <w:rsid w:val="00BC0EE7"/>
    <w:rsid w:val="00BC3EC9"/>
    <w:rsid w:val="00BC69B5"/>
    <w:rsid w:val="00BC77B3"/>
    <w:rsid w:val="00BD0D98"/>
    <w:rsid w:val="00BD1EEA"/>
    <w:rsid w:val="00BD7F55"/>
    <w:rsid w:val="00BF7942"/>
    <w:rsid w:val="00C00803"/>
    <w:rsid w:val="00C015FA"/>
    <w:rsid w:val="00C0460F"/>
    <w:rsid w:val="00C12461"/>
    <w:rsid w:val="00C12986"/>
    <w:rsid w:val="00C14D5C"/>
    <w:rsid w:val="00C21863"/>
    <w:rsid w:val="00C22FA6"/>
    <w:rsid w:val="00C2738F"/>
    <w:rsid w:val="00C27771"/>
    <w:rsid w:val="00C31D11"/>
    <w:rsid w:val="00C36D8D"/>
    <w:rsid w:val="00C4441F"/>
    <w:rsid w:val="00C44BFA"/>
    <w:rsid w:val="00C45BF0"/>
    <w:rsid w:val="00C478B4"/>
    <w:rsid w:val="00C5035B"/>
    <w:rsid w:val="00C54625"/>
    <w:rsid w:val="00C62007"/>
    <w:rsid w:val="00C74443"/>
    <w:rsid w:val="00C75BF4"/>
    <w:rsid w:val="00C76164"/>
    <w:rsid w:val="00C77292"/>
    <w:rsid w:val="00C8052E"/>
    <w:rsid w:val="00C824CF"/>
    <w:rsid w:val="00C83B54"/>
    <w:rsid w:val="00C845A2"/>
    <w:rsid w:val="00C84EAF"/>
    <w:rsid w:val="00C8558E"/>
    <w:rsid w:val="00C874C8"/>
    <w:rsid w:val="00C927BC"/>
    <w:rsid w:val="00C93A19"/>
    <w:rsid w:val="00C97610"/>
    <w:rsid w:val="00C976C6"/>
    <w:rsid w:val="00CA12D1"/>
    <w:rsid w:val="00CA2110"/>
    <w:rsid w:val="00CA6FFD"/>
    <w:rsid w:val="00CB31DE"/>
    <w:rsid w:val="00CC0057"/>
    <w:rsid w:val="00CC018A"/>
    <w:rsid w:val="00CC30B4"/>
    <w:rsid w:val="00CC7089"/>
    <w:rsid w:val="00CD2A16"/>
    <w:rsid w:val="00CE2172"/>
    <w:rsid w:val="00CE594D"/>
    <w:rsid w:val="00CE5BEC"/>
    <w:rsid w:val="00CF2097"/>
    <w:rsid w:val="00CF3E36"/>
    <w:rsid w:val="00CF73E0"/>
    <w:rsid w:val="00D006A3"/>
    <w:rsid w:val="00D01BE7"/>
    <w:rsid w:val="00D035B1"/>
    <w:rsid w:val="00D03F12"/>
    <w:rsid w:val="00D071A2"/>
    <w:rsid w:val="00D107D7"/>
    <w:rsid w:val="00D12977"/>
    <w:rsid w:val="00D16F5E"/>
    <w:rsid w:val="00D253C0"/>
    <w:rsid w:val="00D27EB4"/>
    <w:rsid w:val="00D31078"/>
    <w:rsid w:val="00D31F80"/>
    <w:rsid w:val="00D3233E"/>
    <w:rsid w:val="00D33B90"/>
    <w:rsid w:val="00D401B1"/>
    <w:rsid w:val="00D425D7"/>
    <w:rsid w:val="00D42FEC"/>
    <w:rsid w:val="00D54765"/>
    <w:rsid w:val="00D551C9"/>
    <w:rsid w:val="00D55345"/>
    <w:rsid w:val="00D555E9"/>
    <w:rsid w:val="00D55F6C"/>
    <w:rsid w:val="00D575CE"/>
    <w:rsid w:val="00D57EBC"/>
    <w:rsid w:val="00D7011D"/>
    <w:rsid w:val="00D70570"/>
    <w:rsid w:val="00D70743"/>
    <w:rsid w:val="00D74BE0"/>
    <w:rsid w:val="00D828E2"/>
    <w:rsid w:val="00D8570B"/>
    <w:rsid w:val="00D879A8"/>
    <w:rsid w:val="00D93240"/>
    <w:rsid w:val="00D97AD5"/>
    <w:rsid w:val="00DA5655"/>
    <w:rsid w:val="00DA6299"/>
    <w:rsid w:val="00DA7257"/>
    <w:rsid w:val="00DB461D"/>
    <w:rsid w:val="00DB649F"/>
    <w:rsid w:val="00DC0181"/>
    <w:rsid w:val="00DC188F"/>
    <w:rsid w:val="00DC1E1D"/>
    <w:rsid w:val="00DC4B38"/>
    <w:rsid w:val="00DC6A16"/>
    <w:rsid w:val="00DC7E09"/>
    <w:rsid w:val="00DD0E2D"/>
    <w:rsid w:val="00DD1184"/>
    <w:rsid w:val="00DD5946"/>
    <w:rsid w:val="00DD61A6"/>
    <w:rsid w:val="00DD6D97"/>
    <w:rsid w:val="00DD72C5"/>
    <w:rsid w:val="00DD75B7"/>
    <w:rsid w:val="00DD793F"/>
    <w:rsid w:val="00DE0E6A"/>
    <w:rsid w:val="00DE1561"/>
    <w:rsid w:val="00DE1899"/>
    <w:rsid w:val="00DE4318"/>
    <w:rsid w:val="00DE640E"/>
    <w:rsid w:val="00DF3EB4"/>
    <w:rsid w:val="00DF4734"/>
    <w:rsid w:val="00E00ADF"/>
    <w:rsid w:val="00E01767"/>
    <w:rsid w:val="00E05281"/>
    <w:rsid w:val="00E07A49"/>
    <w:rsid w:val="00E15DE9"/>
    <w:rsid w:val="00E22130"/>
    <w:rsid w:val="00E25258"/>
    <w:rsid w:val="00E25F5E"/>
    <w:rsid w:val="00E2689A"/>
    <w:rsid w:val="00E316ED"/>
    <w:rsid w:val="00E339E0"/>
    <w:rsid w:val="00E34825"/>
    <w:rsid w:val="00E3642A"/>
    <w:rsid w:val="00E40F02"/>
    <w:rsid w:val="00E41395"/>
    <w:rsid w:val="00E41724"/>
    <w:rsid w:val="00E437B6"/>
    <w:rsid w:val="00E4727F"/>
    <w:rsid w:val="00E50FBD"/>
    <w:rsid w:val="00E52208"/>
    <w:rsid w:val="00E54D9C"/>
    <w:rsid w:val="00E561DA"/>
    <w:rsid w:val="00E57731"/>
    <w:rsid w:val="00E62631"/>
    <w:rsid w:val="00E6390A"/>
    <w:rsid w:val="00E6752D"/>
    <w:rsid w:val="00E67E1F"/>
    <w:rsid w:val="00E67FD9"/>
    <w:rsid w:val="00E744B0"/>
    <w:rsid w:val="00E74948"/>
    <w:rsid w:val="00E74CA5"/>
    <w:rsid w:val="00E77243"/>
    <w:rsid w:val="00E805AC"/>
    <w:rsid w:val="00E84852"/>
    <w:rsid w:val="00E8501E"/>
    <w:rsid w:val="00E91577"/>
    <w:rsid w:val="00E952E6"/>
    <w:rsid w:val="00E9780A"/>
    <w:rsid w:val="00EA12E5"/>
    <w:rsid w:val="00EA197D"/>
    <w:rsid w:val="00EA3978"/>
    <w:rsid w:val="00EA397C"/>
    <w:rsid w:val="00EB02E6"/>
    <w:rsid w:val="00EB1BC6"/>
    <w:rsid w:val="00EB42EF"/>
    <w:rsid w:val="00EB527D"/>
    <w:rsid w:val="00EC1B46"/>
    <w:rsid w:val="00EC3B91"/>
    <w:rsid w:val="00EC50DE"/>
    <w:rsid w:val="00ED16F7"/>
    <w:rsid w:val="00ED3C59"/>
    <w:rsid w:val="00ED61F4"/>
    <w:rsid w:val="00ED6D7A"/>
    <w:rsid w:val="00EE02C5"/>
    <w:rsid w:val="00EE0EBB"/>
    <w:rsid w:val="00EE14FA"/>
    <w:rsid w:val="00EE4716"/>
    <w:rsid w:val="00EE714F"/>
    <w:rsid w:val="00EF2013"/>
    <w:rsid w:val="00EF421F"/>
    <w:rsid w:val="00EF5143"/>
    <w:rsid w:val="00EF6C77"/>
    <w:rsid w:val="00F01161"/>
    <w:rsid w:val="00F02208"/>
    <w:rsid w:val="00F12AD1"/>
    <w:rsid w:val="00F12FE8"/>
    <w:rsid w:val="00F1427E"/>
    <w:rsid w:val="00F14623"/>
    <w:rsid w:val="00F32D05"/>
    <w:rsid w:val="00F33078"/>
    <w:rsid w:val="00F334C6"/>
    <w:rsid w:val="00F33F0B"/>
    <w:rsid w:val="00F37F84"/>
    <w:rsid w:val="00F401BC"/>
    <w:rsid w:val="00F42244"/>
    <w:rsid w:val="00F44C5E"/>
    <w:rsid w:val="00F4606C"/>
    <w:rsid w:val="00F47B25"/>
    <w:rsid w:val="00F511F2"/>
    <w:rsid w:val="00F5428B"/>
    <w:rsid w:val="00F5610D"/>
    <w:rsid w:val="00F56D4A"/>
    <w:rsid w:val="00F6047A"/>
    <w:rsid w:val="00F61B61"/>
    <w:rsid w:val="00F63609"/>
    <w:rsid w:val="00F64562"/>
    <w:rsid w:val="00F6577C"/>
    <w:rsid w:val="00F672C6"/>
    <w:rsid w:val="00F7056E"/>
    <w:rsid w:val="00F72728"/>
    <w:rsid w:val="00F73A8A"/>
    <w:rsid w:val="00F73BAB"/>
    <w:rsid w:val="00F75AB0"/>
    <w:rsid w:val="00F83FB7"/>
    <w:rsid w:val="00F85D5E"/>
    <w:rsid w:val="00F86437"/>
    <w:rsid w:val="00F86D0F"/>
    <w:rsid w:val="00F94293"/>
    <w:rsid w:val="00F96AE1"/>
    <w:rsid w:val="00F9796C"/>
    <w:rsid w:val="00FA203B"/>
    <w:rsid w:val="00FA29A3"/>
    <w:rsid w:val="00FA37B0"/>
    <w:rsid w:val="00FA7DE1"/>
    <w:rsid w:val="00FB04B6"/>
    <w:rsid w:val="00FB15CF"/>
    <w:rsid w:val="00FB16CF"/>
    <w:rsid w:val="00FB4BF1"/>
    <w:rsid w:val="00FB4C57"/>
    <w:rsid w:val="00FB4FAC"/>
    <w:rsid w:val="00FC2598"/>
    <w:rsid w:val="00FC31C4"/>
    <w:rsid w:val="00FD3A87"/>
    <w:rsid w:val="00FD3BDA"/>
    <w:rsid w:val="00FE427D"/>
    <w:rsid w:val="00FE4CE9"/>
    <w:rsid w:val="00FF0974"/>
    <w:rsid w:val="00FF11A9"/>
    <w:rsid w:val="00FF5A80"/>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019B9"/>
  <w15:chartTrackingRefBased/>
  <w15:docId w15:val="{CB738618-1494-4FAB-AB75-EA9C348D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F9C"/>
    <w:rPr>
      <w:rFonts w:ascii="Times New Roman" w:hAnsi="Times New Roman"/>
      <w:sz w:val="24"/>
    </w:rPr>
  </w:style>
  <w:style w:type="paragraph" w:styleId="Heading1">
    <w:name w:val="heading 1"/>
    <w:basedOn w:val="Normal"/>
    <w:next w:val="Normal"/>
    <w:link w:val="Heading1Char"/>
    <w:uiPriority w:val="9"/>
    <w:qFormat/>
    <w:rsid w:val="006A25E0"/>
    <w:pPr>
      <w:keepNext/>
      <w:keepLines/>
      <w:numPr>
        <w:numId w:val="27"/>
      </w:numPr>
      <w:spacing w:before="240" w:after="120"/>
      <w:ind w:left="432"/>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6A25E0"/>
    <w:pPr>
      <w:keepNext/>
      <w:keepLines/>
      <w:numPr>
        <w:ilvl w:val="1"/>
        <w:numId w:val="27"/>
      </w:numPr>
      <w:spacing w:before="120" w:after="120"/>
      <w:ind w:left="576"/>
      <w:outlineLvl w:val="1"/>
    </w:pPr>
    <w:rPr>
      <w:rFonts w:eastAsiaTheme="majorEastAsia" w:cstheme="majorBidi"/>
      <w:sz w:val="28"/>
      <w:szCs w:val="26"/>
    </w:rPr>
  </w:style>
  <w:style w:type="paragraph" w:styleId="Heading3">
    <w:name w:val="heading 3"/>
    <w:basedOn w:val="Normal"/>
    <w:next w:val="Normal"/>
    <w:link w:val="Heading3Char"/>
    <w:uiPriority w:val="9"/>
    <w:semiHidden/>
    <w:unhideWhenUsed/>
    <w:qFormat/>
    <w:rsid w:val="001B03B6"/>
    <w:pPr>
      <w:keepNext/>
      <w:keepLines/>
      <w:numPr>
        <w:ilvl w:val="2"/>
        <w:numId w:val="27"/>
      </w:numPr>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1B03B6"/>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B03B6"/>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B03B6"/>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B03B6"/>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B03B6"/>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B03B6"/>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037F8"/>
    <w:rPr>
      <w:sz w:val="16"/>
      <w:szCs w:val="16"/>
    </w:rPr>
  </w:style>
  <w:style w:type="paragraph" w:styleId="CommentText">
    <w:name w:val="annotation text"/>
    <w:basedOn w:val="Normal"/>
    <w:link w:val="CommentTextChar"/>
    <w:uiPriority w:val="99"/>
    <w:semiHidden/>
    <w:unhideWhenUsed/>
    <w:rsid w:val="003037F8"/>
    <w:pPr>
      <w:spacing w:line="240" w:lineRule="auto"/>
    </w:pPr>
    <w:rPr>
      <w:sz w:val="20"/>
      <w:szCs w:val="20"/>
    </w:rPr>
  </w:style>
  <w:style w:type="character" w:customStyle="1" w:styleId="CommentTextChar">
    <w:name w:val="Comment Text Char"/>
    <w:basedOn w:val="DefaultParagraphFont"/>
    <w:link w:val="CommentText"/>
    <w:uiPriority w:val="99"/>
    <w:semiHidden/>
    <w:rsid w:val="003037F8"/>
    <w:rPr>
      <w:sz w:val="20"/>
      <w:szCs w:val="20"/>
    </w:rPr>
  </w:style>
  <w:style w:type="paragraph" w:styleId="CommentSubject">
    <w:name w:val="annotation subject"/>
    <w:basedOn w:val="CommentText"/>
    <w:next w:val="CommentText"/>
    <w:link w:val="CommentSubjectChar"/>
    <w:uiPriority w:val="99"/>
    <w:semiHidden/>
    <w:unhideWhenUsed/>
    <w:rsid w:val="003037F8"/>
    <w:rPr>
      <w:b/>
      <w:bCs/>
    </w:rPr>
  </w:style>
  <w:style w:type="character" w:customStyle="1" w:styleId="CommentSubjectChar">
    <w:name w:val="Comment Subject Char"/>
    <w:basedOn w:val="CommentTextChar"/>
    <w:link w:val="CommentSubject"/>
    <w:uiPriority w:val="99"/>
    <w:semiHidden/>
    <w:rsid w:val="003037F8"/>
    <w:rPr>
      <w:b/>
      <w:bCs/>
      <w:sz w:val="20"/>
      <w:szCs w:val="20"/>
    </w:rPr>
  </w:style>
  <w:style w:type="paragraph" w:styleId="FootnoteText">
    <w:name w:val="footnote text"/>
    <w:basedOn w:val="Normal"/>
    <w:link w:val="FootnoteTextChar"/>
    <w:uiPriority w:val="99"/>
    <w:semiHidden/>
    <w:unhideWhenUsed/>
    <w:rsid w:val="003427FD"/>
    <w:pPr>
      <w:spacing w:after="0" w:line="240" w:lineRule="auto"/>
      <w:jc w:val="both"/>
    </w:pPr>
    <w:rPr>
      <w:rFonts w:ascii="EYInterstate Light" w:hAnsi="EYInterstate Light"/>
      <w:szCs w:val="20"/>
    </w:rPr>
  </w:style>
  <w:style w:type="character" w:customStyle="1" w:styleId="FootnoteTextChar">
    <w:name w:val="Footnote Text Char"/>
    <w:basedOn w:val="DefaultParagraphFont"/>
    <w:link w:val="FootnoteText"/>
    <w:uiPriority w:val="99"/>
    <w:semiHidden/>
    <w:rsid w:val="003427FD"/>
    <w:rPr>
      <w:rFonts w:ascii="EYInterstate Light" w:hAnsi="EYInterstate Light"/>
      <w:szCs w:val="20"/>
    </w:rPr>
  </w:style>
  <w:style w:type="character" w:styleId="FootnoteReference">
    <w:name w:val="footnote reference"/>
    <w:basedOn w:val="DefaultParagraphFont"/>
    <w:uiPriority w:val="99"/>
    <w:semiHidden/>
    <w:unhideWhenUsed/>
    <w:rsid w:val="003427FD"/>
    <w:rPr>
      <w:vertAlign w:val="superscript"/>
    </w:rPr>
  </w:style>
  <w:style w:type="paragraph" w:styleId="ListParagraph">
    <w:name w:val="List Paragraph"/>
    <w:basedOn w:val="Normal"/>
    <w:uiPriority w:val="1"/>
    <w:qFormat/>
    <w:rsid w:val="003427FD"/>
    <w:pPr>
      <w:ind w:left="720"/>
      <w:contextualSpacing/>
      <w:jc w:val="both"/>
    </w:pPr>
    <w:rPr>
      <w:rFonts w:ascii="EYInterstate Light" w:hAnsi="EYInterstate Light"/>
    </w:rPr>
  </w:style>
  <w:style w:type="paragraph" w:styleId="Caption">
    <w:name w:val="caption"/>
    <w:basedOn w:val="Normal"/>
    <w:next w:val="Normal"/>
    <w:uiPriority w:val="35"/>
    <w:unhideWhenUsed/>
    <w:qFormat/>
    <w:rsid w:val="003C2CEC"/>
    <w:pPr>
      <w:spacing w:after="200" w:line="240" w:lineRule="auto"/>
    </w:pPr>
    <w:rPr>
      <w:i/>
      <w:iCs/>
      <w:color w:val="44546A" w:themeColor="text2"/>
      <w:sz w:val="18"/>
      <w:szCs w:val="18"/>
    </w:rPr>
  </w:style>
  <w:style w:type="paragraph" w:styleId="BodyText">
    <w:name w:val="Body Text"/>
    <w:basedOn w:val="Normal"/>
    <w:link w:val="BodyTextChar"/>
    <w:uiPriority w:val="1"/>
    <w:qFormat/>
    <w:rsid w:val="00440663"/>
    <w:pPr>
      <w:widowControl w:val="0"/>
      <w:autoSpaceDE w:val="0"/>
      <w:autoSpaceDN w:val="0"/>
      <w:spacing w:after="0" w:line="240" w:lineRule="auto"/>
      <w:ind w:left="676"/>
    </w:pPr>
    <w:rPr>
      <w:rFonts w:ascii="Trebuchet MS" w:eastAsia="Trebuchet MS" w:hAnsi="Trebuchet MS" w:cs="Trebuchet MS"/>
      <w:lang w:val="en-US"/>
    </w:rPr>
  </w:style>
  <w:style w:type="character" w:customStyle="1" w:styleId="BodyTextChar">
    <w:name w:val="Body Text Char"/>
    <w:basedOn w:val="DefaultParagraphFont"/>
    <w:link w:val="BodyText"/>
    <w:uiPriority w:val="1"/>
    <w:rsid w:val="00440663"/>
    <w:rPr>
      <w:rFonts w:ascii="Trebuchet MS" w:eastAsia="Trebuchet MS" w:hAnsi="Trebuchet MS" w:cs="Trebuchet MS"/>
      <w:lang w:val="en-US"/>
    </w:rPr>
  </w:style>
  <w:style w:type="table" w:styleId="TableGrid">
    <w:name w:val="Table Grid"/>
    <w:basedOn w:val="TableNormal"/>
    <w:uiPriority w:val="39"/>
    <w:rsid w:val="00041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73D5"/>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73D5"/>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3573D5"/>
    <w:pPr>
      <w:tabs>
        <w:tab w:val="center" w:pos="4536"/>
        <w:tab w:val="right" w:pos="9072"/>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573D5"/>
  </w:style>
  <w:style w:type="character" w:customStyle="1" w:styleId="Heading1Char">
    <w:name w:val="Heading 1 Char"/>
    <w:basedOn w:val="DefaultParagraphFont"/>
    <w:link w:val="Heading1"/>
    <w:uiPriority w:val="9"/>
    <w:rsid w:val="006A25E0"/>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6A25E0"/>
    <w:rPr>
      <w:rFonts w:ascii="Times New Roman" w:eastAsiaTheme="majorEastAsia" w:hAnsi="Times New Roman" w:cstheme="majorBidi"/>
      <w:sz w:val="28"/>
      <w:szCs w:val="26"/>
    </w:rPr>
  </w:style>
  <w:style w:type="character" w:customStyle="1" w:styleId="Heading3Char">
    <w:name w:val="Heading 3 Char"/>
    <w:basedOn w:val="DefaultParagraphFont"/>
    <w:link w:val="Heading3"/>
    <w:uiPriority w:val="9"/>
    <w:semiHidden/>
    <w:rsid w:val="001B03B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B03B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B03B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B03B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B03B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B03B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B03B6"/>
    <w:rPr>
      <w:rFonts w:asciiTheme="majorHAnsi" w:eastAsiaTheme="majorEastAsia" w:hAnsiTheme="majorHAnsi" w:cstheme="majorBidi"/>
      <w:i/>
      <w:iCs/>
      <w:color w:val="272727" w:themeColor="text1" w:themeTint="D8"/>
      <w:sz w:val="21"/>
      <w:szCs w:val="21"/>
    </w:rPr>
  </w:style>
  <w:style w:type="paragraph" w:customStyle="1" w:styleId="EYCoverSubTitle">
    <w:name w:val="EY Cover SubTitle"/>
    <w:basedOn w:val="Normal"/>
    <w:autoRedefine/>
    <w:rsid w:val="00B50C6C"/>
    <w:pPr>
      <w:spacing w:after="240" w:line="240" w:lineRule="auto"/>
    </w:pPr>
    <w:rPr>
      <w:rFonts w:ascii="EYInterstate Light" w:eastAsia="Times New Roman" w:hAnsi="EYInterstate Light" w:cstheme="minorHAnsi"/>
      <w:i/>
      <w:sz w:val="16"/>
      <w:szCs w:val="16"/>
      <w:lang w:val="en-GB"/>
    </w:rPr>
  </w:style>
  <w:style w:type="paragraph" w:styleId="BalloonText">
    <w:name w:val="Balloon Text"/>
    <w:basedOn w:val="Normal"/>
    <w:link w:val="BalloonTextChar"/>
    <w:uiPriority w:val="99"/>
    <w:semiHidden/>
    <w:unhideWhenUsed/>
    <w:rsid w:val="007A5524"/>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524"/>
    <w:rPr>
      <w:rFonts w:ascii="Segoe UI" w:hAnsi="Segoe UI" w:cs="Segoe UI"/>
      <w:sz w:val="18"/>
      <w:szCs w:val="18"/>
    </w:rPr>
  </w:style>
  <w:style w:type="paragraph" w:styleId="TOCHeading">
    <w:name w:val="TOC Heading"/>
    <w:basedOn w:val="Heading1"/>
    <w:next w:val="Normal"/>
    <w:uiPriority w:val="39"/>
    <w:unhideWhenUsed/>
    <w:qFormat/>
    <w:rsid w:val="00A84A68"/>
    <w:pPr>
      <w:numPr>
        <w:numId w:val="0"/>
      </w:numPr>
      <w:spacing w:after="0"/>
      <w:outlineLvl w:val="9"/>
    </w:pPr>
    <w:rPr>
      <w:rFonts w:asciiTheme="majorHAnsi" w:hAnsiTheme="majorHAnsi"/>
      <w:b w:val="0"/>
      <w:color w:val="2F5496" w:themeColor="accent1" w:themeShade="BF"/>
      <w:lang w:val="en-US"/>
    </w:rPr>
  </w:style>
  <w:style w:type="paragraph" w:styleId="TOC1">
    <w:name w:val="toc 1"/>
    <w:basedOn w:val="Normal"/>
    <w:next w:val="Normal"/>
    <w:autoRedefine/>
    <w:uiPriority w:val="39"/>
    <w:unhideWhenUsed/>
    <w:rsid w:val="00A84A68"/>
    <w:pPr>
      <w:spacing w:after="100"/>
    </w:pPr>
  </w:style>
  <w:style w:type="paragraph" w:styleId="TOC2">
    <w:name w:val="toc 2"/>
    <w:basedOn w:val="Normal"/>
    <w:next w:val="Normal"/>
    <w:autoRedefine/>
    <w:uiPriority w:val="39"/>
    <w:unhideWhenUsed/>
    <w:rsid w:val="00A84A68"/>
    <w:pPr>
      <w:spacing w:after="100"/>
      <w:ind w:left="220"/>
    </w:pPr>
  </w:style>
  <w:style w:type="character" w:styleId="Hyperlink">
    <w:name w:val="Hyperlink"/>
    <w:basedOn w:val="DefaultParagraphFont"/>
    <w:uiPriority w:val="99"/>
    <w:unhideWhenUsed/>
    <w:rsid w:val="00A84A68"/>
    <w:rPr>
      <w:color w:val="0563C1" w:themeColor="hyperlink"/>
      <w:u w:val="single"/>
    </w:rPr>
  </w:style>
  <w:style w:type="paragraph" w:customStyle="1" w:styleId="1tekst">
    <w:name w:val="1tekst"/>
    <w:basedOn w:val="Normal"/>
    <w:rsid w:val="00471C90"/>
    <w:pPr>
      <w:spacing w:before="100" w:after="100" w:line="240" w:lineRule="auto"/>
      <w:ind w:firstLine="240"/>
      <w:jc w:val="both"/>
    </w:pPr>
    <w:rPr>
      <w:rFonts w:eastAsia="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14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F5A5E0-C063-4FFF-BA12-E2850F1E5118}"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sr-Latn-RS"/>
        </a:p>
      </dgm:t>
    </dgm:pt>
    <dgm:pt modelId="{FFAAA889-D2ED-4534-BBD6-0F494EA1FFDC}">
      <dgm:prSet phldrT="[Text]" custT="1"/>
      <dgm:spPr>
        <a:solidFill>
          <a:srgbClr val="FFE600"/>
        </a:solidFill>
      </dgm:spPr>
      <dgm:t>
        <a:bodyPr/>
        <a:lstStyle/>
        <a:p>
          <a:endParaRPr lang="sr-Cyrl-RS" sz="1300" b="1">
            <a:solidFill>
              <a:sysClr val="windowText" lastClr="000000"/>
            </a:solidFill>
            <a:latin typeface="Arial" panose="020B0604020202020204" pitchFamily="34" charset="0"/>
            <a:cs typeface="Arial" panose="020B0604020202020204" pitchFamily="34" charset="0"/>
          </a:endParaRPr>
        </a:p>
        <a:p>
          <a:r>
            <a:rPr lang="sr-Cyrl-RS" sz="1400" b="0">
              <a:solidFill>
                <a:sysClr val="windowText" lastClr="000000"/>
              </a:solidFill>
              <a:latin typeface="Times New Roman" panose="02020603050405020304" pitchFamily="18" charset="0"/>
              <a:cs typeface="Times New Roman" panose="02020603050405020304" pitchFamily="18" charset="0"/>
            </a:rPr>
            <a:t>Општи циљ</a:t>
          </a:r>
          <a:endParaRPr lang="sr-Latn-RS" sz="1400" b="0">
            <a:solidFill>
              <a:sysClr val="windowText" lastClr="000000"/>
            </a:solidFill>
            <a:latin typeface="Times New Roman" panose="02020603050405020304" pitchFamily="18" charset="0"/>
            <a:cs typeface="Times New Roman" panose="02020603050405020304" pitchFamily="18" charset="0"/>
          </a:endParaRPr>
        </a:p>
        <a:p>
          <a:r>
            <a:rPr lang="sr-Cyrl-RS" sz="1400">
              <a:solidFill>
                <a:sysClr val="windowText" lastClr="000000"/>
              </a:solidFill>
              <a:latin typeface="Times New Roman" panose="02020603050405020304" pitchFamily="18" charset="0"/>
              <a:cs typeface="Times New Roman" panose="02020603050405020304" pitchFamily="18" charset="0"/>
            </a:rPr>
            <a:t>Смањење јаза и побољшање приступа спољном финансирању</a:t>
          </a:r>
          <a:r>
            <a:rPr lang="en-US" sz="1400">
              <a:solidFill>
                <a:sysClr val="windowText" lastClr="000000"/>
              </a:solidFill>
              <a:latin typeface="Times New Roman" panose="02020603050405020304" pitchFamily="18" charset="0"/>
              <a:cs typeface="Times New Roman" panose="02020603050405020304" pitchFamily="18" charset="0"/>
            </a:rPr>
            <a:t> </a:t>
          </a:r>
          <a:r>
            <a:rPr lang="sr-Cyrl-RS" sz="1400">
              <a:solidFill>
                <a:sysClr val="windowText" lastClr="000000"/>
              </a:solidFill>
              <a:latin typeface="Times New Roman" panose="02020603050405020304" pitchFamily="18" charset="0"/>
              <a:cs typeface="Times New Roman" panose="02020603050405020304" pitchFamily="18" charset="0"/>
            </a:rPr>
            <a:t>у области предузетништва</a:t>
          </a:r>
          <a:endParaRPr lang="sr-Latn-RS" sz="1400">
            <a:solidFill>
              <a:sysClr val="windowText" lastClr="000000"/>
            </a:solidFill>
            <a:latin typeface="Times New Roman" panose="02020603050405020304" pitchFamily="18" charset="0"/>
            <a:cs typeface="Times New Roman" panose="02020603050405020304" pitchFamily="18" charset="0"/>
          </a:endParaRPr>
        </a:p>
        <a:p>
          <a:endParaRPr lang="sr-Latn-RS" sz="1300">
            <a:solidFill>
              <a:sysClr val="windowText" lastClr="000000"/>
            </a:solidFill>
            <a:latin typeface="Arial" panose="020B0604020202020204" pitchFamily="34" charset="0"/>
            <a:cs typeface="Arial" panose="020B0604020202020204" pitchFamily="34" charset="0"/>
          </a:endParaRPr>
        </a:p>
      </dgm:t>
    </dgm:pt>
    <dgm:pt modelId="{A8F9F119-ADA6-4EEC-921F-692E957A1ECC}" type="parTrans" cxnId="{DD20BC49-7C02-42BC-A10A-E16DA924E008}">
      <dgm:prSet/>
      <dgm:spPr/>
      <dgm:t>
        <a:bodyPr/>
        <a:lstStyle/>
        <a:p>
          <a:endParaRPr lang="sr-Latn-RS"/>
        </a:p>
      </dgm:t>
    </dgm:pt>
    <dgm:pt modelId="{6C9D521A-35FC-4C62-94B1-EE7EBC3D3C15}" type="sibTrans" cxnId="{DD20BC49-7C02-42BC-A10A-E16DA924E008}">
      <dgm:prSet/>
      <dgm:spPr/>
      <dgm:t>
        <a:bodyPr/>
        <a:lstStyle/>
        <a:p>
          <a:endParaRPr lang="sr-Latn-RS"/>
        </a:p>
      </dgm:t>
    </dgm:pt>
    <dgm:pt modelId="{6582C0B0-51B6-4A53-9F3B-3974AF10C0DE}">
      <dgm:prSet phldrT="[Text]" custT="1"/>
      <dgm:spPr>
        <a:ln w="28575">
          <a:solidFill>
            <a:srgbClr val="FFE600"/>
          </a:solidFill>
        </a:ln>
      </dgm:spPr>
      <dgm:t>
        <a:bodyPr/>
        <a:lstStyle/>
        <a:p>
          <a:endParaRPr lang="sr-Cyrl-RS" sz="1300" b="1">
            <a:latin typeface="Arial" panose="020B0604020202020204" pitchFamily="34" charset="0"/>
            <a:cs typeface="Arial" panose="020B0604020202020204" pitchFamily="34" charset="0"/>
          </a:endParaRPr>
        </a:p>
        <a:p>
          <a:endParaRPr lang="sr-Cyrl-RS" sz="1300" b="1">
            <a:latin typeface="Arial" panose="020B0604020202020204" pitchFamily="34" charset="0"/>
            <a:cs typeface="Arial" panose="020B0604020202020204" pitchFamily="34" charset="0"/>
          </a:endParaRPr>
        </a:p>
        <a:p>
          <a:r>
            <a:rPr lang="sr-Cyrl-RS" sz="1400" b="0">
              <a:latin typeface="Times New Roman" panose="02020603050405020304" pitchFamily="18" charset="0"/>
              <a:cs typeface="Times New Roman" panose="02020603050405020304" pitchFamily="18" charset="0"/>
            </a:rPr>
            <a:t>Први посебни циљ</a:t>
          </a:r>
          <a:endParaRPr lang="sr-Latn-RS" sz="1400" b="0">
            <a:latin typeface="Times New Roman" panose="02020603050405020304" pitchFamily="18" charset="0"/>
            <a:cs typeface="Times New Roman" panose="02020603050405020304" pitchFamily="18" charset="0"/>
          </a:endParaRPr>
        </a:p>
        <a:p>
          <a:r>
            <a:rPr lang="sr-Cyrl-RS" sz="1400">
              <a:latin typeface="Times New Roman" panose="02020603050405020304" pitchFamily="18" charset="0"/>
              <a:cs typeface="Times New Roman" panose="02020603050405020304" pitchFamily="18" charset="0"/>
            </a:rPr>
            <a:t>Уклањање препрека и подизање свести о спољном финансирању</a:t>
          </a:r>
          <a:endParaRPr lang="sr-Latn-RS" sz="1400">
            <a:latin typeface="Times New Roman" panose="02020603050405020304" pitchFamily="18" charset="0"/>
            <a:cs typeface="Times New Roman" panose="02020603050405020304" pitchFamily="18" charset="0"/>
          </a:endParaRPr>
        </a:p>
        <a:p>
          <a:endParaRPr lang="sr-Latn-RS" sz="1300">
            <a:latin typeface="Arial" panose="020B0604020202020204" pitchFamily="34" charset="0"/>
            <a:cs typeface="Arial" panose="020B0604020202020204" pitchFamily="34" charset="0"/>
          </a:endParaRPr>
        </a:p>
        <a:p>
          <a:endParaRPr lang="sr-Latn-RS" sz="1300">
            <a:latin typeface="Arial" panose="020B0604020202020204" pitchFamily="34" charset="0"/>
            <a:cs typeface="Arial" panose="020B0604020202020204" pitchFamily="34" charset="0"/>
          </a:endParaRPr>
        </a:p>
      </dgm:t>
    </dgm:pt>
    <dgm:pt modelId="{0B8F6600-F7DA-40FD-9DFA-17D65560082C}" type="parTrans" cxnId="{A6BC81AE-1DA0-4E02-BF1E-24A9CA13173C}">
      <dgm:prSet/>
      <dgm:spPr>
        <a:ln>
          <a:solidFill>
            <a:schemeClr val="tx1"/>
          </a:solidFill>
        </a:ln>
      </dgm:spPr>
      <dgm:t>
        <a:bodyPr/>
        <a:lstStyle/>
        <a:p>
          <a:endParaRPr lang="sr-Latn-RS"/>
        </a:p>
      </dgm:t>
    </dgm:pt>
    <dgm:pt modelId="{094E1A7F-FE7C-471B-A2BE-8508B438E021}" type="sibTrans" cxnId="{A6BC81AE-1DA0-4E02-BF1E-24A9CA13173C}">
      <dgm:prSet/>
      <dgm:spPr/>
      <dgm:t>
        <a:bodyPr/>
        <a:lstStyle/>
        <a:p>
          <a:endParaRPr lang="sr-Latn-RS"/>
        </a:p>
      </dgm:t>
    </dgm:pt>
    <dgm:pt modelId="{00D202EE-E700-41E5-B705-B5FECA9C5D8A}">
      <dgm:prSet phldrT="[Text]" custT="1"/>
      <dgm:spPr>
        <a:ln w="28575">
          <a:solidFill>
            <a:srgbClr val="FFE600"/>
          </a:solidFill>
        </a:ln>
      </dgm:spPr>
      <dgm:t>
        <a:bodyPr/>
        <a:lstStyle/>
        <a:p>
          <a:r>
            <a:rPr lang="sr-Cyrl-RS" sz="1400" b="0">
              <a:latin typeface="Times New Roman" panose="02020603050405020304" pitchFamily="18" charset="0"/>
              <a:cs typeface="Times New Roman" panose="02020603050405020304" pitchFamily="18" charset="0"/>
            </a:rPr>
            <a:t>Други посебни циљ</a:t>
          </a:r>
        </a:p>
        <a:p>
          <a:r>
            <a:rPr lang="sr-Cyrl-RS" sz="1400" b="0">
              <a:latin typeface="Times New Roman" panose="02020603050405020304" pitchFamily="18" charset="0"/>
              <a:cs typeface="Times New Roman" panose="02020603050405020304" pitchFamily="18" charset="0"/>
            </a:rPr>
            <a:t>Унапређење институционалног оквира за развојно финансирање</a:t>
          </a:r>
          <a:endParaRPr lang="sr-Latn-RS" sz="1400" b="0">
            <a:latin typeface="Times New Roman" panose="02020603050405020304" pitchFamily="18" charset="0"/>
            <a:cs typeface="Times New Roman" panose="02020603050405020304" pitchFamily="18" charset="0"/>
          </a:endParaRPr>
        </a:p>
      </dgm:t>
    </dgm:pt>
    <dgm:pt modelId="{2CB265CD-83EF-4BA9-8F58-A1B14CB6604B}" type="parTrans" cxnId="{B4D2BBC5-1B32-4891-9E9D-239E4843CCC3}">
      <dgm:prSet/>
      <dgm:spPr>
        <a:ln>
          <a:solidFill>
            <a:schemeClr val="tx1"/>
          </a:solidFill>
        </a:ln>
      </dgm:spPr>
      <dgm:t>
        <a:bodyPr/>
        <a:lstStyle/>
        <a:p>
          <a:endParaRPr lang="sr-Latn-RS"/>
        </a:p>
      </dgm:t>
    </dgm:pt>
    <dgm:pt modelId="{EE580B97-8174-4402-85FC-106F1CD89234}" type="sibTrans" cxnId="{B4D2BBC5-1B32-4891-9E9D-239E4843CCC3}">
      <dgm:prSet/>
      <dgm:spPr/>
      <dgm:t>
        <a:bodyPr/>
        <a:lstStyle/>
        <a:p>
          <a:endParaRPr lang="sr-Latn-RS"/>
        </a:p>
      </dgm:t>
    </dgm:pt>
    <dgm:pt modelId="{B4565E6C-4FDE-467D-AA08-FCB9D16ACAA7}" type="pres">
      <dgm:prSet presAssocID="{EDF5A5E0-C063-4FFF-BA12-E2850F1E5118}" presName="diagram" presStyleCnt="0">
        <dgm:presLayoutVars>
          <dgm:chPref val="1"/>
          <dgm:dir/>
          <dgm:animOne val="branch"/>
          <dgm:animLvl val="lvl"/>
          <dgm:resizeHandles/>
        </dgm:presLayoutVars>
      </dgm:prSet>
      <dgm:spPr/>
    </dgm:pt>
    <dgm:pt modelId="{C9B0C2A0-43C1-437A-A161-2F2D7B6F3A29}" type="pres">
      <dgm:prSet presAssocID="{FFAAA889-D2ED-4534-BBD6-0F494EA1FFDC}" presName="root" presStyleCnt="0"/>
      <dgm:spPr/>
    </dgm:pt>
    <dgm:pt modelId="{343A3E43-A20E-4EB1-B080-886AD1169C98}" type="pres">
      <dgm:prSet presAssocID="{FFAAA889-D2ED-4534-BBD6-0F494EA1FFDC}" presName="rootComposite" presStyleCnt="0"/>
      <dgm:spPr/>
    </dgm:pt>
    <dgm:pt modelId="{7C7EDB01-8534-4497-ADAD-4437E698FA89}" type="pres">
      <dgm:prSet presAssocID="{FFAAA889-D2ED-4534-BBD6-0F494EA1FFDC}" presName="rootText" presStyleLbl="node1" presStyleIdx="0" presStyleCnt="1" custScaleX="332738" custScaleY="114748"/>
      <dgm:spPr/>
    </dgm:pt>
    <dgm:pt modelId="{4CD57D99-7A51-4213-8978-97A1CD1E95EA}" type="pres">
      <dgm:prSet presAssocID="{FFAAA889-D2ED-4534-BBD6-0F494EA1FFDC}" presName="rootConnector" presStyleLbl="node1" presStyleIdx="0" presStyleCnt="1"/>
      <dgm:spPr/>
    </dgm:pt>
    <dgm:pt modelId="{E8BF76F0-541C-4573-A315-C9430DCABF6E}" type="pres">
      <dgm:prSet presAssocID="{FFAAA889-D2ED-4534-BBD6-0F494EA1FFDC}" presName="childShape" presStyleCnt="0"/>
      <dgm:spPr/>
    </dgm:pt>
    <dgm:pt modelId="{1EF33890-5C34-4ECB-98B0-C004F4B214BA}" type="pres">
      <dgm:prSet presAssocID="{0B8F6600-F7DA-40FD-9DFA-17D65560082C}" presName="Name13" presStyleLbl="parChTrans1D2" presStyleIdx="0" presStyleCnt="2"/>
      <dgm:spPr/>
    </dgm:pt>
    <dgm:pt modelId="{48F1A9A2-E15D-4E15-ACA6-AD146823F1C3}" type="pres">
      <dgm:prSet presAssocID="{6582C0B0-51B6-4A53-9F3B-3974AF10C0DE}" presName="childText" presStyleLbl="bgAcc1" presStyleIdx="0" presStyleCnt="2" custScaleX="319022">
        <dgm:presLayoutVars>
          <dgm:bulletEnabled val="1"/>
        </dgm:presLayoutVars>
      </dgm:prSet>
      <dgm:spPr/>
    </dgm:pt>
    <dgm:pt modelId="{A08A755A-7587-4179-A57A-B9033C051321}" type="pres">
      <dgm:prSet presAssocID="{2CB265CD-83EF-4BA9-8F58-A1B14CB6604B}" presName="Name13" presStyleLbl="parChTrans1D2" presStyleIdx="1" presStyleCnt="2"/>
      <dgm:spPr/>
    </dgm:pt>
    <dgm:pt modelId="{E8B28E38-32E9-435E-8A88-305515532E2C}" type="pres">
      <dgm:prSet presAssocID="{00D202EE-E700-41E5-B705-B5FECA9C5D8A}" presName="childText" presStyleLbl="bgAcc1" presStyleIdx="1" presStyleCnt="2" custScaleX="319045">
        <dgm:presLayoutVars>
          <dgm:bulletEnabled val="1"/>
        </dgm:presLayoutVars>
      </dgm:prSet>
      <dgm:spPr/>
    </dgm:pt>
  </dgm:ptLst>
  <dgm:cxnLst>
    <dgm:cxn modelId="{07580B22-DEC7-499D-B3DF-13B8C22CBC76}" type="presOf" srcId="{6582C0B0-51B6-4A53-9F3B-3974AF10C0DE}" destId="{48F1A9A2-E15D-4E15-ACA6-AD146823F1C3}" srcOrd="0" destOrd="0" presId="urn:microsoft.com/office/officeart/2005/8/layout/hierarchy3"/>
    <dgm:cxn modelId="{EE6A6229-8866-4FBF-B76F-4865484A4F67}" type="presOf" srcId="{00D202EE-E700-41E5-B705-B5FECA9C5D8A}" destId="{E8B28E38-32E9-435E-8A88-305515532E2C}" srcOrd="0" destOrd="0" presId="urn:microsoft.com/office/officeart/2005/8/layout/hierarchy3"/>
    <dgm:cxn modelId="{DD20BC49-7C02-42BC-A10A-E16DA924E008}" srcId="{EDF5A5E0-C063-4FFF-BA12-E2850F1E5118}" destId="{FFAAA889-D2ED-4534-BBD6-0F494EA1FFDC}" srcOrd="0" destOrd="0" parTransId="{A8F9F119-ADA6-4EEC-921F-692E957A1ECC}" sibTransId="{6C9D521A-35FC-4C62-94B1-EE7EBC3D3C15}"/>
    <dgm:cxn modelId="{CE4A0A8C-15E9-4FD2-93C9-43BF0CE9DD04}" type="presOf" srcId="{2CB265CD-83EF-4BA9-8F58-A1B14CB6604B}" destId="{A08A755A-7587-4179-A57A-B9033C051321}" srcOrd="0" destOrd="0" presId="urn:microsoft.com/office/officeart/2005/8/layout/hierarchy3"/>
    <dgm:cxn modelId="{5DD00F93-5581-4884-AF8B-75C018CD2B51}" type="presOf" srcId="{EDF5A5E0-C063-4FFF-BA12-E2850F1E5118}" destId="{B4565E6C-4FDE-467D-AA08-FCB9D16ACAA7}" srcOrd="0" destOrd="0" presId="urn:microsoft.com/office/officeart/2005/8/layout/hierarchy3"/>
    <dgm:cxn modelId="{A6BC81AE-1DA0-4E02-BF1E-24A9CA13173C}" srcId="{FFAAA889-D2ED-4534-BBD6-0F494EA1FFDC}" destId="{6582C0B0-51B6-4A53-9F3B-3974AF10C0DE}" srcOrd="0" destOrd="0" parTransId="{0B8F6600-F7DA-40FD-9DFA-17D65560082C}" sibTransId="{094E1A7F-FE7C-471B-A2BE-8508B438E021}"/>
    <dgm:cxn modelId="{FAB4BAAF-1F5A-488D-92CE-A12D8CF4AD5D}" type="presOf" srcId="{FFAAA889-D2ED-4534-BBD6-0F494EA1FFDC}" destId="{7C7EDB01-8534-4497-ADAD-4437E698FA89}" srcOrd="0" destOrd="0" presId="urn:microsoft.com/office/officeart/2005/8/layout/hierarchy3"/>
    <dgm:cxn modelId="{B4D2BBC5-1B32-4891-9E9D-239E4843CCC3}" srcId="{FFAAA889-D2ED-4534-BBD6-0F494EA1FFDC}" destId="{00D202EE-E700-41E5-B705-B5FECA9C5D8A}" srcOrd="1" destOrd="0" parTransId="{2CB265CD-83EF-4BA9-8F58-A1B14CB6604B}" sibTransId="{EE580B97-8174-4402-85FC-106F1CD89234}"/>
    <dgm:cxn modelId="{B9C1BFDF-A838-4A4C-A032-5DD9DEBCE3AC}" type="presOf" srcId="{0B8F6600-F7DA-40FD-9DFA-17D65560082C}" destId="{1EF33890-5C34-4ECB-98B0-C004F4B214BA}" srcOrd="0" destOrd="0" presId="urn:microsoft.com/office/officeart/2005/8/layout/hierarchy3"/>
    <dgm:cxn modelId="{185EC9F0-8712-4402-B8B9-FF991F519B71}" type="presOf" srcId="{FFAAA889-D2ED-4534-BBD6-0F494EA1FFDC}" destId="{4CD57D99-7A51-4213-8978-97A1CD1E95EA}" srcOrd="1" destOrd="0" presId="urn:microsoft.com/office/officeart/2005/8/layout/hierarchy3"/>
    <dgm:cxn modelId="{F1ADB756-5AC1-4C90-89C8-0228631A85CB}" type="presParOf" srcId="{B4565E6C-4FDE-467D-AA08-FCB9D16ACAA7}" destId="{C9B0C2A0-43C1-437A-A161-2F2D7B6F3A29}" srcOrd="0" destOrd="0" presId="urn:microsoft.com/office/officeart/2005/8/layout/hierarchy3"/>
    <dgm:cxn modelId="{08320BEB-EF67-4174-9BF3-65AB7FCDCFFE}" type="presParOf" srcId="{C9B0C2A0-43C1-437A-A161-2F2D7B6F3A29}" destId="{343A3E43-A20E-4EB1-B080-886AD1169C98}" srcOrd="0" destOrd="0" presId="urn:microsoft.com/office/officeart/2005/8/layout/hierarchy3"/>
    <dgm:cxn modelId="{379F0528-24C5-47F8-A60F-4F4EE9FC4057}" type="presParOf" srcId="{343A3E43-A20E-4EB1-B080-886AD1169C98}" destId="{7C7EDB01-8534-4497-ADAD-4437E698FA89}" srcOrd="0" destOrd="0" presId="urn:microsoft.com/office/officeart/2005/8/layout/hierarchy3"/>
    <dgm:cxn modelId="{F6304E81-E727-4C96-A4F9-8DC5FDA863E4}" type="presParOf" srcId="{343A3E43-A20E-4EB1-B080-886AD1169C98}" destId="{4CD57D99-7A51-4213-8978-97A1CD1E95EA}" srcOrd="1" destOrd="0" presId="urn:microsoft.com/office/officeart/2005/8/layout/hierarchy3"/>
    <dgm:cxn modelId="{D6E9F760-D413-406C-B918-12538A8E58C4}" type="presParOf" srcId="{C9B0C2A0-43C1-437A-A161-2F2D7B6F3A29}" destId="{E8BF76F0-541C-4573-A315-C9430DCABF6E}" srcOrd="1" destOrd="0" presId="urn:microsoft.com/office/officeart/2005/8/layout/hierarchy3"/>
    <dgm:cxn modelId="{E53C597E-CDDC-438C-A533-3C064B052BB0}" type="presParOf" srcId="{E8BF76F0-541C-4573-A315-C9430DCABF6E}" destId="{1EF33890-5C34-4ECB-98B0-C004F4B214BA}" srcOrd="0" destOrd="0" presId="urn:microsoft.com/office/officeart/2005/8/layout/hierarchy3"/>
    <dgm:cxn modelId="{AE273D28-93E0-40AE-AD58-54C7F2F2F033}" type="presParOf" srcId="{E8BF76F0-541C-4573-A315-C9430DCABF6E}" destId="{48F1A9A2-E15D-4E15-ACA6-AD146823F1C3}" srcOrd="1" destOrd="0" presId="urn:microsoft.com/office/officeart/2005/8/layout/hierarchy3"/>
    <dgm:cxn modelId="{8C27792E-E136-4624-97F2-AAA8C320D2E1}" type="presParOf" srcId="{E8BF76F0-541C-4573-A315-C9430DCABF6E}" destId="{A08A755A-7587-4179-A57A-B9033C051321}" srcOrd="2" destOrd="0" presId="urn:microsoft.com/office/officeart/2005/8/layout/hierarchy3"/>
    <dgm:cxn modelId="{54EE42C0-B5DC-4448-8B6B-1264C790296D}" type="presParOf" srcId="{E8BF76F0-541C-4573-A315-C9430DCABF6E}" destId="{E8B28E38-32E9-435E-8A88-305515532E2C}" srcOrd="3" destOrd="0" presId="urn:microsoft.com/office/officeart/2005/8/layout/hierarchy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7EDB01-8534-4497-ADAD-4437E698FA89}">
      <dsp:nvSpPr>
        <dsp:cNvPr id="0" name=""/>
        <dsp:cNvSpPr/>
      </dsp:nvSpPr>
      <dsp:spPr>
        <a:xfrm>
          <a:off x="547615" y="416"/>
          <a:ext cx="4977908" cy="858340"/>
        </a:xfrm>
        <a:prstGeom prst="roundRect">
          <a:avLst>
            <a:gd name="adj" fmla="val 10000"/>
          </a:avLst>
        </a:prstGeom>
        <a:solidFill>
          <a:srgbClr val="FFE6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endParaRPr lang="sr-Cyrl-RS" sz="1300" b="1" kern="1200">
            <a:solidFill>
              <a:sysClr val="windowText" lastClr="000000"/>
            </a:solidFill>
            <a:latin typeface="Arial" panose="020B0604020202020204" pitchFamily="34" charset="0"/>
            <a:cs typeface="Arial" panose="020B0604020202020204" pitchFamily="34" charset="0"/>
          </a:endParaRPr>
        </a:p>
        <a:p>
          <a:pPr marL="0" lvl="0" indent="0" algn="ctr" defTabSz="577850">
            <a:lnSpc>
              <a:spcPct val="90000"/>
            </a:lnSpc>
            <a:spcBef>
              <a:spcPct val="0"/>
            </a:spcBef>
            <a:spcAft>
              <a:spcPct val="35000"/>
            </a:spcAft>
            <a:buNone/>
          </a:pPr>
          <a:r>
            <a:rPr lang="sr-Cyrl-RS" sz="1400" b="0" kern="1200">
              <a:solidFill>
                <a:sysClr val="windowText" lastClr="000000"/>
              </a:solidFill>
              <a:latin typeface="Times New Roman" panose="02020603050405020304" pitchFamily="18" charset="0"/>
              <a:cs typeface="Times New Roman" panose="02020603050405020304" pitchFamily="18" charset="0"/>
            </a:rPr>
            <a:t>Општи циљ</a:t>
          </a:r>
          <a:endParaRPr lang="sr-Latn-RS" sz="1400" b="0" kern="1200">
            <a:solidFill>
              <a:sysClr val="windowText" lastClr="000000"/>
            </a:solidFill>
            <a:latin typeface="Times New Roman" panose="02020603050405020304" pitchFamily="18" charset="0"/>
            <a:cs typeface="Times New Roman" panose="02020603050405020304" pitchFamily="18" charset="0"/>
          </a:endParaRPr>
        </a:p>
        <a:p>
          <a:pPr marL="0" lvl="0" indent="0" algn="ctr" defTabSz="577850">
            <a:lnSpc>
              <a:spcPct val="90000"/>
            </a:lnSpc>
            <a:spcBef>
              <a:spcPct val="0"/>
            </a:spcBef>
            <a:spcAft>
              <a:spcPct val="35000"/>
            </a:spcAft>
            <a:buNone/>
          </a:pPr>
          <a:r>
            <a:rPr lang="sr-Cyrl-RS" sz="1400" kern="1200">
              <a:solidFill>
                <a:sysClr val="windowText" lastClr="000000"/>
              </a:solidFill>
              <a:latin typeface="Times New Roman" panose="02020603050405020304" pitchFamily="18" charset="0"/>
              <a:cs typeface="Times New Roman" panose="02020603050405020304" pitchFamily="18" charset="0"/>
            </a:rPr>
            <a:t>Смањење јаза и побољшање приступа спољном финансирању</a:t>
          </a:r>
          <a:r>
            <a:rPr lang="en-US" sz="1400" kern="1200">
              <a:solidFill>
                <a:sysClr val="windowText" lastClr="000000"/>
              </a:solidFill>
              <a:latin typeface="Times New Roman" panose="02020603050405020304" pitchFamily="18" charset="0"/>
              <a:cs typeface="Times New Roman" panose="02020603050405020304" pitchFamily="18" charset="0"/>
            </a:rPr>
            <a:t> </a:t>
          </a:r>
          <a:r>
            <a:rPr lang="sr-Cyrl-RS" sz="1400" kern="1200">
              <a:solidFill>
                <a:sysClr val="windowText" lastClr="000000"/>
              </a:solidFill>
              <a:latin typeface="Times New Roman" panose="02020603050405020304" pitchFamily="18" charset="0"/>
              <a:cs typeface="Times New Roman" panose="02020603050405020304" pitchFamily="18" charset="0"/>
            </a:rPr>
            <a:t>у области предузетништва</a:t>
          </a:r>
          <a:endParaRPr lang="sr-Latn-RS" sz="1400" kern="1200">
            <a:solidFill>
              <a:sysClr val="windowText" lastClr="000000"/>
            </a:solidFill>
            <a:latin typeface="Times New Roman" panose="02020603050405020304" pitchFamily="18" charset="0"/>
            <a:cs typeface="Times New Roman" panose="02020603050405020304" pitchFamily="18" charset="0"/>
          </a:endParaRPr>
        </a:p>
        <a:p>
          <a:pPr marL="0" lvl="0" indent="0" algn="ctr" defTabSz="577850">
            <a:lnSpc>
              <a:spcPct val="90000"/>
            </a:lnSpc>
            <a:spcBef>
              <a:spcPct val="0"/>
            </a:spcBef>
            <a:spcAft>
              <a:spcPct val="35000"/>
            </a:spcAft>
            <a:buNone/>
          </a:pPr>
          <a:endParaRPr lang="sr-Latn-RS" sz="1300" kern="1200">
            <a:solidFill>
              <a:sysClr val="windowText" lastClr="000000"/>
            </a:solidFill>
            <a:latin typeface="Arial" panose="020B0604020202020204" pitchFamily="34" charset="0"/>
            <a:cs typeface="Arial" panose="020B0604020202020204" pitchFamily="34" charset="0"/>
          </a:endParaRPr>
        </a:p>
      </dsp:txBody>
      <dsp:txXfrm>
        <a:off x="572755" y="25556"/>
        <a:ext cx="4927628" cy="808060"/>
      </dsp:txXfrm>
    </dsp:sp>
    <dsp:sp modelId="{1EF33890-5C34-4ECB-98B0-C004F4B214BA}">
      <dsp:nvSpPr>
        <dsp:cNvPr id="0" name=""/>
        <dsp:cNvSpPr/>
      </dsp:nvSpPr>
      <dsp:spPr>
        <a:xfrm>
          <a:off x="1045406" y="858757"/>
          <a:ext cx="497790" cy="561016"/>
        </a:xfrm>
        <a:custGeom>
          <a:avLst/>
          <a:gdLst/>
          <a:ahLst/>
          <a:cxnLst/>
          <a:rect l="0" t="0" r="0" b="0"/>
          <a:pathLst>
            <a:path>
              <a:moveTo>
                <a:pt x="0" y="0"/>
              </a:moveTo>
              <a:lnTo>
                <a:pt x="0" y="561016"/>
              </a:lnTo>
              <a:lnTo>
                <a:pt x="497790" y="561016"/>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48F1A9A2-E15D-4E15-ACA6-AD146823F1C3}">
      <dsp:nvSpPr>
        <dsp:cNvPr id="0" name=""/>
        <dsp:cNvSpPr/>
      </dsp:nvSpPr>
      <dsp:spPr>
        <a:xfrm>
          <a:off x="1543197" y="1045763"/>
          <a:ext cx="3818168" cy="748022"/>
        </a:xfrm>
        <a:prstGeom prst="roundRect">
          <a:avLst>
            <a:gd name="adj" fmla="val 10000"/>
          </a:avLst>
        </a:prstGeom>
        <a:solidFill>
          <a:schemeClr val="lt1">
            <a:alpha val="90000"/>
            <a:hueOff val="0"/>
            <a:satOff val="0"/>
            <a:lumOff val="0"/>
            <a:alphaOff val="0"/>
          </a:schemeClr>
        </a:solidFill>
        <a:ln w="28575" cap="flat" cmpd="sng" algn="ctr">
          <a:solidFill>
            <a:srgbClr val="FFE60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endParaRPr lang="sr-Cyrl-RS" sz="1300" b="1" kern="1200">
            <a:latin typeface="Arial" panose="020B0604020202020204" pitchFamily="34" charset="0"/>
            <a:cs typeface="Arial" panose="020B0604020202020204" pitchFamily="34" charset="0"/>
          </a:endParaRPr>
        </a:p>
        <a:p>
          <a:pPr marL="0" lvl="0" indent="0" algn="ctr" defTabSz="577850">
            <a:lnSpc>
              <a:spcPct val="90000"/>
            </a:lnSpc>
            <a:spcBef>
              <a:spcPct val="0"/>
            </a:spcBef>
            <a:spcAft>
              <a:spcPct val="35000"/>
            </a:spcAft>
            <a:buNone/>
          </a:pPr>
          <a:endParaRPr lang="sr-Cyrl-RS" sz="1300" b="1" kern="1200">
            <a:latin typeface="Arial" panose="020B0604020202020204" pitchFamily="34" charset="0"/>
            <a:cs typeface="Arial" panose="020B0604020202020204" pitchFamily="34" charset="0"/>
          </a:endParaRPr>
        </a:p>
        <a:p>
          <a:pPr marL="0" lvl="0" indent="0" algn="ctr" defTabSz="577850">
            <a:lnSpc>
              <a:spcPct val="90000"/>
            </a:lnSpc>
            <a:spcBef>
              <a:spcPct val="0"/>
            </a:spcBef>
            <a:spcAft>
              <a:spcPct val="35000"/>
            </a:spcAft>
            <a:buNone/>
          </a:pPr>
          <a:r>
            <a:rPr lang="sr-Cyrl-RS" sz="1400" b="0" kern="1200">
              <a:latin typeface="Times New Roman" panose="02020603050405020304" pitchFamily="18" charset="0"/>
              <a:cs typeface="Times New Roman" panose="02020603050405020304" pitchFamily="18" charset="0"/>
            </a:rPr>
            <a:t>Први посебни циљ</a:t>
          </a:r>
          <a:endParaRPr lang="sr-Latn-RS" sz="1400" b="0" kern="1200">
            <a:latin typeface="Times New Roman" panose="02020603050405020304" pitchFamily="18" charset="0"/>
            <a:cs typeface="Times New Roman" panose="02020603050405020304" pitchFamily="18" charset="0"/>
          </a:endParaRPr>
        </a:p>
        <a:p>
          <a:pPr marL="0" lvl="0" indent="0" algn="ctr" defTabSz="577850">
            <a:lnSpc>
              <a:spcPct val="90000"/>
            </a:lnSpc>
            <a:spcBef>
              <a:spcPct val="0"/>
            </a:spcBef>
            <a:spcAft>
              <a:spcPct val="35000"/>
            </a:spcAft>
            <a:buNone/>
          </a:pPr>
          <a:r>
            <a:rPr lang="sr-Cyrl-RS" sz="1400" kern="1200">
              <a:latin typeface="Times New Roman" panose="02020603050405020304" pitchFamily="18" charset="0"/>
              <a:cs typeface="Times New Roman" panose="02020603050405020304" pitchFamily="18" charset="0"/>
            </a:rPr>
            <a:t>Уклањање препрека и подизање свести о спољном финансирању</a:t>
          </a:r>
          <a:endParaRPr lang="sr-Latn-RS" sz="1400" kern="1200">
            <a:latin typeface="Times New Roman" panose="02020603050405020304" pitchFamily="18" charset="0"/>
            <a:cs typeface="Times New Roman" panose="02020603050405020304" pitchFamily="18" charset="0"/>
          </a:endParaRPr>
        </a:p>
        <a:p>
          <a:pPr marL="0" lvl="0" indent="0" algn="ctr" defTabSz="577850">
            <a:lnSpc>
              <a:spcPct val="90000"/>
            </a:lnSpc>
            <a:spcBef>
              <a:spcPct val="0"/>
            </a:spcBef>
            <a:spcAft>
              <a:spcPct val="35000"/>
            </a:spcAft>
            <a:buNone/>
          </a:pPr>
          <a:endParaRPr lang="sr-Latn-RS" sz="1300" kern="1200">
            <a:latin typeface="Arial" panose="020B0604020202020204" pitchFamily="34" charset="0"/>
            <a:cs typeface="Arial" panose="020B0604020202020204" pitchFamily="34" charset="0"/>
          </a:endParaRPr>
        </a:p>
        <a:p>
          <a:pPr marL="0" lvl="0" indent="0" algn="ctr" defTabSz="577850">
            <a:lnSpc>
              <a:spcPct val="90000"/>
            </a:lnSpc>
            <a:spcBef>
              <a:spcPct val="0"/>
            </a:spcBef>
            <a:spcAft>
              <a:spcPct val="35000"/>
            </a:spcAft>
            <a:buNone/>
          </a:pPr>
          <a:endParaRPr lang="sr-Latn-RS" sz="1300" kern="1200">
            <a:latin typeface="Arial" panose="020B0604020202020204" pitchFamily="34" charset="0"/>
            <a:cs typeface="Arial" panose="020B0604020202020204" pitchFamily="34" charset="0"/>
          </a:endParaRPr>
        </a:p>
      </dsp:txBody>
      <dsp:txXfrm>
        <a:off x="1565106" y="1067672"/>
        <a:ext cx="3774350" cy="704204"/>
      </dsp:txXfrm>
    </dsp:sp>
    <dsp:sp modelId="{A08A755A-7587-4179-A57A-B9033C051321}">
      <dsp:nvSpPr>
        <dsp:cNvPr id="0" name=""/>
        <dsp:cNvSpPr/>
      </dsp:nvSpPr>
      <dsp:spPr>
        <a:xfrm>
          <a:off x="1045406" y="858757"/>
          <a:ext cx="497790" cy="1496044"/>
        </a:xfrm>
        <a:custGeom>
          <a:avLst/>
          <a:gdLst/>
          <a:ahLst/>
          <a:cxnLst/>
          <a:rect l="0" t="0" r="0" b="0"/>
          <a:pathLst>
            <a:path>
              <a:moveTo>
                <a:pt x="0" y="0"/>
              </a:moveTo>
              <a:lnTo>
                <a:pt x="0" y="1496044"/>
              </a:lnTo>
              <a:lnTo>
                <a:pt x="497790" y="1496044"/>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E8B28E38-32E9-435E-8A88-305515532E2C}">
      <dsp:nvSpPr>
        <dsp:cNvPr id="0" name=""/>
        <dsp:cNvSpPr/>
      </dsp:nvSpPr>
      <dsp:spPr>
        <a:xfrm>
          <a:off x="1543197" y="1980790"/>
          <a:ext cx="3818444" cy="748022"/>
        </a:xfrm>
        <a:prstGeom prst="roundRect">
          <a:avLst>
            <a:gd name="adj" fmla="val 10000"/>
          </a:avLst>
        </a:prstGeom>
        <a:solidFill>
          <a:schemeClr val="lt1">
            <a:alpha val="90000"/>
            <a:hueOff val="0"/>
            <a:satOff val="0"/>
            <a:lumOff val="0"/>
            <a:alphaOff val="0"/>
          </a:schemeClr>
        </a:solidFill>
        <a:ln w="28575" cap="flat" cmpd="sng" algn="ctr">
          <a:solidFill>
            <a:srgbClr val="FFE60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sr-Cyrl-RS" sz="1400" b="0" kern="1200">
              <a:latin typeface="Times New Roman" panose="02020603050405020304" pitchFamily="18" charset="0"/>
              <a:cs typeface="Times New Roman" panose="02020603050405020304" pitchFamily="18" charset="0"/>
            </a:rPr>
            <a:t>Други посебни циљ</a:t>
          </a:r>
        </a:p>
        <a:p>
          <a:pPr marL="0" lvl="0" indent="0" algn="ctr" defTabSz="622300">
            <a:lnSpc>
              <a:spcPct val="90000"/>
            </a:lnSpc>
            <a:spcBef>
              <a:spcPct val="0"/>
            </a:spcBef>
            <a:spcAft>
              <a:spcPct val="35000"/>
            </a:spcAft>
            <a:buNone/>
          </a:pPr>
          <a:r>
            <a:rPr lang="sr-Cyrl-RS" sz="1400" b="0" kern="1200">
              <a:latin typeface="Times New Roman" panose="02020603050405020304" pitchFamily="18" charset="0"/>
              <a:cs typeface="Times New Roman" panose="02020603050405020304" pitchFamily="18" charset="0"/>
            </a:rPr>
            <a:t>Унапређење институционалног оквира за развојно финансирање</a:t>
          </a:r>
          <a:endParaRPr lang="sr-Latn-RS" sz="1400" b="0" kern="1200">
            <a:latin typeface="Times New Roman" panose="02020603050405020304" pitchFamily="18" charset="0"/>
            <a:cs typeface="Times New Roman" panose="02020603050405020304" pitchFamily="18" charset="0"/>
          </a:endParaRPr>
        </a:p>
      </dsp:txBody>
      <dsp:txXfrm>
        <a:off x="1565106" y="2002699"/>
        <a:ext cx="3774626" cy="70420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E768A-BA48-4F63-B79B-6FA319901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8037</Words>
  <Characters>45814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Maksic</dc:creator>
  <cp:keywords/>
  <dc:description/>
  <cp:lastModifiedBy>Bojan Grgić</cp:lastModifiedBy>
  <cp:revision>2</cp:revision>
  <cp:lastPrinted>2022-12-23T13:03:00Z</cp:lastPrinted>
  <dcterms:created xsi:type="dcterms:W3CDTF">2022-12-23T14:23:00Z</dcterms:created>
  <dcterms:modified xsi:type="dcterms:W3CDTF">2022-12-23T14:23:00Z</dcterms:modified>
</cp:coreProperties>
</file>