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8BE936" w14:textId="68A53980" w:rsidR="00B43F74" w:rsidRPr="00914E0B" w:rsidRDefault="00BB076B" w:rsidP="00B22D09">
      <w:pPr>
        <w:spacing w:after="120"/>
        <w:jc w:val="center"/>
        <w:rPr>
          <w:rFonts w:ascii="Times New Roman" w:hAnsi="Times New Roman" w:cs="Times New Roman"/>
          <w:b/>
          <w:color w:val="000000"/>
          <w:sz w:val="24"/>
          <w:szCs w:val="24"/>
          <w:lang w:val="sr-Cyrl-CS"/>
        </w:rPr>
      </w:pPr>
      <w:r>
        <w:rPr>
          <w:rFonts w:ascii="Times New Roman" w:hAnsi="Times New Roman" w:cs="Times New Roman"/>
          <w:b/>
          <w:color w:val="000000"/>
          <w:sz w:val="24"/>
          <w:szCs w:val="24"/>
        </w:rPr>
        <w:t>V</w:t>
      </w:r>
      <w:r w:rsidR="00C91B20">
        <w:rPr>
          <w:rFonts w:ascii="Times New Roman" w:hAnsi="Times New Roman" w:cs="Times New Roman"/>
          <w:b/>
          <w:color w:val="000000"/>
          <w:sz w:val="24"/>
          <w:szCs w:val="24"/>
        </w:rPr>
        <w:t>I</w:t>
      </w:r>
      <w:r>
        <w:rPr>
          <w:rFonts w:ascii="Times New Roman" w:hAnsi="Times New Roman" w:cs="Times New Roman"/>
          <w:b/>
          <w:color w:val="000000"/>
          <w:sz w:val="24"/>
          <w:szCs w:val="24"/>
        </w:rPr>
        <w:t xml:space="preserve">. </w:t>
      </w:r>
      <w:r w:rsidRPr="00914E0B">
        <w:rPr>
          <w:rFonts w:ascii="Times New Roman" w:hAnsi="Times New Roman" w:cs="Times New Roman"/>
          <w:b/>
          <w:color w:val="000000"/>
          <w:sz w:val="24"/>
          <w:szCs w:val="24"/>
          <w:lang w:val="sr-Cyrl-CS"/>
        </w:rPr>
        <w:t>АНАЛИЗА ЕФЕКАТА ПРОПИСА</w:t>
      </w:r>
    </w:p>
    <w:p w14:paraId="6DED8CB9" w14:textId="22F9440C" w:rsidR="00B43F74" w:rsidRPr="00914E0B" w:rsidRDefault="004E3668" w:rsidP="004E3668">
      <w:pPr>
        <w:spacing w:after="120"/>
        <w:jc w:val="right"/>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ПРИЛОГ 2:</w:t>
      </w:r>
    </w:p>
    <w:p w14:paraId="47B94BF2" w14:textId="647EC236"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постојећег стања и правилно дефинисање промене која се предлаже</w:t>
      </w:r>
    </w:p>
    <w:p w14:paraId="1035CCAB" w14:textId="41C81CEF" w:rsidR="007238A5" w:rsidRPr="00914E0B" w:rsidRDefault="00B22D09"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1) Који показатељи се прате у области, који су разлози због којих се ови показатељи прате и које су њихове вредности?</w:t>
      </w:r>
    </w:p>
    <w:p w14:paraId="63273D48" w14:textId="73371F78"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Показатељи који се прате у овој области су:</w:t>
      </w:r>
    </w:p>
    <w:p w14:paraId="24BF4278" w14:textId="5865C371" w:rsidR="0073555A" w:rsidRPr="00914E0B" w:rsidRDefault="0073555A" w:rsidP="0073555A">
      <w:pPr>
        <w:spacing w:after="150"/>
        <w:jc w:val="both"/>
        <w:rPr>
          <w:rFonts w:ascii="Times New Roman" w:hAnsi="Times New Roman" w:cs="Times New Roman"/>
          <w:color w:val="000000"/>
          <w:sz w:val="24"/>
          <w:szCs w:val="24"/>
          <w:lang w:val="sr-Cyrl-CS"/>
        </w:rPr>
      </w:pPr>
    </w:p>
    <w:p w14:paraId="5307BBB0" w14:textId="11C90975"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број покренутих прекршајних поступака,</w:t>
      </w:r>
    </w:p>
    <w:p w14:paraId="7DF90231" w14:textId="76969544"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број издатих прекршајних налога,</w:t>
      </w:r>
    </w:p>
    <w:p w14:paraId="3651E163" w14:textId="53D60709"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износ наплаћених потраживања у прекршајном поступку.</w:t>
      </w:r>
    </w:p>
    <w:p w14:paraId="54D8BC89" w14:textId="19C5AC90" w:rsidR="0073555A" w:rsidRPr="00914E0B" w:rsidRDefault="0073555A" w:rsidP="0073555A">
      <w:pPr>
        <w:spacing w:after="150"/>
        <w:jc w:val="both"/>
        <w:rPr>
          <w:rFonts w:ascii="Times New Roman" w:hAnsi="Times New Roman" w:cs="Times New Roman"/>
          <w:color w:val="000000"/>
          <w:sz w:val="24"/>
          <w:szCs w:val="24"/>
          <w:lang w:val="sr-Cyrl-CS"/>
        </w:rPr>
      </w:pPr>
    </w:p>
    <w:p w14:paraId="4F79CD27" w14:textId="26C5C0EC"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С тим у вези, у наредној табели се могу видети вредности ових показатеља у претходном периоду: </w:t>
      </w:r>
    </w:p>
    <w:p w14:paraId="639D25F1" w14:textId="77777777" w:rsidR="0073555A" w:rsidRPr="00914E0B" w:rsidRDefault="007238A5" w:rsidP="007238A5">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 </w:t>
      </w:r>
    </w:p>
    <w:tbl>
      <w:tblPr>
        <w:tblStyle w:val="TableGrid"/>
        <w:tblW w:w="0" w:type="auto"/>
        <w:tblLook w:val="04A0" w:firstRow="1" w:lastRow="0" w:firstColumn="1" w:lastColumn="0" w:noHBand="0" w:noVBand="1"/>
      </w:tblPr>
      <w:tblGrid>
        <w:gridCol w:w="2339"/>
        <w:gridCol w:w="2337"/>
        <w:gridCol w:w="2337"/>
        <w:gridCol w:w="2337"/>
      </w:tblGrid>
      <w:tr w:rsidR="0073555A" w:rsidRPr="00914E0B" w14:paraId="56A13A7D" w14:textId="77777777" w:rsidTr="00250DA4">
        <w:tc>
          <w:tcPr>
            <w:tcW w:w="2349" w:type="dxa"/>
          </w:tcPr>
          <w:p w14:paraId="1EC56E50" w14:textId="77777777" w:rsidR="0073555A" w:rsidRPr="00914E0B" w:rsidRDefault="0073555A" w:rsidP="0073555A">
            <w:pPr>
              <w:spacing w:after="150"/>
              <w:jc w:val="both"/>
              <w:rPr>
                <w:rFonts w:ascii="Times New Roman" w:hAnsi="Times New Roman" w:cs="Times New Roman"/>
                <w:sz w:val="24"/>
                <w:szCs w:val="24"/>
                <w:lang w:val="sr-Cyrl-CS"/>
              </w:rPr>
            </w:pPr>
          </w:p>
        </w:tc>
        <w:tc>
          <w:tcPr>
            <w:tcW w:w="2349" w:type="dxa"/>
          </w:tcPr>
          <w:p w14:paraId="1725ABC9"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2020</w:t>
            </w:r>
          </w:p>
        </w:tc>
        <w:tc>
          <w:tcPr>
            <w:tcW w:w="2349" w:type="dxa"/>
          </w:tcPr>
          <w:p w14:paraId="1B3C04C1"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2021</w:t>
            </w:r>
          </w:p>
        </w:tc>
        <w:tc>
          <w:tcPr>
            <w:tcW w:w="2349" w:type="dxa"/>
          </w:tcPr>
          <w:p w14:paraId="688F2592"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до септембра 2022</w:t>
            </w:r>
          </w:p>
        </w:tc>
      </w:tr>
      <w:tr w:rsidR="0073555A" w:rsidRPr="00914E0B" w14:paraId="0A103F5D" w14:textId="77777777" w:rsidTr="00250DA4">
        <w:tc>
          <w:tcPr>
            <w:tcW w:w="2349" w:type="dxa"/>
          </w:tcPr>
          <w:p w14:paraId="024DAF32"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Прекршајни поступак – примљено захтева</w:t>
            </w:r>
          </w:p>
        </w:tc>
        <w:tc>
          <w:tcPr>
            <w:tcW w:w="2349" w:type="dxa"/>
          </w:tcPr>
          <w:p w14:paraId="7946C636"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2820</w:t>
            </w:r>
          </w:p>
        </w:tc>
        <w:tc>
          <w:tcPr>
            <w:tcW w:w="2349" w:type="dxa"/>
          </w:tcPr>
          <w:p w14:paraId="2B2EF68A"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2442</w:t>
            </w:r>
          </w:p>
        </w:tc>
        <w:tc>
          <w:tcPr>
            <w:tcW w:w="2349" w:type="dxa"/>
          </w:tcPr>
          <w:p w14:paraId="43B4CC59"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1776</w:t>
            </w:r>
          </w:p>
        </w:tc>
      </w:tr>
      <w:tr w:rsidR="0073555A" w:rsidRPr="00914E0B" w14:paraId="3BFC18BD" w14:textId="77777777" w:rsidTr="00250DA4">
        <w:tc>
          <w:tcPr>
            <w:tcW w:w="2349" w:type="dxa"/>
          </w:tcPr>
          <w:p w14:paraId="2C5B7BC6"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Примљено прекршајних налога</w:t>
            </w:r>
          </w:p>
        </w:tc>
        <w:tc>
          <w:tcPr>
            <w:tcW w:w="2349" w:type="dxa"/>
          </w:tcPr>
          <w:p w14:paraId="4CA81C1E"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941</w:t>
            </w:r>
          </w:p>
        </w:tc>
        <w:tc>
          <w:tcPr>
            <w:tcW w:w="2349" w:type="dxa"/>
          </w:tcPr>
          <w:p w14:paraId="684B85C9"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1372</w:t>
            </w:r>
          </w:p>
        </w:tc>
        <w:tc>
          <w:tcPr>
            <w:tcW w:w="2349" w:type="dxa"/>
          </w:tcPr>
          <w:p w14:paraId="34585686"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682</w:t>
            </w:r>
          </w:p>
        </w:tc>
      </w:tr>
      <w:tr w:rsidR="0073555A" w:rsidRPr="00914E0B" w14:paraId="7473D8D5" w14:textId="77777777" w:rsidTr="00250DA4">
        <w:tc>
          <w:tcPr>
            <w:tcW w:w="2349" w:type="dxa"/>
          </w:tcPr>
          <w:p w14:paraId="514DDE21"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Наплаћена потраживања у прекршајном поступку у динарима</w:t>
            </w:r>
          </w:p>
        </w:tc>
        <w:tc>
          <w:tcPr>
            <w:tcW w:w="2349" w:type="dxa"/>
          </w:tcPr>
          <w:p w14:paraId="334F7F2A"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3.684.651,38</w:t>
            </w:r>
          </w:p>
        </w:tc>
        <w:tc>
          <w:tcPr>
            <w:tcW w:w="2349" w:type="dxa"/>
          </w:tcPr>
          <w:p w14:paraId="0BCE4CAC"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3.041.912,05</w:t>
            </w:r>
          </w:p>
        </w:tc>
        <w:tc>
          <w:tcPr>
            <w:tcW w:w="2349" w:type="dxa"/>
          </w:tcPr>
          <w:p w14:paraId="046010DE" w14:textId="77777777" w:rsidR="0073555A" w:rsidRPr="00914E0B" w:rsidRDefault="0073555A" w:rsidP="0073555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5.275.818,54</w:t>
            </w:r>
          </w:p>
        </w:tc>
      </w:tr>
    </w:tbl>
    <w:p w14:paraId="2AA35051" w14:textId="27723662" w:rsidR="00B22D09" w:rsidRPr="00914E0B" w:rsidRDefault="00B22D09" w:rsidP="007238A5">
      <w:pPr>
        <w:spacing w:after="150"/>
        <w:jc w:val="both"/>
        <w:rPr>
          <w:rFonts w:ascii="Times New Roman" w:hAnsi="Times New Roman" w:cs="Times New Roman"/>
          <w:sz w:val="24"/>
          <w:szCs w:val="24"/>
          <w:lang w:val="sr-Cyrl-CS"/>
        </w:rPr>
      </w:pPr>
    </w:p>
    <w:p w14:paraId="564CFF41" w14:textId="47CBB1EE"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2) Да ли се у предметној области спроводи или се спроводио документ јавне политике или пропис? Представити резултате спровођења тог документа јавне политике или прописа и образложити због чега добијени резултати нису у складу са планираним вредностима.</w:t>
      </w:r>
    </w:p>
    <w:p w14:paraId="5D483064" w14:textId="771CDAE3" w:rsidR="0019756B" w:rsidRPr="00914E0B" w:rsidRDefault="00B454A7" w:rsidP="0019756B">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Kонкретно у делу којим се врше измене </w:t>
      </w:r>
      <w:r w:rsidR="00045FEB" w:rsidRPr="00914E0B">
        <w:rPr>
          <w:rFonts w:ascii="Times New Roman" w:hAnsi="Times New Roman" w:cs="Times New Roman"/>
          <w:color w:val="000000"/>
          <w:sz w:val="24"/>
          <w:szCs w:val="24"/>
          <w:lang w:val="sr-Cyrl-CS"/>
        </w:rPr>
        <w:t>Царинског закона („Сл</w:t>
      </w:r>
      <w:r w:rsidR="00A230F6" w:rsidRPr="00914E0B">
        <w:rPr>
          <w:rFonts w:ascii="Times New Roman" w:hAnsi="Times New Roman" w:cs="Times New Roman"/>
          <w:color w:val="000000"/>
          <w:sz w:val="24"/>
          <w:szCs w:val="24"/>
          <w:lang w:val="sr-Cyrl-CS"/>
        </w:rPr>
        <w:t xml:space="preserve">ужбени гласник РС”, бр. </w:t>
      </w:r>
      <w:r w:rsidR="00B65390" w:rsidRPr="00914E0B">
        <w:rPr>
          <w:rFonts w:ascii="Times New Roman" w:hAnsi="Times New Roman" w:cs="Times New Roman"/>
          <w:color w:val="000000"/>
          <w:sz w:val="24"/>
          <w:szCs w:val="24"/>
          <w:lang w:val="sr-Cyrl-CS"/>
        </w:rPr>
        <w:t>95/18,</w:t>
      </w:r>
      <w:r w:rsidR="00045FEB" w:rsidRPr="00914E0B">
        <w:rPr>
          <w:rFonts w:ascii="Times New Roman" w:hAnsi="Times New Roman" w:cs="Times New Roman"/>
          <w:color w:val="000000"/>
          <w:sz w:val="24"/>
          <w:szCs w:val="24"/>
          <w:lang w:val="sr-Cyrl-CS"/>
        </w:rPr>
        <w:t xml:space="preserve"> 91/19 - др. закон</w:t>
      </w:r>
      <w:r w:rsidR="0028704C" w:rsidRPr="00914E0B">
        <w:rPr>
          <w:rFonts w:ascii="Times New Roman" w:hAnsi="Times New Roman" w:cs="Times New Roman"/>
          <w:color w:val="000000"/>
          <w:sz w:val="24"/>
          <w:szCs w:val="24"/>
          <w:lang w:val="sr-Cyrl-CS"/>
        </w:rPr>
        <w:t xml:space="preserve">, </w:t>
      </w:r>
      <w:r w:rsidR="00B65390" w:rsidRPr="00914E0B">
        <w:rPr>
          <w:rFonts w:ascii="Times New Roman" w:hAnsi="Times New Roman" w:cs="Times New Roman"/>
          <w:color w:val="000000"/>
          <w:sz w:val="24"/>
          <w:szCs w:val="24"/>
          <w:lang w:val="sr-Cyrl-CS"/>
        </w:rPr>
        <w:t>144/2</w:t>
      </w:r>
      <w:r w:rsidR="0028704C" w:rsidRPr="00914E0B">
        <w:rPr>
          <w:rFonts w:ascii="Times New Roman" w:hAnsi="Times New Roman" w:cs="Times New Roman"/>
          <w:color w:val="000000"/>
          <w:sz w:val="24"/>
          <w:szCs w:val="24"/>
          <w:lang w:val="sr-Cyrl-CS"/>
        </w:rPr>
        <w:t>0 и 118/21</w:t>
      </w:r>
      <w:r w:rsidR="00045FEB" w:rsidRPr="00914E0B">
        <w:rPr>
          <w:rFonts w:ascii="Times New Roman" w:hAnsi="Times New Roman" w:cs="Times New Roman"/>
          <w:color w:val="000000"/>
          <w:sz w:val="24"/>
          <w:szCs w:val="24"/>
          <w:lang w:val="sr-Cyrl-CS"/>
        </w:rPr>
        <w:t xml:space="preserve">) </w:t>
      </w:r>
      <w:r w:rsidR="0019756B" w:rsidRPr="00914E0B">
        <w:rPr>
          <w:rFonts w:ascii="Times New Roman" w:hAnsi="Times New Roman" w:cs="Times New Roman"/>
          <w:color w:val="000000"/>
          <w:sz w:val="24"/>
          <w:szCs w:val="24"/>
          <w:lang w:val="sr-Cyrl-CS"/>
        </w:rPr>
        <w:t>не с</w:t>
      </w:r>
      <w:r w:rsidR="00C236CB" w:rsidRPr="00914E0B">
        <w:rPr>
          <w:rFonts w:ascii="Times New Roman" w:hAnsi="Times New Roman" w:cs="Times New Roman"/>
          <w:color w:val="000000"/>
          <w:sz w:val="24"/>
          <w:szCs w:val="24"/>
          <w:lang w:val="sr-Cyrl-CS"/>
        </w:rPr>
        <w:t>проводи</w:t>
      </w:r>
      <w:r w:rsidRPr="00914E0B">
        <w:rPr>
          <w:rFonts w:ascii="Times New Roman" w:hAnsi="Times New Roman" w:cs="Times New Roman"/>
          <w:color w:val="000000"/>
          <w:sz w:val="24"/>
          <w:szCs w:val="24"/>
          <w:lang w:val="sr-Cyrl-CS"/>
        </w:rPr>
        <w:t xml:space="preserve"> се</w:t>
      </w:r>
      <w:r w:rsidR="00C236CB" w:rsidRPr="00914E0B">
        <w:rPr>
          <w:rFonts w:ascii="Times New Roman" w:hAnsi="Times New Roman" w:cs="Times New Roman"/>
          <w:color w:val="000000"/>
          <w:sz w:val="24"/>
          <w:szCs w:val="24"/>
          <w:lang w:val="sr-Cyrl-CS"/>
        </w:rPr>
        <w:t xml:space="preserve"> документ јавне политике. </w:t>
      </w:r>
    </w:p>
    <w:p w14:paraId="544DA953" w14:textId="77777777" w:rsidR="00C64248" w:rsidRPr="00914E0B" w:rsidRDefault="00C64248" w:rsidP="00B22D09">
      <w:pPr>
        <w:spacing w:after="150"/>
        <w:rPr>
          <w:rFonts w:ascii="Times New Roman" w:hAnsi="Times New Roman" w:cs="Times New Roman"/>
          <w:color w:val="000000"/>
          <w:sz w:val="24"/>
          <w:szCs w:val="24"/>
          <w:lang w:val="sr-Cyrl-CS"/>
        </w:rPr>
      </w:pPr>
    </w:p>
    <w:p w14:paraId="62E9338F" w14:textId="31EC60E3"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3) Који су важећи прописи и документи јавних политика од значаја за промену која се предлаже и у чему се тај значај огледа?</w:t>
      </w:r>
    </w:p>
    <w:p w14:paraId="33213234" w14:textId="6F3EF698" w:rsidR="0019756B" w:rsidRPr="00914E0B" w:rsidRDefault="00C236CB"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 Не постоје докумен</w:t>
      </w:r>
      <w:r w:rsidR="00045FEB" w:rsidRPr="00914E0B">
        <w:rPr>
          <w:rFonts w:ascii="Times New Roman" w:hAnsi="Times New Roman" w:cs="Times New Roman"/>
          <w:color w:val="000000"/>
          <w:sz w:val="24"/>
          <w:szCs w:val="24"/>
          <w:lang w:val="sr-Cyrl-CS"/>
        </w:rPr>
        <w:t>т</w:t>
      </w:r>
      <w:r w:rsidRPr="00914E0B">
        <w:rPr>
          <w:rFonts w:ascii="Times New Roman" w:hAnsi="Times New Roman" w:cs="Times New Roman"/>
          <w:color w:val="000000"/>
          <w:sz w:val="24"/>
          <w:szCs w:val="24"/>
          <w:lang w:val="sr-Cyrl-CS"/>
        </w:rPr>
        <w:t>и јавних политика од значаја за промену која се предлаже.</w:t>
      </w:r>
    </w:p>
    <w:p w14:paraId="06891641" w14:textId="79B75921" w:rsidR="0019756B" w:rsidRPr="00914E0B" w:rsidRDefault="0019756B" w:rsidP="00B22D09">
      <w:pPr>
        <w:spacing w:after="150"/>
        <w:rPr>
          <w:rFonts w:ascii="Times New Roman" w:hAnsi="Times New Roman" w:cs="Times New Roman"/>
          <w:sz w:val="24"/>
          <w:szCs w:val="24"/>
          <w:lang w:val="sr-Cyrl-CS"/>
        </w:rPr>
      </w:pPr>
    </w:p>
    <w:p w14:paraId="276BD1B6" w14:textId="393CB5E7"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4) Да ли су уочени проблеми у области и на кога се они односе? Представити узроке и последице проблема.</w:t>
      </w:r>
    </w:p>
    <w:p w14:paraId="4BD68CCD" w14:textId="38981027" w:rsidR="004F548F" w:rsidRPr="00914E0B" w:rsidRDefault="004F548F" w:rsidP="004F548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Царинским законом и пратећим подзаконским прописима дата је могућност убрзања промета роба и услуга, краћег задржавања превозних  средстава на граничним прелазима, те уведени механизми којима се контрола законитог  поступања са робом при обављању царинских радњи и формалности врши путем анализе ризика и накнадне контроле окончаног царињења у царинарницама и другим организационим јединицама надлежним за спровођење одговарајућих царинских поступака.</w:t>
      </w:r>
    </w:p>
    <w:p w14:paraId="00E46998" w14:textId="7CEC4F16" w:rsidR="004F548F" w:rsidRPr="00914E0B" w:rsidRDefault="004F548F" w:rsidP="004F548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Приликом анализе понашања учесника у царинским поступцима (увозници, извозници, превозници, царински заступници и др.) примећено је да у последње време исти у приличној мери злоупотребљавају дате им погодности и прибегавају вршењу различитих царинских превара и злоупотреба, које нису на адекватан начин санкци</w:t>
      </w:r>
      <w:r w:rsidR="005F532D" w:rsidRPr="00914E0B">
        <w:rPr>
          <w:rFonts w:ascii="Times New Roman" w:hAnsi="Times New Roman" w:cs="Times New Roman"/>
          <w:color w:val="000000"/>
          <w:sz w:val="24"/>
          <w:szCs w:val="24"/>
          <w:lang w:val="sr-Cyrl-CS"/>
        </w:rPr>
        <w:t xml:space="preserve">онисане </w:t>
      </w:r>
      <w:r w:rsidRPr="00914E0B">
        <w:rPr>
          <w:rFonts w:ascii="Times New Roman" w:hAnsi="Times New Roman" w:cs="Times New Roman"/>
          <w:color w:val="000000"/>
          <w:sz w:val="24"/>
          <w:szCs w:val="24"/>
          <w:lang w:val="sr-Cyrl-CS"/>
        </w:rPr>
        <w:t>Царинским законом.</w:t>
      </w:r>
    </w:p>
    <w:p w14:paraId="615319E0" w14:textId="25FADF4C" w:rsidR="0028704C" w:rsidRPr="00914E0B" w:rsidRDefault="004F548F" w:rsidP="004F548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Одредбама чл. 265-270. Царинског закона, као и чл. 464. и 465. Уредбе о царинским поступцима и царинским формалностима прописане су казнене одредбе, којима се санкционише понашање учесника у царинском поступку супротно наведеним нормама. Применом наведених одредби у пракси се дошло до закључка да поједина поступања која су супротна материјалним одредбама Царинског закона и Уредбе нису довољно прецизирани прекршајним одредбама.</w:t>
      </w:r>
    </w:p>
    <w:p w14:paraId="33ED154A" w14:textId="7EBF50AC" w:rsidR="004F548F" w:rsidRPr="00914E0B" w:rsidRDefault="004F548F" w:rsidP="004F548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Такође, потписивањем међународних билатералних и мултилатералних споразума и конвенција прихваћене су обавезе у смислу поједностављења царинских процедура кроз давање бројних „повластица“ учесницима у царинском поступку, пре свега у царинским поступцима транзита, складиштења робе и увоза робе. С тим у вези, начин извршења прекршаја и саме прекршајне одредбе, на начин како је то било п</w:t>
      </w:r>
      <w:r w:rsidR="002E306C" w:rsidRPr="00914E0B">
        <w:rPr>
          <w:rFonts w:ascii="Times New Roman" w:hAnsi="Times New Roman" w:cs="Times New Roman"/>
          <w:color w:val="000000"/>
          <w:sz w:val="24"/>
          <w:szCs w:val="24"/>
          <w:lang w:val="sr-Cyrl-CS"/>
        </w:rPr>
        <w:t>рописано Царинским законом („Службени</w:t>
      </w:r>
      <w:r w:rsidRPr="00914E0B">
        <w:rPr>
          <w:rFonts w:ascii="Times New Roman" w:hAnsi="Times New Roman" w:cs="Times New Roman"/>
          <w:color w:val="000000"/>
          <w:sz w:val="24"/>
          <w:szCs w:val="24"/>
          <w:lang w:val="sr-Cyrl-CS"/>
        </w:rPr>
        <w:t xml:space="preserve"> гласник РС</w:t>
      </w:r>
      <w:r w:rsidR="002E306C" w:rsidRPr="00914E0B">
        <w:rPr>
          <w:rFonts w:ascii="Times New Roman" w:hAnsi="Times New Roman" w:cs="Times New Roman"/>
          <w:color w:val="000000"/>
          <w:sz w:val="24"/>
          <w:szCs w:val="24"/>
          <w:lang w:val="sr-Cyrl-CS"/>
        </w:rPr>
        <w:t>”, бр. 95/18...118/</w:t>
      </w:r>
      <w:r w:rsidRPr="00914E0B">
        <w:rPr>
          <w:rFonts w:ascii="Times New Roman" w:hAnsi="Times New Roman" w:cs="Times New Roman"/>
          <w:color w:val="000000"/>
          <w:sz w:val="24"/>
          <w:szCs w:val="24"/>
          <w:lang w:val="sr-Cyrl-CS"/>
        </w:rPr>
        <w:t>21), не обезбеђују у довољној мери превентиву за нечињење прекршаја, а такође и не обухватају, на адекватан начин, поједина поступања која су супротна материјалним одредбама Царинског закона, из ког разлога је било потребно и извршити измене и допуне прекршајних одредби тренутно важећег Царинског закона.</w:t>
      </w:r>
    </w:p>
    <w:p w14:paraId="24553A3B" w14:textId="74BA6A92" w:rsidR="004F548F" w:rsidRPr="00914E0B" w:rsidRDefault="004F548F" w:rsidP="004F548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Наиме, често су повреде прописа такве природе да се јавља дилема да ли је радња извршења  кривично дело или прекршај. Ово из разлога што се у већини случајева дешава да до пропуста долази приликом подношења документације неопходне за спровођење </w:t>
      </w:r>
      <w:r w:rsidRPr="00914E0B">
        <w:rPr>
          <w:rFonts w:ascii="Times New Roman" w:hAnsi="Times New Roman" w:cs="Times New Roman"/>
          <w:color w:val="000000"/>
          <w:sz w:val="24"/>
          <w:szCs w:val="24"/>
          <w:lang w:val="sr-Cyrl-CS"/>
        </w:rPr>
        <w:lastRenderedPageBreak/>
        <w:t>одговарајућег царинског поступка, који по поднетом захтеву одобрава надлежни царински орган.  Примера ради, пропусти бивају откривени у накнадној контроли окончаног царинског поступка, односно након раздужења исправа у поступку транзита.</w:t>
      </w:r>
    </w:p>
    <w:p w14:paraId="1F312A5A" w14:textId="77777777" w:rsidR="00C64248" w:rsidRPr="00914E0B" w:rsidRDefault="00C64248" w:rsidP="00B22D09">
      <w:pPr>
        <w:spacing w:after="150"/>
        <w:rPr>
          <w:rFonts w:ascii="Times New Roman" w:hAnsi="Times New Roman" w:cs="Times New Roman"/>
          <w:color w:val="000000"/>
          <w:sz w:val="24"/>
          <w:szCs w:val="24"/>
          <w:lang w:val="sr-Cyrl-CS"/>
        </w:rPr>
      </w:pPr>
    </w:p>
    <w:p w14:paraId="6E590802" w14:textId="341B272F"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5) Која промена се предлаже?</w:t>
      </w:r>
    </w:p>
    <w:p w14:paraId="0CE5A805" w14:textId="5E257F28" w:rsidR="004F548F" w:rsidRPr="00914E0B" w:rsidRDefault="004F548F" w:rsidP="005F532D">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 xml:space="preserve">У члану 3. </w:t>
      </w:r>
      <w:r w:rsidR="00FB65BB" w:rsidRPr="00914E0B">
        <w:rPr>
          <w:rFonts w:ascii="Times New Roman" w:hAnsi="Times New Roman" w:cs="Times New Roman"/>
          <w:color w:val="000000" w:themeColor="text1"/>
          <w:sz w:val="24"/>
          <w:szCs w:val="24"/>
          <w:lang w:val="sr-Cyrl-CS"/>
        </w:rPr>
        <w:t>Предлога</w:t>
      </w:r>
      <w:r w:rsidRPr="00914E0B">
        <w:rPr>
          <w:rFonts w:ascii="Times New Roman" w:hAnsi="Times New Roman" w:cs="Times New Roman"/>
          <w:color w:val="000000" w:themeColor="text1"/>
          <w:sz w:val="24"/>
          <w:szCs w:val="24"/>
          <w:lang w:val="sr-Cyrl-CS"/>
        </w:rPr>
        <w:t xml:space="preserve"> закона предлаже се додавање новог члана 264а, који детаљније регулише уношење и изношење робе преко граничних прелаза, чиме је омогућено да радње супротне тој законској одредби буду адекватно санкционисане у складу са прекршајним одредбама (у предложеном члану 265. став 1. тачка 1</w:t>
      </w:r>
      <w:r w:rsidR="00210A8E" w:rsidRPr="00914E0B">
        <w:rPr>
          <w:rFonts w:ascii="Times New Roman" w:hAnsi="Times New Roman" w:cs="Times New Roman"/>
          <w:color w:val="000000" w:themeColor="text1"/>
          <w:sz w:val="24"/>
          <w:szCs w:val="24"/>
          <w:lang w:val="sr-Cyrl-CS"/>
        </w:rPr>
        <w:t>0</w:t>
      </w:r>
      <w:r w:rsidRPr="00914E0B">
        <w:rPr>
          <w:rFonts w:ascii="Times New Roman" w:hAnsi="Times New Roman" w:cs="Times New Roman"/>
          <w:color w:val="000000" w:themeColor="text1"/>
          <w:sz w:val="24"/>
          <w:szCs w:val="24"/>
          <w:lang w:val="sr-Cyrl-CS"/>
        </w:rPr>
        <w:t>).</w:t>
      </w:r>
    </w:p>
    <w:p w14:paraId="616B91EB" w14:textId="77777777" w:rsidR="004F548F" w:rsidRPr="00914E0B" w:rsidRDefault="004F548F" w:rsidP="005F532D">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 xml:space="preserve">Чланом 4. извршене су измене и допуне у члану 265. тренутно важећег Царинског закона, на тај начин што су, досадашњи прекршаји прецизније дефинисани, уз измене у позивањима на поједине чланове закона, а додати су и нови прекршаји. Такође, прекршаји који су тренутно садржани у члану 266. Царинског закона, премештени су у измењени/допуњени члан 265. Царинског закона. На овај начин, најтежи царински прекршаји ће бити садржани у једном члану, за који се везује и обавеза изрицања заштитне мере одузимања робе из члана 271. Царинског закона. </w:t>
      </w:r>
    </w:p>
    <w:p w14:paraId="76C9D6DC" w14:textId="4A8EB99C" w:rsidR="004F548F" w:rsidRPr="00914E0B" w:rsidRDefault="003A280F" w:rsidP="005F532D">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П</w:t>
      </w:r>
      <w:r w:rsidR="004F548F" w:rsidRPr="00914E0B">
        <w:rPr>
          <w:rFonts w:ascii="Times New Roman" w:hAnsi="Times New Roman" w:cs="Times New Roman"/>
          <w:color w:val="000000" w:themeColor="text1"/>
          <w:sz w:val="24"/>
          <w:szCs w:val="24"/>
          <w:lang w:val="sr-Cyrl-CS"/>
        </w:rPr>
        <w:t xml:space="preserve">редлаже се </w:t>
      </w:r>
      <w:r w:rsidR="00FB65BB" w:rsidRPr="00914E0B">
        <w:rPr>
          <w:rFonts w:ascii="Times New Roman" w:hAnsi="Times New Roman" w:cs="Times New Roman"/>
          <w:color w:val="000000" w:themeColor="text1"/>
          <w:sz w:val="24"/>
          <w:szCs w:val="24"/>
          <w:lang w:val="sr-Cyrl-CS"/>
        </w:rPr>
        <w:t>и</w:t>
      </w:r>
      <w:r w:rsidRPr="00914E0B">
        <w:rPr>
          <w:rFonts w:ascii="Times New Roman" w:hAnsi="Times New Roman" w:cs="Times New Roman"/>
          <w:color w:val="000000" w:themeColor="text1"/>
          <w:sz w:val="24"/>
          <w:szCs w:val="24"/>
          <w:lang w:val="sr-Cyrl-CS"/>
        </w:rPr>
        <w:t xml:space="preserve"> </w:t>
      </w:r>
      <w:r w:rsidR="004F548F" w:rsidRPr="00914E0B">
        <w:rPr>
          <w:rFonts w:ascii="Times New Roman" w:hAnsi="Times New Roman" w:cs="Times New Roman"/>
          <w:color w:val="000000" w:themeColor="text1"/>
          <w:sz w:val="24"/>
          <w:szCs w:val="24"/>
          <w:lang w:val="sr-Cyrl-CS"/>
        </w:rPr>
        <w:t>измена члана 266. Царинског закона, на тај начин што се царински прекршаји тренутно прописани чланом 267. Царинског закона прецизирају, у неким случајевима, уз раздвајање радње једног прекршаја (како је до са</w:t>
      </w:r>
      <w:r w:rsidR="00914E0B">
        <w:rPr>
          <w:rFonts w:ascii="Times New Roman" w:hAnsi="Times New Roman" w:cs="Times New Roman"/>
          <w:color w:val="000000" w:themeColor="text1"/>
          <w:sz w:val="24"/>
          <w:szCs w:val="24"/>
          <w:lang w:val="sr-Cyrl-CS"/>
        </w:rPr>
        <w:t>да било прописано) на два прекр</w:t>
      </w:r>
      <w:r w:rsidR="004F548F" w:rsidRPr="00914E0B">
        <w:rPr>
          <w:rFonts w:ascii="Times New Roman" w:hAnsi="Times New Roman" w:cs="Times New Roman"/>
          <w:color w:val="000000" w:themeColor="text1"/>
          <w:sz w:val="24"/>
          <w:szCs w:val="24"/>
          <w:lang w:val="sr-Cyrl-CS"/>
        </w:rPr>
        <w:t>шаја (нпр. царински прекршај из тренутно важећег члана 267. став 1. тачка 4) постаје прекршај прописан чланом 266. став 1. тач. 8) и 9). Као што је претходно наведено, прекршаји који су тренутно садржани у члану 266. Царинског закона, премештени су у измењени/допуњени члан 265. Царинског закона.</w:t>
      </w:r>
    </w:p>
    <w:p w14:paraId="4BEB8F61" w14:textId="5E17A0FC" w:rsidR="00D526BA" w:rsidRPr="00914E0B" w:rsidRDefault="00D526BA" w:rsidP="00D526BA">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 xml:space="preserve">Једна од новина у </w:t>
      </w:r>
      <w:r w:rsidR="00FB65BB" w:rsidRPr="00914E0B">
        <w:rPr>
          <w:rFonts w:ascii="Times New Roman" w:hAnsi="Times New Roman" w:cs="Times New Roman"/>
          <w:color w:val="000000" w:themeColor="text1"/>
          <w:sz w:val="24"/>
          <w:szCs w:val="24"/>
          <w:lang w:val="sr-Cyrl-CS"/>
        </w:rPr>
        <w:t>Предлогу</w:t>
      </w:r>
      <w:r w:rsidRPr="00914E0B">
        <w:rPr>
          <w:rFonts w:ascii="Times New Roman" w:hAnsi="Times New Roman" w:cs="Times New Roman"/>
          <w:color w:val="000000" w:themeColor="text1"/>
          <w:sz w:val="24"/>
          <w:szCs w:val="24"/>
          <w:lang w:val="sr-Cyrl-CS"/>
        </w:rPr>
        <w:t xml:space="preserve"> закона о изменама и допун</w:t>
      </w:r>
      <w:r w:rsidR="00FB65BB" w:rsidRPr="00914E0B">
        <w:rPr>
          <w:rFonts w:ascii="Times New Roman" w:hAnsi="Times New Roman" w:cs="Times New Roman"/>
          <w:color w:val="000000" w:themeColor="text1"/>
          <w:sz w:val="24"/>
          <w:szCs w:val="24"/>
          <w:lang w:val="sr-Cyrl-CS"/>
        </w:rPr>
        <w:t>и</w:t>
      </w:r>
      <w:r w:rsidRPr="00914E0B">
        <w:rPr>
          <w:rFonts w:ascii="Times New Roman" w:hAnsi="Times New Roman" w:cs="Times New Roman"/>
          <w:color w:val="000000" w:themeColor="text1"/>
          <w:sz w:val="24"/>
          <w:szCs w:val="24"/>
          <w:lang w:val="sr-Cyrl-CS"/>
        </w:rPr>
        <w:t xml:space="preserve"> Царинског закона односи се на увођење прекршаја у члану 266. став 1. тачка 15) Царинског закона, којим је прописана новчана казна у износу од 15.000 динара до </w:t>
      </w:r>
      <w:r w:rsidR="003A280F" w:rsidRPr="00914E0B">
        <w:rPr>
          <w:rFonts w:ascii="Times New Roman" w:hAnsi="Times New Roman" w:cs="Times New Roman"/>
          <w:color w:val="000000" w:themeColor="text1"/>
          <w:sz w:val="24"/>
          <w:szCs w:val="24"/>
          <w:lang w:val="sr-Cyrl-CS"/>
        </w:rPr>
        <w:t>150.000 динара</w:t>
      </w:r>
      <w:r w:rsidRPr="00914E0B">
        <w:rPr>
          <w:rFonts w:ascii="Times New Roman" w:hAnsi="Times New Roman" w:cs="Times New Roman"/>
          <w:color w:val="000000" w:themeColor="text1"/>
          <w:sz w:val="24"/>
          <w:szCs w:val="24"/>
          <w:lang w:val="sr-Cyrl-CS"/>
        </w:rPr>
        <w:t xml:space="preserve">, за физичко лице које не поднесе декларацију за робу некомерцијалне природе. С тим у вези </w:t>
      </w:r>
      <w:r w:rsidR="003A280F" w:rsidRPr="00914E0B">
        <w:rPr>
          <w:rFonts w:ascii="Times New Roman" w:hAnsi="Times New Roman" w:cs="Times New Roman"/>
          <w:color w:val="000000" w:themeColor="text1"/>
          <w:sz w:val="24"/>
          <w:szCs w:val="24"/>
          <w:lang w:val="sr-Cyrl-CS"/>
        </w:rPr>
        <w:t>су и чл.</w:t>
      </w:r>
      <w:r w:rsidRPr="00914E0B">
        <w:rPr>
          <w:rFonts w:ascii="Times New Roman" w:hAnsi="Times New Roman" w:cs="Times New Roman"/>
          <w:color w:val="000000" w:themeColor="text1"/>
          <w:sz w:val="24"/>
          <w:szCs w:val="24"/>
          <w:lang w:val="sr-Cyrl-CS"/>
        </w:rPr>
        <w:t xml:space="preserve"> 26</w:t>
      </w:r>
      <w:r w:rsidR="003A280F" w:rsidRPr="00914E0B">
        <w:rPr>
          <w:rFonts w:ascii="Times New Roman" w:hAnsi="Times New Roman" w:cs="Times New Roman"/>
          <w:color w:val="000000" w:themeColor="text1"/>
          <w:sz w:val="24"/>
          <w:szCs w:val="24"/>
          <w:lang w:val="sr-Cyrl-CS"/>
        </w:rPr>
        <w:t>8.</w:t>
      </w:r>
      <w:r w:rsidRPr="00914E0B">
        <w:rPr>
          <w:rFonts w:ascii="Times New Roman" w:hAnsi="Times New Roman" w:cs="Times New Roman"/>
          <w:color w:val="000000" w:themeColor="text1"/>
          <w:sz w:val="24"/>
          <w:szCs w:val="24"/>
          <w:lang w:val="sr-Cyrl-CS"/>
        </w:rPr>
        <w:t xml:space="preserve"> и 269, који се предлажу.</w:t>
      </w:r>
    </w:p>
    <w:p w14:paraId="3D48EBC3" w14:textId="720A7280" w:rsidR="00D526BA" w:rsidRPr="00914E0B" w:rsidRDefault="00D526BA" w:rsidP="00D526BA">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Наиме, чланом 26</w:t>
      </w:r>
      <w:r w:rsidR="003A280F" w:rsidRPr="00914E0B">
        <w:rPr>
          <w:rFonts w:ascii="Times New Roman" w:hAnsi="Times New Roman" w:cs="Times New Roman"/>
          <w:color w:val="000000" w:themeColor="text1"/>
          <w:sz w:val="24"/>
          <w:szCs w:val="24"/>
          <w:lang w:val="sr-Cyrl-CS"/>
        </w:rPr>
        <w:t>8</w:t>
      </w:r>
      <w:r w:rsidRPr="00914E0B">
        <w:rPr>
          <w:rFonts w:ascii="Times New Roman" w:hAnsi="Times New Roman" w:cs="Times New Roman"/>
          <w:color w:val="000000" w:themeColor="text1"/>
          <w:sz w:val="24"/>
          <w:szCs w:val="24"/>
          <w:lang w:val="sr-Cyrl-CS"/>
        </w:rPr>
        <w:t>. прописује се да ће се новчаном казном у износу од 20.000 динара казнити, између осталог, физичко лице које изврши прекршај из члана 266. став 1. тачка 15)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 Чланом 269</w:t>
      </w:r>
      <w:r w:rsidR="003A280F" w:rsidRPr="00914E0B">
        <w:rPr>
          <w:rFonts w:ascii="Times New Roman" w:hAnsi="Times New Roman" w:cs="Times New Roman"/>
          <w:color w:val="000000" w:themeColor="text1"/>
          <w:sz w:val="24"/>
          <w:szCs w:val="24"/>
          <w:lang w:val="sr-Cyrl-CS"/>
        </w:rPr>
        <w:t>.</w:t>
      </w:r>
      <w:r w:rsidRPr="00914E0B">
        <w:rPr>
          <w:rFonts w:ascii="Times New Roman" w:hAnsi="Times New Roman" w:cs="Times New Roman"/>
          <w:color w:val="000000" w:themeColor="text1"/>
          <w:sz w:val="24"/>
          <w:szCs w:val="24"/>
          <w:lang w:val="sr-Cyrl-CS"/>
        </w:rPr>
        <w:t xml:space="preserve"> прописује се да ће се новчаном казном у износу од 30.000 динара казнити физичко лице за прекршај из члана 266. став 1. тачка 15) овог закона које не поднесе декларацију за робу некомерцијалног карактера, под условом да царинска вредност робе која је предмет прекршаја прелази износ од 1.000 евра, а не прелази износ од 3.000 евра,  у динарској противвредности, прерачунато у складу са чланом 39. овог закона. </w:t>
      </w:r>
    </w:p>
    <w:p w14:paraId="26C7816C" w14:textId="08242553" w:rsidR="00D526BA" w:rsidRPr="00914E0B" w:rsidRDefault="00D526BA" w:rsidP="00D526BA">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lastRenderedPageBreak/>
        <w:t>У тренутно важећем Царинском закону, сви ови прекршаји санкционисани су чланом 265. Царинског закона, за који се изриче и заштитна мера одузимања робе, у складу са чланом 271. Царинског закона, што је утицало на покретање и вођење прекршајних поступака против физичких лица за робу некомерцијалног карактера, за личну употребу, као и на дужину трајања тих прекршајних поступака  код прекршајних судова. Предложене измене у чл</w:t>
      </w:r>
      <w:r w:rsidR="003A280F" w:rsidRPr="00914E0B">
        <w:rPr>
          <w:rFonts w:ascii="Times New Roman" w:hAnsi="Times New Roman" w:cs="Times New Roman"/>
          <w:color w:val="000000" w:themeColor="text1"/>
          <w:sz w:val="24"/>
          <w:szCs w:val="24"/>
          <w:lang w:val="sr-Cyrl-CS"/>
        </w:rPr>
        <w:t>.</w:t>
      </w:r>
      <w:r w:rsidRPr="00914E0B">
        <w:rPr>
          <w:rFonts w:ascii="Times New Roman" w:hAnsi="Times New Roman" w:cs="Times New Roman"/>
          <w:color w:val="000000" w:themeColor="text1"/>
          <w:sz w:val="24"/>
          <w:szCs w:val="24"/>
          <w:lang w:val="sr-Cyrl-CS"/>
        </w:rPr>
        <w:t xml:space="preserve"> 26</w:t>
      </w:r>
      <w:r w:rsidR="003A280F" w:rsidRPr="00914E0B">
        <w:rPr>
          <w:rFonts w:ascii="Times New Roman" w:hAnsi="Times New Roman" w:cs="Times New Roman"/>
          <w:color w:val="000000" w:themeColor="text1"/>
          <w:sz w:val="24"/>
          <w:szCs w:val="24"/>
          <w:lang w:val="sr-Cyrl-CS"/>
        </w:rPr>
        <w:t>8</w:t>
      </w:r>
      <w:r w:rsidRPr="00914E0B">
        <w:rPr>
          <w:rFonts w:ascii="Times New Roman" w:hAnsi="Times New Roman" w:cs="Times New Roman"/>
          <w:color w:val="000000" w:themeColor="text1"/>
          <w:sz w:val="24"/>
          <w:szCs w:val="24"/>
          <w:lang w:val="sr-Cyrl-CS"/>
        </w:rPr>
        <w:t>.</w:t>
      </w:r>
      <w:r w:rsidR="003A280F" w:rsidRPr="00914E0B">
        <w:rPr>
          <w:rFonts w:ascii="Times New Roman" w:hAnsi="Times New Roman" w:cs="Times New Roman"/>
          <w:color w:val="000000" w:themeColor="text1"/>
          <w:sz w:val="24"/>
          <w:szCs w:val="24"/>
          <w:lang w:val="sr-Cyrl-CS"/>
        </w:rPr>
        <w:t xml:space="preserve"> и 269</w:t>
      </w:r>
      <w:r w:rsidRPr="00914E0B">
        <w:rPr>
          <w:rFonts w:ascii="Times New Roman" w:hAnsi="Times New Roman" w:cs="Times New Roman"/>
          <w:color w:val="000000" w:themeColor="text1"/>
          <w:sz w:val="24"/>
          <w:szCs w:val="24"/>
          <w:lang w:val="sr-Cyrl-CS"/>
        </w:rPr>
        <w:t>, како је претходно објашњено, допринеће растерећењу рада прекршајних судова, а са друге стране, убрзаће и прилив  средстава у буџет Републике Србије.</w:t>
      </w:r>
    </w:p>
    <w:p w14:paraId="3E6C45B4" w14:textId="247FA0F0" w:rsidR="004F548F" w:rsidRPr="00914E0B" w:rsidRDefault="003A280F" w:rsidP="005F532D">
      <w:pPr>
        <w:jc w:val="both"/>
        <w:rPr>
          <w:rFonts w:ascii="Times New Roman" w:hAnsi="Times New Roman" w:cs="Times New Roman"/>
          <w:color w:val="000000" w:themeColor="text1"/>
          <w:sz w:val="24"/>
          <w:szCs w:val="24"/>
          <w:lang w:val="sr-Cyrl-CS"/>
        </w:rPr>
      </w:pPr>
      <w:r w:rsidRPr="00914E0B">
        <w:rPr>
          <w:rFonts w:ascii="Times New Roman" w:hAnsi="Times New Roman" w:cs="Times New Roman"/>
          <w:color w:val="000000" w:themeColor="text1"/>
          <w:sz w:val="24"/>
          <w:szCs w:val="24"/>
          <w:lang w:val="sr-Cyrl-CS"/>
        </w:rPr>
        <w:t xml:space="preserve">Такође, </w:t>
      </w:r>
      <w:r w:rsidR="004F548F" w:rsidRPr="00914E0B">
        <w:rPr>
          <w:rFonts w:ascii="Times New Roman" w:hAnsi="Times New Roman" w:cs="Times New Roman"/>
          <w:color w:val="000000" w:themeColor="text1"/>
          <w:sz w:val="24"/>
          <w:szCs w:val="24"/>
          <w:lang w:val="sr-Cyrl-CS"/>
        </w:rPr>
        <w:t xml:space="preserve">извршене су </w:t>
      </w:r>
      <w:r w:rsidRPr="00914E0B">
        <w:rPr>
          <w:rFonts w:ascii="Times New Roman" w:hAnsi="Times New Roman" w:cs="Times New Roman"/>
          <w:color w:val="000000" w:themeColor="text1"/>
          <w:sz w:val="24"/>
          <w:szCs w:val="24"/>
          <w:lang w:val="sr-Cyrl-CS"/>
        </w:rPr>
        <w:t xml:space="preserve">и </w:t>
      </w:r>
      <w:r w:rsidR="004F548F" w:rsidRPr="00914E0B">
        <w:rPr>
          <w:rFonts w:ascii="Times New Roman" w:hAnsi="Times New Roman" w:cs="Times New Roman"/>
          <w:color w:val="000000" w:themeColor="text1"/>
          <w:sz w:val="24"/>
          <w:szCs w:val="24"/>
          <w:lang w:val="sr-Cyrl-CS"/>
        </w:rPr>
        <w:t>терминолошке измене, ради прецизирања норме садржан</w:t>
      </w:r>
      <w:r w:rsidRPr="00914E0B">
        <w:rPr>
          <w:rFonts w:ascii="Times New Roman" w:hAnsi="Times New Roman" w:cs="Times New Roman"/>
          <w:color w:val="000000" w:themeColor="text1"/>
          <w:sz w:val="24"/>
          <w:szCs w:val="24"/>
          <w:lang w:val="sr-Cyrl-CS"/>
        </w:rPr>
        <w:t>е у члану 270. Царинског закона, а</w:t>
      </w:r>
      <w:r w:rsidR="004F548F" w:rsidRPr="00914E0B">
        <w:rPr>
          <w:rFonts w:ascii="Times New Roman" w:hAnsi="Times New Roman" w:cs="Times New Roman"/>
          <w:color w:val="000000" w:themeColor="text1"/>
          <w:sz w:val="24"/>
          <w:szCs w:val="24"/>
          <w:lang w:val="sr-Cyrl-CS"/>
        </w:rPr>
        <w:t xml:space="preserve"> врши се </w:t>
      </w:r>
      <w:r w:rsidRPr="00914E0B">
        <w:rPr>
          <w:rFonts w:ascii="Times New Roman" w:hAnsi="Times New Roman" w:cs="Times New Roman"/>
          <w:color w:val="000000" w:themeColor="text1"/>
          <w:sz w:val="24"/>
          <w:szCs w:val="24"/>
          <w:lang w:val="sr-Cyrl-CS"/>
        </w:rPr>
        <w:t xml:space="preserve">и </w:t>
      </w:r>
      <w:r w:rsidR="004F548F" w:rsidRPr="00914E0B">
        <w:rPr>
          <w:rFonts w:ascii="Times New Roman" w:hAnsi="Times New Roman" w:cs="Times New Roman"/>
          <w:color w:val="000000" w:themeColor="text1"/>
          <w:sz w:val="24"/>
          <w:szCs w:val="24"/>
          <w:lang w:val="sr-Cyrl-CS"/>
        </w:rPr>
        <w:t xml:space="preserve">измена члана 271. Царинског закона, на тај начин што се прецизира да се заштитна мера одузимања робе која је предмет прекршаја изриче за царинске прекршаје из члана 265. Царинског закона, што је последица измена чл. 265. и 266. Царинског закона. </w:t>
      </w:r>
    </w:p>
    <w:p w14:paraId="21440798" w14:textId="77777777" w:rsidR="005F532D" w:rsidRPr="00914E0B" w:rsidRDefault="005F532D" w:rsidP="00B22D09">
      <w:pPr>
        <w:spacing w:after="150"/>
        <w:rPr>
          <w:rFonts w:ascii="Times New Roman" w:hAnsi="Times New Roman" w:cs="Times New Roman"/>
          <w:color w:val="000000"/>
          <w:sz w:val="24"/>
          <w:szCs w:val="24"/>
          <w:lang w:val="sr-Cyrl-CS"/>
        </w:rPr>
      </w:pPr>
    </w:p>
    <w:p w14:paraId="68952D36" w14:textId="1FA8940A"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6) Да ли је промена заиста неопходна и у ком обиму?</w:t>
      </w:r>
    </w:p>
    <w:p w14:paraId="095E0D1D" w14:textId="4DE1F2A0" w:rsidR="00381F87" w:rsidRPr="00914E0B" w:rsidRDefault="00381F87" w:rsidP="00381F87">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Имајући у виду да се предложеним изменама</w:t>
      </w:r>
      <w:r w:rsidR="00D526BA" w:rsidRPr="00914E0B">
        <w:rPr>
          <w:rFonts w:ascii="Times New Roman" w:hAnsi="Times New Roman" w:cs="Times New Roman"/>
          <w:color w:val="000000"/>
          <w:sz w:val="24"/>
          <w:szCs w:val="24"/>
          <w:lang w:val="sr-Cyrl-CS"/>
        </w:rPr>
        <w:t xml:space="preserve"> и допун</w:t>
      </w:r>
      <w:r w:rsidR="00FB65BB" w:rsidRPr="00914E0B">
        <w:rPr>
          <w:rFonts w:ascii="Times New Roman" w:hAnsi="Times New Roman" w:cs="Times New Roman"/>
          <w:color w:val="000000"/>
          <w:sz w:val="24"/>
          <w:szCs w:val="24"/>
          <w:lang w:val="sr-Cyrl-CS"/>
        </w:rPr>
        <w:t>ом</w:t>
      </w:r>
      <w:r w:rsidRPr="00914E0B">
        <w:rPr>
          <w:rFonts w:ascii="Times New Roman" w:hAnsi="Times New Roman" w:cs="Times New Roman"/>
          <w:color w:val="000000"/>
          <w:sz w:val="24"/>
          <w:szCs w:val="24"/>
          <w:lang w:val="sr-Cyrl-CS"/>
        </w:rPr>
        <w:t xml:space="preserve"> Царинског закона врши </w:t>
      </w:r>
      <w:r w:rsidR="005F532D" w:rsidRPr="00914E0B">
        <w:rPr>
          <w:rFonts w:ascii="Times New Roman" w:hAnsi="Times New Roman" w:cs="Times New Roman"/>
          <w:color w:val="000000"/>
          <w:sz w:val="24"/>
          <w:szCs w:val="24"/>
          <w:lang w:val="sr-Cyrl-CS"/>
        </w:rPr>
        <w:t>прецизирање постојећих прекршајних одредби Царинског закона, али</w:t>
      </w:r>
      <w:r w:rsidR="00D526BA" w:rsidRPr="00914E0B">
        <w:rPr>
          <w:rFonts w:ascii="Times New Roman" w:hAnsi="Times New Roman" w:cs="Times New Roman"/>
          <w:color w:val="000000"/>
          <w:sz w:val="24"/>
          <w:szCs w:val="24"/>
          <w:lang w:val="sr-Cyrl-CS"/>
        </w:rPr>
        <w:t xml:space="preserve"> и</w:t>
      </w:r>
      <w:r w:rsidR="005F532D" w:rsidRPr="00914E0B">
        <w:rPr>
          <w:rFonts w:ascii="Times New Roman" w:hAnsi="Times New Roman" w:cs="Times New Roman"/>
          <w:color w:val="000000"/>
          <w:sz w:val="24"/>
          <w:szCs w:val="24"/>
          <w:lang w:val="sr-Cyrl-CS"/>
        </w:rPr>
        <w:t xml:space="preserve"> увођење нових прекршај</w:t>
      </w:r>
      <w:r w:rsidR="00D526BA" w:rsidRPr="00914E0B">
        <w:rPr>
          <w:rFonts w:ascii="Times New Roman" w:hAnsi="Times New Roman" w:cs="Times New Roman"/>
          <w:color w:val="000000"/>
          <w:sz w:val="24"/>
          <w:szCs w:val="24"/>
          <w:lang w:val="sr-Cyrl-CS"/>
        </w:rPr>
        <w:t>них одредби,</w:t>
      </w:r>
      <w:r w:rsidR="00210A4B" w:rsidRPr="00914E0B">
        <w:rPr>
          <w:rFonts w:ascii="Times New Roman" w:hAnsi="Times New Roman" w:cs="Times New Roman"/>
          <w:color w:val="000000"/>
          <w:sz w:val="24"/>
          <w:szCs w:val="24"/>
          <w:lang w:val="sr-Cyrl-CS"/>
        </w:rPr>
        <w:t xml:space="preserve"> </w:t>
      </w:r>
      <w:r w:rsidR="005F532D" w:rsidRPr="00914E0B">
        <w:rPr>
          <w:rFonts w:ascii="Times New Roman" w:hAnsi="Times New Roman" w:cs="Times New Roman"/>
          <w:color w:val="000000"/>
          <w:sz w:val="24"/>
          <w:szCs w:val="24"/>
          <w:lang w:val="sr-Cyrl-CS"/>
        </w:rPr>
        <w:t xml:space="preserve">то је промена </w:t>
      </w:r>
      <w:r w:rsidRPr="00914E0B">
        <w:rPr>
          <w:rFonts w:ascii="Times New Roman" w:hAnsi="Times New Roman" w:cs="Times New Roman"/>
          <w:color w:val="000000"/>
          <w:sz w:val="24"/>
          <w:szCs w:val="24"/>
          <w:lang w:val="sr-Cyrl-CS"/>
        </w:rPr>
        <w:t xml:space="preserve">неопходна у обиму у ком је предложена.   </w:t>
      </w:r>
    </w:p>
    <w:p w14:paraId="37783B80" w14:textId="77777777" w:rsidR="00381F87" w:rsidRPr="00914E0B" w:rsidRDefault="00381F87" w:rsidP="00381F87">
      <w:pPr>
        <w:spacing w:after="150"/>
        <w:jc w:val="both"/>
        <w:rPr>
          <w:rFonts w:ascii="Times New Roman" w:hAnsi="Times New Roman" w:cs="Times New Roman"/>
          <w:color w:val="000000"/>
          <w:sz w:val="24"/>
          <w:szCs w:val="24"/>
          <w:lang w:val="sr-Cyrl-CS"/>
        </w:rPr>
      </w:pPr>
    </w:p>
    <w:p w14:paraId="3DF44D74" w14:textId="3EC40540" w:rsidR="00B22D09" w:rsidRPr="00914E0B" w:rsidRDefault="00B22D09" w:rsidP="003A280F">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7) На које циљне групе ће утицати предложена промена? Утврдити и представити циљне групе на које ће промена имати непосредан односно посредан утицај.</w:t>
      </w:r>
    </w:p>
    <w:p w14:paraId="010A3C19" w14:textId="58525071" w:rsidR="00381F87" w:rsidRPr="00914E0B" w:rsidRDefault="00381F87" w:rsidP="00381F87">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Предложена промена ће утицати на учеснике у царинском поступку, а то могу бити </w:t>
      </w:r>
      <w:r w:rsidR="005F532D" w:rsidRPr="00914E0B">
        <w:rPr>
          <w:rFonts w:ascii="Times New Roman" w:hAnsi="Times New Roman" w:cs="Times New Roman"/>
          <w:color w:val="000000"/>
          <w:sz w:val="24"/>
          <w:szCs w:val="24"/>
          <w:lang w:val="sr-Cyrl-CS"/>
        </w:rPr>
        <w:t>правна лица, предузетници,</w:t>
      </w:r>
      <w:r w:rsidRPr="00914E0B">
        <w:rPr>
          <w:rFonts w:ascii="Times New Roman" w:hAnsi="Times New Roman" w:cs="Times New Roman"/>
          <w:color w:val="000000"/>
          <w:sz w:val="24"/>
          <w:szCs w:val="24"/>
          <w:lang w:val="sr-Cyrl-CS"/>
        </w:rPr>
        <w:t xml:space="preserve"> физичка</w:t>
      </w:r>
      <w:r w:rsidR="005F532D" w:rsidRPr="00914E0B">
        <w:rPr>
          <w:rFonts w:ascii="Times New Roman" w:hAnsi="Times New Roman" w:cs="Times New Roman"/>
          <w:color w:val="000000"/>
          <w:sz w:val="24"/>
          <w:szCs w:val="24"/>
          <w:lang w:val="sr-Cyrl-CS"/>
        </w:rPr>
        <w:t xml:space="preserve"> лица и одговорна лица у правном лицу</w:t>
      </w:r>
      <w:r w:rsidRPr="00914E0B">
        <w:rPr>
          <w:rFonts w:ascii="Times New Roman" w:hAnsi="Times New Roman" w:cs="Times New Roman"/>
          <w:color w:val="000000"/>
          <w:sz w:val="24"/>
          <w:szCs w:val="24"/>
          <w:lang w:val="sr-Cyrl-CS"/>
        </w:rPr>
        <w:t>.</w:t>
      </w:r>
    </w:p>
    <w:p w14:paraId="00215C1D" w14:textId="77777777" w:rsidR="00381F87" w:rsidRPr="00914E0B" w:rsidRDefault="00381F87" w:rsidP="00B22D09">
      <w:pPr>
        <w:spacing w:after="150"/>
        <w:rPr>
          <w:rFonts w:ascii="Times New Roman" w:hAnsi="Times New Roman" w:cs="Times New Roman"/>
          <w:sz w:val="24"/>
          <w:szCs w:val="24"/>
          <w:lang w:val="sr-Cyrl-CS"/>
        </w:rPr>
      </w:pPr>
    </w:p>
    <w:p w14:paraId="604C3700" w14:textId="22005DE3"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8) Да ли постоје важећи документи јавних политика којима би се могла остварити жељена промена и о којим документима се ради?</w:t>
      </w:r>
    </w:p>
    <w:p w14:paraId="031E88F6" w14:textId="618BCF60" w:rsidR="00381F87" w:rsidRPr="00914E0B" w:rsidRDefault="00381F87" w:rsidP="00381F87">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Не постоје важећи документи јавних политика којима би се могла остварити жељена промена.</w:t>
      </w:r>
    </w:p>
    <w:p w14:paraId="4E36F966" w14:textId="77777777" w:rsidR="00381F87" w:rsidRPr="00914E0B" w:rsidRDefault="00381F87" w:rsidP="00B22D09">
      <w:pPr>
        <w:spacing w:after="150"/>
        <w:rPr>
          <w:rFonts w:ascii="Times New Roman" w:hAnsi="Times New Roman" w:cs="Times New Roman"/>
          <w:sz w:val="24"/>
          <w:szCs w:val="24"/>
          <w:lang w:val="sr-Cyrl-CS"/>
        </w:rPr>
      </w:pPr>
    </w:p>
    <w:p w14:paraId="66E6EF5D" w14:textId="4B9F8239" w:rsidR="00B22D09" w:rsidRPr="00914E0B" w:rsidRDefault="00B22D09" w:rsidP="00B22D09">
      <w:pPr>
        <w:spacing w:after="150"/>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9) Да ли је промену могуће остварити применом важећих прописа?</w:t>
      </w:r>
    </w:p>
    <w:p w14:paraId="190F812B" w14:textId="6A820AC0" w:rsidR="005F532D" w:rsidRPr="00914E0B" w:rsidRDefault="005F532D" w:rsidP="005F532D">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Приликом анализе понашања учесника у царинским поступцима (увозници, извозници, превозници, царински заступници и др.) примећено је да исти у приличној мери злоупотребљавају погодности дате им царинским прописима и прибегавају вршењу различитих царинских превара и злоупотреба, које нису на адекватан начин санкционисане </w:t>
      </w:r>
      <w:r w:rsidRPr="00914E0B">
        <w:rPr>
          <w:rFonts w:ascii="Times New Roman" w:hAnsi="Times New Roman" w:cs="Times New Roman"/>
          <w:color w:val="000000"/>
          <w:sz w:val="24"/>
          <w:szCs w:val="24"/>
          <w:lang w:val="sr-Cyrl-CS"/>
        </w:rPr>
        <w:lastRenderedPageBreak/>
        <w:t>Царинским законом, из ког разлога промену није могуће остварити применом важећих прописа.</w:t>
      </w:r>
    </w:p>
    <w:p w14:paraId="310AB5DA" w14:textId="77777777" w:rsidR="005F532D" w:rsidRPr="00914E0B" w:rsidRDefault="005F532D" w:rsidP="0009118B">
      <w:pPr>
        <w:spacing w:after="150"/>
        <w:jc w:val="both"/>
        <w:rPr>
          <w:rFonts w:ascii="Times New Roman" w:hAnsi="Times New Roman" w:cs="Times New Roman"/>
          <w:color w:val="000000"/>
          <w:sz w:val="24"/>
          <w:szCs w:val="24"/>
          <w:lang w:val="sr-Cyrl-CS"/>
        </w:rPr>
      </w:pPr>
    </w:p>
    <w:p w14:paraId="44799FFF" w14:textId="77777777" w:rsidR="00B22D09" w:rsidRPr="00914E0B" w:rsidRDefault="00B22D09" w:rsidP="00B22D09">
      <w:pPr>
        <w:spacing w:after="150"/>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10) Квантитативно (нумерички, статистички) представити очекиване трендове у предметној области, уколико се одустане од интервенције (</w:t>
      </w:r>
      <w:r w:rsidRPr="00914E0B">
        <w:rPr>
          <w:rFonts w:ascii="Times New Roman" w:hAnsi="Times New Roman" w:cs="Times New Roman"/>
          <w:i/>
          <w:color w:val="000000"/>
          <w:sz w:val="24"/>
          <w:szCs w:val="24"/>
          <w:lang w:val="sr-Cyrl-CS"/>
        </w:rPr>
        <w:t>status quo</w:t>
      </w:r>
      <w:r w:rsidRPr="00914E0B">
        <w:rPr>
          <w:rFonts w:ascii="Times New Roman" w:hAnsi="Times New Roman" w:cs="Times New Roman"/>
          <w:color w:val="000000"/>
          <w:sz w:val="24"/>
          <w:szCs w:val="24"/>
          <w:lang w:val="sr-Cyrl-CS"/>
        </w:rPr>
        <w:t>).</w:t>
      </w:r>
    </w:p>
    <w:p w14:paraId="08FBD1FB" w14:textId="77777777" w:rsidR="00B22D09" w:rsidRPr="00914E0B" w:rsidRDefault="00B22D09" w:rsidP="00B22D09">
      <w:pPr>
        <w:spacing w:after="150"/>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11) Какво је искуство у остваривању оваквих промена у поређењу са искуством других држава, односно локалних самоуправа (ако је реч о јавној политици или акту локалне самоуправе)?</w:t>
      </w:r>
    </w:p>
    <w:p w14:paraId="1D990A06" w14:textId="77777777" w:rsidR="0009118B" w:rsidRPr="00914E0B" w:rsidRDefault="0009118B" w:rsidP="00B22D09">
      <w:pPr>
        <w:spacing w:after="150"/>
        <w:jc w:val="right"/>
        <w:rPr>
          <w:rFonts w:ascii="Times New Roman" w:hAnsi="Times New Roman" w:cs="Times New Roman"/>
          <w:color w:val="000000"/>
          <w:sz w:val="24"/>
          <w:szCs w:val="24"/>
          <w:lang w:val="sr-Cyrl-CS"/>
        </w:rPr>
      </w:pPr>
    </w:p>
    <w:p w14:paraId="3FB34394" w14:textId="4051CFAE"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3:</w:t>
      </w:r>
    </w:p>
    <w:p w14:paraId="5B3463D9" w14:textId="77777777"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утврђивање циљева</w:t>
      </w:r>
    </w:p>
    <w:p w14:paraId="03E768EE" w14:textId="4847E83E" w:rsidR="00B22D09" w:rsidRPr="00914E0B" w:rsidRDefault="00B22D09" w:rsidP="00C64248">
      <w:pPr>
        <w:pStyle w:val="ListParagraph"/>
        <w:numPr>
          <w:ilvl w:val="0"/>
          <w:numId w:val="1"/>
        </w:numPr>
        <w:spacing w:after="150"/>
        <w:ind w:left="0" w:firstLine="142"/>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Због чега је неопходно постићи жељену промену на нивоу друштва? (одговором на ово питање дефинише се општи циљ).</w:t>
      </w:r>
    </w:p>
    <w:p w14:paraId="46AA2362" w14:textId="5AB3143B" w:rsidR="00EB1CF9" w:rsidRPr="00914E0B" w:rsidRDefault="00303772" w:rsidP="00303772">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Начин извршења прекршаја и саме прекршајне одредбе, на начин како је то било пр</w:t>
      </w:r>
      <w:r w:rsidR="00FC7D9E">
        <w:rPr>
          <w:rFonts w:ascii="Times New Roman" w:hAnsi="Times New Roman" w:cs="Times New Roman"/>
          <w:sz w:val="24"/>
          <w:szCs w:val="24"/>
          <w:lang w:val="sr-Cyrl-CS"/>
        </w:rPr>
        <w:t>описано Царинским законом („Службени гласник РС”,</w:t>
      </w:r>
      <w:r w:rsidRPr="00914E0B">
        <w:rPr>
          <w:rFonts w:ascii="Times New Roman" w:hAnsi="Times New Roman" w:cs="Times New Roman"/>
          <w:sz w:val="24"/>
          <w:szCs w:val="24"/>
          <w:lang w:val="sr-Cyrl-CS"/>
        </w:rPr>
        <w:t xml:space="preserve"> бр. 9</w:t>
      </w:r>
      <w:r w:rsidR="00FC7D9E">
        <w:rPr>
          <w:rFonts w:ascii="Times New Roman" w:hAnsi="Times New Roman" w:cs="Times New Roman"/>
          <w:sz w:val="24"/>
          <w:szCs w:val="24"/>
          <w:lang w:val="sr-Cyrl-CS"/>
        </w:rPr>
        <w:t>5/18...118/</w:t>
      </w:r>
      <w:r w:rsidRPr="00914E0B">
        <w:rPr>
          <w:rFonts w:ascii="Times New Roman" w:hAnsi="Times New Roman" w:cs="Times New Roman"/>
          <w:sz w:val="24"/>
          <w:szCs w:val="24"/>
          <w:lang w:val="sr-Cyrl-CS"/>
        </w:rPr>
        <w:t>21), не обезбеђују у довољној мери превентиву за нечињење прекршаја, а такође и не обухватају, на адекватан начин, поједина поступања која су супротна материјалним одредбама Царинског закона, из ког разлога је потребно и извршити измене и допуне прекршајних одредби тренутно важећег Царинског закона.</w:t>
      </w:r>
    </w:p>
    <w:p w14:paraId="5FB137EB" w14:textId="142A65A9"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2) Шта се предметном променом жели постићи? (одговором на ово питање дефинишу се посебни циљеви, чије постизање треба да доводе до остварења општег циља. У односу на посебне циљеве, формулишу се мере за њихово постизање).</w:t>
      </w:r>
    </w:p>
    <w:p w14:paraId="7C87F151" w14:textId="0434CE37" w:rsidR="00303772" w:rsidRPr="00914E0B" w:rsidRDefault="0009118B" w:rsidP="00303772">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Конкретно, </w:t>
      </w:r>
      <w:r w:rsidR="00303772" w:rsidRPr="00914E0B">
        <w:rPr>
          <w:rFonts w:ascii="Times New Roman" w:hAnsi="Times New Roman" w:cs="Times New Roman"/>
          <w:sz w:val="24"/>
          <w:szCs w:val="24"/>
          <w:lang w:val="sr-Cyrl-CS"/>
        </w:rPr>
        <w:t>додавањем новог члана 264а, који детаљније регулише уношење и изношење робе преко граничних прелаза, омогућено је да радње супротне тој законској одредби буду адекватно санкционисане у складу са прекршајним одредбама (у предложеном члану 265. став 1. тачка 1</w:t>
      </w:r>
      <w:r w:rsidR="00210A8E" w:rsidRPr="00914E0B">
        <w:rPr>
          <w:rFonts w:ascii="Times New Roman" w:hAnsi="Times New Roman" w:cs="Times New Roman"/>
          <w:sz w:val="24"/>
          <w:szCs w:val="24"/>
          <w:lang w:val="sr-Cyrl-CS"/>
        </w:rPr>
        <w:t>0</w:t>
      </w:r>
      <w:r w:rsidR="00303772" w:rsidRPr="00914E0B">
        <w:rPr>
          <w:rFonts w:ascii="Times New Roman" w:hAnsi="Times New Roman" w:cs="Times New Roman"/>
          <w:sz w:val="24"/>
          <w:szCs w:val="24"/>
          <w:lang w:val="sr-Cyrl-CS"/>
        </w:rPr>
        <w:t>).</w:t>
      </w:r>
    </w:p>
    <w:p w14:paraId="1DA3EA62" w14:textId="081E27E4" w:rsidR="00303772" w:rsidRPr="00914E0B" w:rsidRDefault="00303772" w:rsidP="00303772">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Изменама</w:t>
      </w:r>
      <w:r w:rsidR="00125DDA" w:rsidRPr="00914E0B">
        <w:rPr>
          <w:rFonts w:ascii="Times New Roman" w:hAnsi="Times New Roman" w:cs="Times New Roman"/>
          <w:sz w:val="24"/>
          <w:szCs w:val="24"/>
          <w:lang w:val="sr-Cyrl-CS"/>
        </w:rPr>
        <w:t xml:space="preserve"> члана 266. Царинског закона прецизирани су </w:t>
      </w:r>
      <w:r w:rsidRPr="00914E0B">
        <w:rPr>
          <w:rFonts w:ascii="Times New Roman" w:hAnsi="Times New Roman" w:cs="Times New Roman"/>
          <w:sz w:val="24"/>
          <w:szCs w:val="24"/>
          <w:lang w:val="sr-Cyrl-CS"/>
        </w:rPr>
        <w:t>царински прекршаји тренутно прописа</w:t>
      </w:r>
      <w:r w:rsidR="00125DDA" w:rsidRPr="00914E0B">
        <w:rPr>
          <w:rFonts w:ascii="Times New Roman" w:hAnsi="Times New Roman" w:cs="Times New Roman"/>
          <w:sz w:val="24"/>
          <w:szCs w:val="24"/>
          <w:lang w:val="sr-Cyrl-CS"/>
        </w:rPr>
        <w:t>ни чланом 267. Царинског закона</w:t>
      </w:r>
      <w:r w:rsidRPr="00914E0B">
        <w:rPr>
          <w:rFonts w:ascii="Times New Roman" w:hAnsi="Times New Roman" w:cs="Times New Roman"/>
          <w:sz w:val="24"/>
          <w:szCs w:val="24"/>
          <w:lang w:val="sr-Cyrl-CS"/>
        </w:rPr>
        <w:t>, у неким случајевима, уз раздвајање радње једног прекршаја (како је до са</w:t>
      </w:r>
      <w:r w:rsidR="00822A0B">
        <w:rPr>
          <w:rFonts w:ascii="Times New Roman" w:hAnsi="Times New Roman" w:cs="Times New Roman"/>
          <w:sz w:val="24"/>
          <w:szCs w:val="24"/>
          <w:lang w:val="sr-Cyrl-CS"/>
        </w:rPr>
        <w:t>да било прописано) на два прекр</w:t>
      </w:r>
      <w:r w:rsidRPr="00914E0B">
        <w:rPr>
          <w:rFonts w:ascii="Times New Roman" w:hAnsi="Times New Roman" w:cs="Times New Roman"/>
          <w:sz w:val="24"/>
          <w:szCs w:val="24"/>
          <w:lang w:val="sr-Cyrl-CS"/>
        </w:rPr>
        <w:t xml:space="preserve">шаја (нпр. царински прекршај из тренутно важећег члана 267. став 1. тачка 4) постаје прекршај прописан чланом 266. став 1. тач. 8) и 9). </w:t>
      </w:r>
    </w:p>
    <w:p w14:paraId="5F65CD64" w14:textId="07ED1C57" w:rsidR="00D526BA" w:rsidRPr="00914E0B" w:rsidRDefault="00D526BA" w:rsidP="00D526B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Једна од новина у </w:t>
      </w:r>
      <w:r w:rsidR="00571231" w:rsidRPr="00914E0B">
        <w:rPr>
          <w:rFonts w:ascii="Times New Roman" w:hAnsi="Times New Roman" w:cs="Times New Roman"/>
          <w:sz w:val="24"/>
          <w:szCs w:val="24"/>
          <w:lang w:val="sr-Cyrl-CS"/>
        </w:rPr>
        <w:t>Предлогу</w:t>
      </w:r>
      <w:r w:rsidRPr="00914E0B">
        <w:rPr>
          <w:rFonts w:ascii="Times New Roman" w:hAnsi="Times New Roman" w:cs="Times New Roman"/>
          <w:sz w:val="24"/>
          <w:szCs w:val="24"/>
          <w:lang w:val="sr-Cyrl-CS"/>
        </w:rPr>
        <w:t xml:space="preserve"> закона о изменама и допун</w:t>
      </w:r>
      <w:r w:rsidR="00571231" w:rsidRPr="00914E0B">
        <w:rPr>
          <w:rFonts w:ascii="Times New Roman" w:hAnsi="Times New Roman" w:cs="Times New Roman"/>
          <w:sz w:val="24"/>
          <w:szCs w:val="24"/>
          <w:lang w:val="sr-Cyrl-CS"/>
        </w:rPr>
        <w:t>и</w:t>
      </w:r>
      <w:r w:rsidRPr="00914E0B">
        <w:rPr>
          <w:rFonts w:ascii="Times New Roman" w:hAnsi="Times New Roman" w:cs="Times New Roman"/>
          <w:sz w:val="24"/>
          <w:szCs w:val="24"/>
          <w:lang w:val="sr-Cyrl-CS"/>
        </w:rPr>
        <w:t xml:space="preserve"> Царинског закона односи се на увођење прекршаја у члану 266. став 1. тачка 15) Царинског закона, којим је прописана новчана казна у износу од 15.000 динара до </w:t>
      </w:r>
      <w:r w:rsidR="003A280F" w:rsidRPr="00914E0B">
        <w:rPr>
          <w:rFonts w:ascii="Times New Roman" w:hAnsi="Times New Roman" w:cs="Times New Roman"/>
          <w:sz w:val="24"/>
          <w:szCs w:val="24"/>
          <w:lang w:val="sr-Cyrl-CS"/>
        </w:rPr>
        <w:t>150.000 динара</w:t>
      </w:r>
      <w:r w:rsidRPr="00914E0B">
        <w:rPr>
          <w:rFonts w:ascii="Times New Roman" w:hAnsi="Times New Roman" w:cs="Times New Roman"/>
          <w:sz w:val="24"/>
          <w:szCs w:val="24"/>
          <w:lang w:val="sr-Cyrl-CS"/>
        </w:rPr>
        <w:t xml:space="preserve">, за физичко лице које не поднесе декларацију за робу некомерцијалне природе. С тим у вези </w:t>
      </w:r>
      <w:r w:rsidR="003A280F" w:rsidRPr="00914E0B">
        <w:rPr>
          <w:rFonts w:ascii="Times New Roman" w:hAnsi="Times New Roman" w:cs="Times New Roman"/>
          <w:sz w:val="24"/>
          <w:szCs w:val="24"/>
          <w:lang w:val="sr-Cyrl-CS"/>
        </w:rPr>
        <w:t>су и чл</w:t>
      </w:r>
      <w:r w:rsidR="00822A0B">
        <w:rPr>
          <w:rFonts w:ascii="Times New Roman" w:hAnsi="Times New Roman" w:cs="Times New Roman"/>
          <w:sz w:val="24"/>
          <w:szCs w:val="24"/>
          <w:lang w:val="sr-Cyrl-CS"/>
        </w:rPr>
        <w:t>.</w:t>
      </w:r>
      <w:r w:rsidR="003A280F" w:rsidRPr="00914E0B">
        <w:rPr>
          <w:rFonts w:ascii="Times New Roman" w:hAnsi="Times New Roman" w:cs="Times New Roman"/>
          <w:sz w:val="24"/>
          <w:szCs w:val="24"/>
          <w:lang w:val="sr-Cyrl-CS"/>
        </w:rPr>
        <w:t xml:space="preserve"> 268. и 269. </w:t>
      </w:r>
    </w:p>
    <w:p w14:paraId="5F8567BE" w14:textId="512A5BF9" w:rsidR="00D526BA" w:rsidRPr="00914E0B" w:rsidRDefault="00D526BA" w:rsidP="00D526B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lastRenderedPageBreak/>
        <w:t>Наиме, чланом 26</w:t>
      </w:r>
      <w:r w:rsidR="003A280F" w:rsidRPr="00914E0B">
        <w:rPr>
          <w:rFonts w:ascii="Times New Roman" w:hAnsi="Times New Roman" w:cs="Times New Roman"/>
          <w:sz w:val="24"/>
          <w:szCs w:val="24"/>
          <w:lang w:val="sr-Cyrl-CS"/>
        </w:rPr>
        <w:t>8</w:t>
      </w:r>
      <w:r w:rsidRPr="00914E0B">
        <w:rPr>
          <w:rFonts w:ascii="Times New Roman" w:hAnsi="Times New Roman" w:cs="Times New Roman"/>
          <w:sz w:val="24"/>
          <w:szCs w:val="24"/>
          <w:lang w:val="sr-Cyrl-CS"/>
        </w:rPr>
        <w:t>. прописује се да ће се новчаном казном у износу од 20.000 динара казнити, између осталог, физичко лице које изврши прекршај из члана 266. став 1. тачка 15)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 Чланом 269</w:t>
      </w:r>
      <w:r w:rsidR="003A280F" w:rsidRPr="00914E0B">
        <w:rPr>
          <w:rFonts w:ascii="Times New Roman" w:hAnsi="Times New Roman" w:cs="Times New Roman"/>
          <w:sz w:val="24"/>
          <w:szCs w:val="24"/>
          <w:lang w:val="sr-Cyrl-CS"/>
        </w:rPr>
        <w:t>.</w:t>
      </w:r>
      <w:r w:rsidRPr="00914E0B">
        <w:rPr>
          <w:rFonts w:ascii="Times New Roman" w:hAnsi="Times New Roman" w:cs="Times New Roman"/>
          <w:sz w:val="24"/>
          <w:szCs w:val="24"/>
          <w:lang w:val="sr-Cyrl-CS"/>
        </w:rPr>
        <w:t xml:space="preserve"> прописује се да ће се новчаном казном у износу од 30.000 динара казнити физичко лице за прекршај из члана 266. став 1. тачка 15) овог закона које не поднесе декларацију за робу некомерцијалног карактера, под условом да царинска вредност робе која је предмет прекршаја прелази износ од 1.000 евра, а не прелази износ од 3.000 евра,  у динарској противвредности, прерачунато у складу са чланом 39. овог закона. </w:t>
      </w:r>
    </w:p>
    <w:p w14:paraId="01607481" w14:textId="41D21842" w:rsidR="00D526BA" w:rsidRPr="00914E0B" w:rsidRDefault="00D526BA" w:rsidP="00D526BA">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У тренутно важећем Царинском закону, сви ови прекршаји санкционисани су чланом 265. Царинског закона, за који се изриче и заштитна мера одузимања робе, у складу са чланом 271. Царинског закона, што је утицало на покретање и вођење прекршајних поступака против физичких лица за робу некомерцијалног карактера, за личну употребу, као и на дужину трајања тих прекршајних поступака  код прекршајних судова. Предложене измене у члану 26</w:t>
      </w:r>
      <w:r w:rsidR="00210A8E" w:rsidRPr="00914E0B">
        <w:rPr>
          <w:rFonts w:ascii="Times New Roman" w:hAnsi="Times New Roman" w:cs="Times New Roman"/>
          <w:sz w:val="24"/>
          <w:szCs w:val="24"/>
          <w:lang w:val="sr-Cyrl-CS"/>
        </w:rPr>
        <w:t>8</w:t>
      </w:r>
      <w:r w:rsidRPr="00914E0B">
        <w:rPr>
          <w:rFonts w:ascii="Times New Roman" w:hAnsi="Times New Roman" w:cs="Times New Roman"/>
          <w:sz w:val="24"/>
          <w:szCs w:val="24"/>
          <w:lang w:val="sr-Cyrl-CS"/>
        </w:rPr>
        <w:t>.</w:t>
      </w:r>
      <w:r w:rsidR="00210A8E" w:rsidRPr="00914E0B">
        <w:rPr>
          <w:rFonts w:ascii="Times New Roman" w:hAnsi="Times New Roman" w:cs="Times New Roman"/>
          <w:sz w:val="24"/>
          <w:szCs w:val="24"/>
          <w:lang w:val="sr-Cyrl-CS"/>
        </w:rPr>
        <w:t xml:space="preserve"> </w:t>
      </w:r>
      <w:r w:rsidRPr="00914E0B">
        <w:rPr>
          <w:rFonts w:ascii="Times New Roman" w:hAnsi="Times New Roman" w:cs="Times New Roman"/>
          <w:sz w:val="24"/>
          <w:szCs w:val="24"/>
          <w:lang w:val="sr-Cyrl-CS"/>
        </w:rPr>
        <w:t xml:space="preserve">и </w:t>
      </w:r>
      <w:r w:rsidR="00210A8E" w:rsidRPr="00914E0B">
        <w:rPr>
          <w:rFonts w:ascii="Times New Roman" w:hAnsi="Times New Roman" w:cs="Times New Roman"/>
          <w:sz w:val="24"/>
          <w:szCs w:val="24"/>
          <w:lang w:val="sr-Cyrl-CS"/>
        </w:rPr>
        <w:t>269,</w:t>
      </w:r>
      <w:r w:rsidRPr="00914E0B">
        <w:rPr>
          <w:rFonts w:ascii="Times New Roman" w:hAnsi="Times New Roman" w:cs="Times New Roman"/>
          <w:sz w:val="24"/>
          <w:szCs w:val="24"/>
          <w:lang w:val="sr-Cyrl-CS"/>
        </w:rPr>
        <w:t xml:space="preserve"> како је претходно објашњено, допринеће растерећењу рада прекршајних судова, а са друге стране, убрзаће и прилив  средстава у буџет Републике Србије.</w:t>
      </w:r>
    </w:p>
    <w:p w14:paraId="2CBB1AD3" w14:textId="352460E5" w:rsidR="00B22D09" w:rsidRPr="00914E0B" w:rsidRDefault="00EA6C8F"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3) </w:t>
      </w:r>
      <w:r w:rsidR="00B22D09" w:rsidRPr="00914E0B">
        <w:rPr>
          <w:rFonts w:ascii="Times New Roman" w:hAnsi="Times New Roman" w:cs="Times New Roman"/>
          <w:color w:val="000000"/>
          <w:sz w:val="24"/>
          <w:szCs w:val="24"/>
          <w:lang w:val="sr-Cyrl-CS"/>
        </w:rPr>
        <w:t>Да ли су општи и посебни циљеви усклађени са важећим документима јавних политика и постојећим правним оквиром, а пре свега са приоритетним циљевима Владе?</w:t>
      </w:r>
    </w:p>
    <w:p w14:paraId="7E30F22A" w14:textId="128EACD1" w:rsidR="006B4AE6" w:rsidRPr="00914E0B" w:rsidRDefault="006B4AE6" w:rsidP="006B4AE6">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Општи и посебни циљеви усклађени са постојећим правним оквиром (тренутно важећим Царинским законом и Законом о прекршајима).</w:t>
      </w:r>
    </w:p>
    <w:p w14:paraId="4CC0E730" w14:textId="096B31B0" w:rsidR="007238A5"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4) На основу којих показатеља учинка ће бити могуће утврдити да ли је дошло до остваривања општих односно посебних циљева?</w:t>
      </w:r>
    </w:p>
    <w:p w14:paraId="705DE727" w14:textId="7D47D567" w:rsidR="0073555A" w:rsidRPr="00914E0B" w:rsidRDefault="0073555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На основу износа наплаћених потраживања у прекршајном поступку, односно на основу износа наплаћених потраживања по основу издатих прекршајних налога, биће могуће утврдити да ли је дошло до остваривања општих односно посебних циљева.</w:t>
      </w:r>
    </w:p>
    <w:p w14:paraId="5B5F3E00" w14:textId="76B93640" w:rsidR="0073555A" w:rsidRPr="00914E0B" w:rsidRDefault="0073555A" w:rsidP="0073555A">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Наиме, и поред чињенице да број покренутих прекршајних поступака, односно издатих прекршајних налога, има тенденцију пада, што показује табела садржана у тачки 1) у делу „Кључна питања за анализу постојећег стања и правилно дефинисање промене која се предлажеˮ (</w:t>
      </w:r>
      <w:r w:rsidR="00720EFE" w:rsidRPr="00914E0B">
        <w:rPr>
          <w:rFonts w:ascii="Times New Roman" w:hAnsi="Times New Roman" w:cs="Times New Roman"/>
          <w:color w:val="000000"/>
          <w:sz w:val="24"/>
          <w:szCs w:val="24"/>
          <w:lang w:val="sr-Cyrl-CS"/>
        </w:rPr>
        <w:t>у 2020. години број покренутих прекршајних поступака био је 2820, у 2021. години 2442, а у првих девет месеци 2022. години тај број износи 1776)</w:t>
      </w:r>
      <w:r w:rsidRPr="00914E0B">
        <w:rPr>
          <w:rFonts w:ascii="Times New Roman" w:hAnsi="Times New Roman" w:cs="Times New Roman"/>
          <w:color w:val="000000"/>
          <w:sz w:val="24"/>
          <w:szCs w:val="24"/>
          <w:lang w:val="sr-Cyrl-CS"/>
        </w:rPr>
        <w:t>, из исте табеле се може закључити да је износ наплаћених потраживања у прекршајном поступку у порасту</w:t>
      </w:r>
      <w:r w:rsidR="00720EFE" w:rsidRPr="00914E0B">
        <w:rPr>
          <w:rFonts w:ascii="Times New Roman" w:hAnsi="Times New Roman" w:cs="Times New Roman"/>
          <w:color w:val="000000"/>
          <w:sz w:val="24"/>
          <w:szCs w:val="24"/>
          <w:lang w:val="sr-Cyrl-CS"/>
        </w:rPr>
        <w:t xml:space="preserve"> (у 2020. години 3.684.651,38 динара, у 2021. години 3.041.912,05 динара, а за првих девет месеци 2022. године 5.275.818,54 динара)</w:t>
      </w:r>
      <w:r w:rsidRPr="00914E0B">
        <w:rPr>
          <w:rFonts w:ascii="Times New Roman" w:hAnsi="Times New Roman" w:cs="Times New Roman"/>
          <w:color w:val="000000"/>
          <w:sz w:val="24"/>
          <w:szCs w:val="24"/>
          <w:lang w:val="sr-Cyrl-CS"/>
        </w:rPr>
        <w:t>. Из тог разлога сматрамо да ће на основу износа наплаћених потраживања у прекршајном поступку, односно на основу износа наплаћених потраживања по основу издатих прекршајних налога, бити могуће утврдити да ли је дошло до остваривања општих односно посебних циљева</w:t>
      </w:r>
      <w:r w:rsidR="00720EFE" w:rsidRPr="00914E0B">
        <w:rPr>
          <w:rFonts w:ascii="Times New Roman" w:hAnsi="Times New Roman" w:cs="Times New Roman"/>
          <w:color w:val="000000"/>
          <w:sz w:val="24"/>
          <w:szCs w:val="24"/>
          <w:lang w:val="sr-Cyrl-CS"/>
        </w:rPr>
        <w:t>.</w:t>
      </w:r>
    </w:p>
    <w:p w14:paraId="7A0C7656" w14:textId="4B24B24F" w:rsidR="00876675" w:rsidRPr="00914E0B" w:rsidRDefault="00876675" w:rsidP="00C64248">
      <w:pPr>
        <w:spacing w:after="150"/>
        <w:jc w:val="both"/>
        <w:rPr>
          <w:rFonts w:ascii="Times New Roman" w:hAnsi="Times New Roman" w:cs="Times New Roman"/>
          <w:sz w:val="24"/>
          <w:szCs w:val="24"/>
          <w:lang w:val="sr-Cyrl-CS"/>
        </w:rPr>
      </w:pPr>
    </w:p>
    <w:p w14:paraId="59D95E49" w14:textId="77777777" w:rsidR="00876675" w:rsidRPr="00914E0B" w:rsidRDefault="00876675" w:rsidP="00C64248">
      <w:pPr>
        <w:spacing w:after="150"/>
        <w:jc w:val="both"/>
        <w:rPr>
          <w:rFonts w:ascii="Times New Roman" w:hAnsi="Times New Roman" w:cs="Times New Roman"/>
          <w:sz w:val="24"/>
          <w:szCs w:val="24"/>
          <w:lang w:val="sr-Cyrl-CS"/>
        </w:rPr>
      </w:pPr>
    </w:p>
    <w:p w14:paraId="36A1A9F4" w14:textId="77777777" w:rsidR="00B22D09" w:rsidRPr="00914E0B" w:rsidRDefault="00B22D09" w:rsidP="007238A5">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4:</w:t>
      </w:r>
    </w:p>
    <w:p w14:paraId="7301C031" w14:textId="3808593C"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идентификовање опција јавних политика</w:t>
      </w:r>
    </w:p>
    <w:p w14:paraId="25370DBD" w14:textId="177E3047" w:rsidR="00B22D09" w:rsidRPr="00914E0B" w:rsidRDefault="007238A5"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Које релевантне опције (алтернативне мере, односно групе мера) за остварење циља су узете у разматрање? Да ли је разматрана „</w:t>
      </w:r>
      <w:r w:rsidR="00B22D09" w:rsidRPr="00914E0B">
        <w:rPr>
          <w:rFonts w:ascii="Times New Roman" w:hAnsi="Times New Roman" w:cs="Times New Roman"/>
          <w:i/>
          <w:color w:val="000000"/>
          <w:sz w:val="24"/>
          <w:szCs w:val="24"/>
          <w:lang w:val="sr-Cyrl-CS"/>
        </w:rPr>
        <w:t>status quo</w:t>
      </w:r>
      <w:r w:rsidR="00B22D09" w:rsidRPr="00914E0B">
        <w:rPr>
          <w:rFonts w:ascii="Times New Roman" w:hAnsi="Times New Roman" w:cs="Times New Roman"/>
          <w:color w:val="000000"/>
          <w:sz w:val="24"/>
          <w:szCs w:val="24"/>
          <w:lang w:val="sr-Cyrl-CS"/>
        </w:rPr>
        <w:t>” опција?</w:t>
      </w:r>
    </w:p>
    <w:p w14:paraId="2909D573" w14:textId="67AD199A" w:rsidR="007238A5" w:rsidRPr="00914E0B" w:rsidRDefault="007238A5"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Имајући у виду да је по</w:t>
      </w:r>
      <w:r w:rsidR="00876675" w:rsidRPr="00914E0B">
        <w:rPr>
          <w:rFonts w:ascii="Times New Roman" w:hAnsi="Times New Roman" w:cs="Times New Roman"/>
          <w:sz w:val="24"/>
          <w:szCs w:val="24"/>
          <w:lang w:val="sr-Cyrl-CS"/>
        </w:rPr>
        <w:t>требно изменити законске норме</w:t>
      </w:r>
      <w:r w:rsidRPr="00914E0B">
        <w:rPr>
          <w:rFonts w:ascii="Times New Roman" w:hAnsi="Times New Roman" w:cs="Times New Roman"/>
          <w:sz w:val="24"/>
          <w:szCs w:val="24"/>
          <w:lang w:val="sr-Cyrl-CS"/>
        </w:rPr>
        <w:t>, то не постоји друга могућност за решавање проблема, него кроз доношење Закона о изменама и допун</w:t>
      </w:r>
      <w:r w:rsidR="00571231" w:rsidRPr="00914E0B">
        <w:rPr>
          <w:rFonts w:ascii="Times New Roman" w:hAnsi="Times New Roman" w:cs="Times New Roman"/>
          <w:sz w:val="24"/>
          <w:szCs w:val="24"/>
          <w:lang w:val="sr-Cyrl-CS"/>
        </w:rPr>
        <w:t>и</w:t>
      </w:r>
      <w:r w:rsidRPr="00914E0B">
        <w:rPr>
          <w:rFonts w:ascii="Times New Roman" w:hAnsi="Times New Roman" w:cs="Times New Roman"/>
          <w:sz w:val="24"/>
          <w:szCs w:val="24"/>
          <w:lang w:val="sr-Cyrl-CS"/>
        </w:rPr>
        <w:t xml:space="preserve"> Царинског закона. „Status quo” опција није разматрана.</w:t>
      </w:r>
    </w:p>
    <w:p w14:paraId="4C16E1E7" w14:textId="580B3238" w:rsidR="00B22D09" w:rsidRPr="00914E0B" w:rsidRDefault="007238A5"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2) </w:t>
      </w:r>
      <w:r w:rsidR="00B22D09" w:rsidRPr="00914E0B">
        <w:rPr>
          <w:rFonts w:ascii="Times New Roman" w:hAnsi="Times New Roman" w:cs="Times New Roman"/>
          <w:color w:val="000000"/>
          <w:sz w:val="24"/>
          <w:szCs w:val="24"/>
          <w:lang w:val="sr-Cyrl-CS"/>
        </w:rPr>
        <w:t>Да ли су, поред регулаторних мера, идентификоване и друге опције за постизање жељене промене и анализирани њихови потенцијални ефекти?</w:t>
      </w:r>
    </w:p>
    <w:p w14:paraId="76A6CE2C" w14:textId="2E80C628" w:rsidR="007238A5" w:rsidRPr="00914E0B" w:rsidRDefault="007238A5"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Нису идентификоване друге опције за постизање жељене промене.</w:t>
      </w:r>
    </w:p>
    <w:p w14:paraId="24E53762"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3) Да ли су, поред рестриктивних мера (забране, ограничења, санкције и слично) испитане и подстицајне мере за постизање посебног циља?</w:t>
      </w:r>
    </w:p>
    <w:p w14:paraId="088A63A0" w14:textId="1D3EAACD"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4) Да ли су у оквиру разматраних опција идентификоване институционално управљачко организационе мере које је неопходно спровести да би се постигли посебни циљеви?</w:t>
      </w:r>
    </w:p>
    <w:p w14:paraId="082B2BC7" w14:textId="704FB7E3" w:rsidR="007238A5" w:rsidRPr="00914E0B" w:rsidRDefault="007238A5"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Нису идентификоване институционално управљачко организационе мере које је неопходно спровести да би се постигли посебни циљеви.</w:t>
      </w:r>
    </w:p>
    <w:p w14:paraId="401CAD5E" w14:textId="3D4E639B"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5) Да ли се промена може постићи кроз спровођење информативно-едукативних мера?</w:t>
      </w:r>
    </w:p>
    <w:p w14:paraId="03501558" w14:textId="29476237" w:rsidR="007238A5" w:rsidRPr="00914E0B" w:rsidRDefault="007238A5"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Промена се може постићи искључиво кроз измене и допун</w:t>
      </w:r>
      <w:r w:rsidR="00571231" w:rsidRPr="00914E0B">
        <w:rPr>
          <w:rFonts w:ascii="Times New Roman" w:hAnsi="Times New Roman" w:cs="Times New Roman"/>
          <w:color w:val="000000"/>
          <w:sz w:val="24"/>
          <w:szCs w:val="24"/>
          <w:lang w:val="sr-Cyrl-CS"/>
        </w:rPr>
        <w:t>у</w:t>
      </w:r>
      <w:r w:rsidRPr="00914E0B">
        <w:rPr>
          <w:rFonts w:ascii="Times New Roman" w:hAnsi="Times New Roman" w:cs="Times New Roman"/>
          <w:color w:val="000000"/>
          <w:sz w:val="24"/>
          <w:szCs w:val="24"/>
          <w:lang w:val="sr-Cyrl-CS"/>
        </w:rPr>
        <w:t xml:space="preserve"> Царинског закона, а не кроз спровођење информативно-едукативних мера.</w:t>
      </w:r>
    </w:p>
    <w:p w14:paraId="2733CA7D" w14:textId="6A6CDBC9"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6) Да ли циљне групе и друге заинтересоване стране из цивилног и приватног сектора могу да буду укључене у процес спровођења јавне политике, односно прописа или се проблем може решити искључиво интервенцијом јавног сектора?</w:t>
      </w:r>
    </w:p>
    <w:p w14:paraId="6D3896FE" w14:textId="5BA371B6" w:rsidR="00393C35" w:rsidRPr="00914E0B" w:rsidRDefault="00393C35"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Проблем се може решити искључиво интервенцијом јавног сектора, кроз доношење Закона о изменама и допуни Царинског закона.</w:t>
      </w:r>
    </w:p>
    <w:p w14:paraId="08EBE100"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7) Да ли постоје расположиви, односно потенцијални ресурси за спровођење идентификованих опција?</w:t>
      </w:r>
    </w:p>
    <w:p w14:paraId="5C236A55"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8) Која опција је изабрана за спровођење и на основу чега је процењено да ће се том опцијом постићи жељена промена и остварење утврђених циљева?</w:t>
      </w:r>
    </w:p>
    <w:p w14:paraId="3A4C741C" w14:textId="2E64E629" w:rsidR="007238A5" w:rsidRDefault="007238A5" w:rsidP="00B22D09">
      <w:pPr>
        <w:spacing w:after="150"/>
        <w:jc w:val="right"/>
        <w:rPr>
          <w:rFonts w:ascii="Times New Roman" w:hAnsi="Times New Roman" w:cs="Times New Roman"/>
          <w:color w:val="000000"/>
          <w:sz w:val="24"/>
          <w:szCs w:val="24"/>
          <w:lang w:val="sr-Cyrl-CS"/>
        </w:rPr>
      </w:pPr>
    </w:p>
    <w:p w14:paraId="6FDE8158" w14:textId="4614EDA0" w:rsidR="00822A0B" w:rsidRDefault="00822A0B" w:rsidP="00B22D09">
      <w:pPr>
        <w:spacing w:after="150"/>
        <w:jc w:val="right"/>
        <w:rPr>
          <w:rFonts w:ascii="Times New Roman" w:hAnsi="Times New Roman" w:cs="Times New Roman"/>
          <w:color w:val="000000"/>
          <w:sz w:val="24"/>
          <w:szCs w:val="24"/>
          <w:lang w:val="sr-Cyrl-CS"/>
        </w:rPr>
      </w:pPr>
    </w:p>
    <w:p w14:paraId="2BECF941" w14:textId="77777777" w:rsidR="00822A0B" w:rsidRPr="00914E0B" w:rsidRDefault="00822A0B" w:rsidP="00B22D09">
      <w:pPr>
        <w:spacing w:after="150"/>
        <w:jc w:val="right"/>
        <w:rPr>
          <w:rFonts w:ascii="Times New Roman" w:hAnsi="Times New Roman" w:cs="Times New Roman"/>
          <w:color w:val="000000"/>
          <w:sz w:val="24"/>
          <w:szCs w:val="24"/>
          <w:lang w:val="sr-Cyrl-CS"/>
        </w:rPr>
      </w:pPr>
    </w:p>
    <w:p w14:paraId="55B31499" w14:textId="47238FB2"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lastRenderedPageBreak/>
        <w:t>ПРИЛОГ 5:</w:t>
      </w:r>
    </w:p>
    <w:p w14:paraId="522A03A1" w14:textId="77777777" w:rsidR="00B22D09" w:rsidRPr="00914E0B" w:rsidRDefault="00B22D09" w:rsidP="00C64248">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финансијских ефеката</w:t>
      </w:r>
    </w:p>
    <w:p w14:paraId="30DA0D5B" w14:textId="606CCF7F" w:rsidR="00B22D09" w:rsidRPr="00914E0B" w:rsidRDefault="00393C35"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Какве ће ефекте изабранa опцијa имати на јавне приходе и расходе у средњем и дугом року?</w:t>
      </w:r>
    </w:p>
    <w:p w14:paraId="4A5762DD" w14:textId="63864AB1" w:rsidR="00393C35" w:rsidRPr="00914E0B" w:rsidRDefault="00E61287"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Изабрана опција неће утицати на јавне расходе</w:t>
      </w:r>
      <w:r w:rsidR="00125DDA" w:rsidRPr="00914E0B">
        <w:rPr>
          <w:rFonts w:ascii="Times New Roman" w:hAnsi="Times New Roman" w:cs="Times New Roman"/>
          <w:sz w:val="24"/>
          <w:szCs w:val="24"/>
          <w:lang w:val="sr-Cyrl-CS"/>
        </w:rPr>
        <w:t xml:space="preserve">, а утицај на јавне приходе је могућ, будући да се за поједине царинске прекршаје прописују веће казне у односу на постојеће, а прописују се и нови прекршаји. Међутим, конкретан утицај на јавне приходе није могуће са прецизношћу утврдити, будући да није могуће унапред знати да ли ће бити кршења законских норми и у ком обиму. </w:t>
      </w:r>
    </w:p>
    <w:p w14:paraId="383F3C0B" w14:textId="51F1CB83"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2) </w:t>
      </w:r>
      <w:r w:rsidR="00B22D09" w:rsidRPr="00914E0B">
        <w:rPr>
          <w:rFonts w:ascii="Times New Roman" w:hAnsi="Times New Roman" w:cs="Times New Roman"/>
          <w:color w:val="000000"/>
          <w:sz w:val="24"/>
          <w:szCs w:val="24"/>
          <w:lang w:val="sr-Cyrl-CS"/>
        </w:rPr>
        <w:t>Да ли је финансијске ресурсе за спровођење изабране опције потребно обезбедити у буџету, или из других извора финансирања и којих?</w:t>
      </w:r>
    </w:p>
    <w:p w14:paraId="3B80776B" w14:textId="68E900A0"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Није потребно обезбедити посебне финансијске ресурсе за спровођење изабране опције.</w:t>
      </w:r>
    </w:p>
    <w:p w14:paraId="6CEF3F9F" w14:textId="4DC9F77B"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3) Како ће спровођење изабране опције утицати на међународне финансијске обавезе?</w:t>
      </w:r>
    </w:p>
    <w:p w14:paraId="5827FF1A" w14:textId="59A7CB08" w:rsidR="00A9167A" w:rsidRPr="00914E0B" w:rsidRDefault="00A9167A" w:rsidP="00C64248">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Без утицаја на међународне финансијске обавезе.</w:t>
      </w:r>
    </w:p>
    <w:p w14:paraId="3168977F"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4) Колики су процењени трошкови увођења промена који проистичу из спровођења изабране опције (оснивање нових институција, реструктурирање постојећих институција и обука државних службеника) исказани у категоријама капиталних трошкова, текућих трошкова и зарада?</w:t>
      </w:r>
    </w:p>
    <w:p w14:paraId="1488A9CC"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5) Да ли је могуће финансирати расходе изабране опције кроз редистрибуцију постојећих средстава?</w:t>
      </w:r>
    </w:p>
    <w:p w14:paraId="59E6B599"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6) Какви ће бити ефекти спровођења изабране опције на расходе других институција?</w:t>
      </w:r>
    </w:p>
    <w:p w14:paraId="02D19B28" w14:textId="77777777"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6:</w:t>
      </w:r>
    </w:p>
    <w:p w14:paraId="3E3A0893" w14:textId="77777777" w:rsidR="00B22D09" w:rsidRPr="00914E0B" w:rsidRDefault="00B22D09" w:rsidP="00C64248">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економских ефеката</w:t>
      </w:r>
    </w:p>
    <w:p w14:paraId="5367CE57" w14:textId="525050FC"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Које трошкове и користи (материјалне и нематеријалне) ће изабрана опција проузроковати привреди, појединој грани, односно одређеној категорији привредних субјеката?</w:t>
      </w:r>
    </w:p>
    <w:p w14:paraId="773A799A" w14:textId="50BB521F"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Измене Царинског закона неће </w:t>
      </w:r>
      <w:r w:rsidR="00125DDA" w:rsidRPr="00914E0B">
        <w:rPr>
          <w:rFonts w:ascii="Times New Roman" w:hAnsi="Times New Roman" w:cs="Times New Roman"/>
          <w:sz w:val="24"/>
          <w:szCs w:val="24"/>
          <w:lang w:val="sr-Cyrl-CS"/>
        </w:rPr>
        <w:t>проузроковати трошкове привреди, уколико пословање привредних субјеката буде у складу са царинским прописима.</w:t>
      </w:r>
    </w:p>
    <w:p w14:paraId="5063AF67" w14:textId="67C94BDA"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2) </w:t>
      </w:r>
      <w:r w:rsidR="00B22D09" w:rsidRPr="00914E0B">
        <w:rPr>
          <w:rFonts w:ascii="Times New Roman" w:hAnsi="Times New Roman" w:cs="Times New Roman"/>
          <w:color w:val="000000"/>
          <w:sz w:val="24"/>
          <w:szCs w:val="24"/>
          <w:lang w:val="sr-Cyrl-CS"/>
        </w:rPr>
        <w:t>Да ли изабрана опција утиче на конкурентност привредних субјеката на домаћем и иностраном тржишту (укључујући и ефекте на конкурентност цена) и на који начин?</w:t>
      </w:r>
    </w:p>
    <w:p w14:paraId="6A3BA686" w14:textId="10672C59" w:rsidR="00A9167A" w:rsidRPr="00914E0B" w:rsidRDefault="00571231"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Предлог з</w:t>
      </w:r>
      <w:r w:rsidR="007248B1" w:rsidRPr="00914E0B">
        <w:rPr>
          <w:rFonts w:ascii="Times New Roman" w:hAnsi="Times New Roman" w:cs="Times New Roman"/>
          <w:sz w:val="24"/>
          <w:szCs w:val="24"/>
          <w:lang w:val="sr-Cyrl-CS"/>
        </w:rPr>
        <w:t>акон</w:t>
      </w:r>
      <w:r w:rsidRPr="00914E0B">
        <w:rPr>
          <w:rFonts w:ascii="Times New Roman" w:hAnsi="Times New Roman" w:cs="Times New Roman"/>
          <w:sz w:val="24"/>
          <w:szCs w:val="24"/>
          <w:lang w:val="sr-Cyrl-CS"/>
        </w:rPr>
        <w:t>а</w:t>
      </w:r>
      <w:r w:rsidR="007248B1" w:rsidRPr="00914E0B">
        <w:rPr>
          <w:rFonts w:ascii="Times New Roman" w:hAnsi="Times New Roman" w:cs="Times New Roman"/>
          <w:sz w:val="24"/>
          <w:szCs w:val="24"/>
          <w:lang w:val="sr-Cyrl-CS"/>
        </w:rPr>
        <w:t xml:space="preserve"> о изменама и допун</w:t>
      </w:r>
      <w:r w:rsidRPr="00914E0B">
        <w:rPr>
          <w:rFonts w:ascii="Times New Roman" w:hAnsi="Times New Roman" w:cs="Times New Roman"/>
          <w:sz w:val="24"/>
          <w:szCs w:val="24"/>
          <w:lang w:val="sr-Cyrl-CS"/>
        </w:rPr>
        <w:t>и</w:t>
      </w:r>
      <w:r w:rsidR="00A9167A" w:rsidRPr="00914E0B">
        <w:rPr>
          <w:rFonts w:ascii="Times New Roman" w:hAnsi="Times New Roman" w:cs="Times New Roman"/>
          <w:sz w:val="24"/>
          <w:szCs w:val="24"/>
          <w:lang w:val="sr-Cyrl-CS"/>
        </w:rPr>
        <w:t xml:space="preserve"> Царинског закона не утиче на конкурентност привредних субјеката на домаћем и иностраном тржишту.</w:t>
      </w:r>
    </w:p>
    <w:p w14:paraId="1B4CED6B" w14:textId="645282DB"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lastRenderedPageBreak/>
        <w:t xml:space="preserve">3) </w:t>
      </w:r>
      <w:r w:rsidR="00B22D09" w:rsidRPr="00914E0B">
        <w:rPr>
          <w:rFonts w:ascii="Times New Roman" w:hAnsi="Times New Roman" w:cs="Times New Roman"/>
          <w:color w:val="000000"/>
          <w:sz w:val="24"/>
          <w:szCs w:val="24"/>
          <w:lang w:val="sr-Cyrl-CS"/>
        </w:rPr>
        <w:t>Да ли изабране опције утичу на услове конкуренције и на који начин?</w:t>
      </w:r>
    </w:p>
    <w:p w14:paraId="54BE7894" w14:textId="03714347"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Не.</w:t>
      </w:r>
    </w:p>
    <w:p w14:paraId="713CE408" w14:textId="4C730937"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4) Да ли изабрана опција утиче на трансфер технологије и/или примену техничко-технолошких, организационих и пословних иновација и на који начин?</w:t>
      </w:r>
    </w:p>
    <w:p w14:paraId="74354DE8" w14:textId="1482A33A" w:rsidR="00A9167A" w:rsidRPr="00914E0B" w:rsidRDefault="00A9167A"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Не.</w:t>
      </w:r>
    </w:p>
    <w:p w14:paraId="4804EFA8" w14:textId="72BC939A"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5) Да ли изабрана опција утиче на друштвено богатство и његову расподелу и на који начин?</w:t>
      </w:r>
    </w:p>
    <w:p w14:paraId="4777693D" w14:textId="47CB72E2" w:rsidR="00A9167A" w:rsidRPr="00914E0B" w:rsidRDefault="00A9167A"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Не.</w:t>
      </w:r>
    </w:p>
    <w:p w14:paraId="006AD77A"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6) Какве ће ефекте изабрана опција имати на квалитет и статус радне снаге (права, обавезе и одговорности), као и права, обавезе и одговорности послодаваца?</w:t>
      </w:r>
    </w:p>
    <w:p w14:paraId="036FDCD1" w14:textId="5E049E57" w:rsidR="00C64248" w:rsidRPr="00914E0B" w:rsidRDefault="00C64248" w:rsidP="00B22D09">
      <w:pPr>
        <w:spacing w:after="150"/>
        <w:jc w:val="right"/>
        <w:rPr>
          <w:rFonts w:ascii="Times New Roman" w:hAnsi="Times New Roman" w:cs="Times New Roman"/>
          <w:color w:val="000000"/>
          <w:sz w:val="24"/>
          <w:szCs w:val="24"/>
          <w:lang w:val="sr-Cyrl-CS"/>
        </w:rPr>
      </w:pPr>
    </w:p>
    <w:p w14:paraId="1DD915D3" w14:textId="4FDA4402"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7:</w:t>
      </w:r>
    </w:p>
    <w:p w14:paraId="2C270377" w14:textId="77777777"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ефеката на друштво</w:t>
      </w:r>
    </w:p>
    <w:p w14:paraId="6FBCB9F7" w14:textId="6069F6C7"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Колике трошкове и користи (материјалне и нематеријалне) ће изабрана опција проузроковати грађанима?</w:t>
      </w:r>
    </w:p>
    <w:p w14:paraId="2B1B90E7" w14:textId="66729BC9"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Измене Царинског закона неће проузроковати трошкове </w:t>
      </w:r>
      <w:r w:rsidR="00125DDA" w:rsidRPr="00914E0B">
        <w:rPr>
          <w:rFonts w:ascii="Times New Roman" w:hAnsi="Times New Roman" w:cs="Times New Roman"/>
          <w:sz w:val="24"/>
          <w:szCs w:val="24"/>
          <w:lang w:val="sr-Cyrl-CS"/>
        </w:rPr>
        <w:t>грађанима, уколико се као учесници у царинском поступку буду понашали у складу са царинским прописима.</w:t>
      </w:r>
    </w:p>
    <w:p w14:paraId="36373719" w14:textId="7F0015A2"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2) </w:t>
      </w:r>
      <w:r w:rsidR="00B22D09" w:rsidRPr="00914E0B">
        <w:rPr>
          <w:rFonts w:ascii="Times New Roman" w:hAnsi="Times New Roman" w:cs="Times New Roman"/>
          <w:color w:val="000000"/>
          <w:sz w:val="24"/>
          <w:szCs w:val="24"/>
          <w:lang w:val="sr-Cyrl-CS"/>
        </w:rPr>
        <w:t>Да ли ће ефекти реализације изабране опције штетно утицати на неку специфичну групу популације и да ли ће то негативно утицати на успешно спровођење те опције, као и које мере треба предузети да би се ови ризици свели на минимум?</w:t>
      </w:r>
    </w:p>
    <w:p w14:paraId="7ACBE98B" w14:textId="4B7C30A2"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Не.</w:t>
      </w:r>
    </w:p>
    <w:p w14:paraId="7F498DC6"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3) На које друштвене групе, а посебно на које осетљиве друштвене групе, би утицале мере изабранe опцијe и како би се тај утицај огледао (пре свега на сиромашне и социјално искључене појединце и групе, као што су особе са инвалидитетом, деца, млади, жене, старији преко 65 година, припадници ромске националне мањине, необразовани, незапослени, избегла и интерно расељена лица и становништво руралних средина и друге осетљиве друштвене групе)?</w:t>
      </w:r>
    </w:p>
    <w:p w14:paraId="43D0E103"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4) Да ли би и на који начин изабранa опцијa утицалa на тржиште рада и запошљавање, као и на услове за рад (нпр. промене у стопама запослености, отпуштање технолошких вишкова, укинута или новоформирана радна места, постојећа права и обавезе радника, потребе за преквалификацијама или додатним обукама које намеће тржиште рада, родну равноправност, рањиве групе и облике њиховог запошљавања и слично)?</w:t>
      </w:r>
    </w:p>
    <w:p w14:paraId="3F550223"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 xml:space="preserve">5) Да ли изабране опције омогућавају равноправан третман, или доводе до директне или индиректне дискриминације различитих категорија лица (нпр. на основу националне </w:t>
      </w:r>
      <w:r w:rsidRPr="00914E0B">
        <w:rPr>
          <w:rFonts w:ascii="Times New Roman" w:hAnsi="Times New Roman" w:cs="Times New Roman"/>
          <w:color w:val="000000"/>
          <w:sz w:val="24"/>
          <w:szCs w:val="24"/>
          <w:lang w:val="sr-Cyrl-CS"/>
        </w:rPr>
        <w:lastRenderedPageBreak/>
        <w:t>припадности, етничког порекла, језика, пола, родног идентитета, инвалидитета, старосне доби, сексуалне оријентације, брачног статуса или других личних својстава)?</w:t>
      </w:r>
    </w:p>
    <w:p w14:paraId="3B3FCE95"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6) Да ли би изабрана опција могла да утиче на цене роба и услуга и животни стандард становништва, на који начин и у којем обиму?</w:t>
      </w:r>
    </w:p>
    <w:p w14:paraId="19E50A1D"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7) Да ли би се реализацијом изабраних опција позитивно утицало на промену социјалне ситуације у неком одређеном региону или округу и на који начин?</w:t>
      </w:r>
    </w:p>
    <w:p w14:paraId="02C1C82A"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8) Да ли би се реализацијом изабране опције утицало на промене у финансирању, квалитету или доступности система социјалне заштите, здравственог система или система образовања, посебно у смислу једнаког приступа услугама и правима за осетљиве групе и на који начин?</w:t>
      </w:r>
    </w:p>
    <w:p w14:paraId="70739E70" w14:textId="77777777" w:rsidR="00C64248" w:rsidRPr="00914E0B" w:rsidRDefault="00C64248" w:rsidP="00B22D09">
      <w:pPr>
        <w:spacing w:after="150"/>
        <w:jc w:val="right"/>
        <w:rPr>
          <w:rFonts w:ascii="Times New Roman" w:hAnsi="Times New Roman" w:cs="Times New Roman"/>
          <w:color w:val="000000"/>
          <w:sz w:val="24"/>
          <w:szCs w:val="24"/>
          <w:lang w:val="sr-Cyrl-CS"/>
        </w:rPr>
      </w:pPr>
    </w:p>
    <w:p w14:paraId="5F28ADA0" w14:textId="7576FA77"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8:</w:t>
      </w:r>
    </w:p>
    <w:p w14:paraId="3699C013" w14:textId="77777777" w:rsidR="00B22D09" w:rsidRPr="00914E0B" w:rsidRDefault="00B22D09" w:rsidP="00C64248">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ефеката на животну средину</w:t>
      </w:r>
    </w:p>
    <w:p w14:paraId="436A676D"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1) Да ли изабрана опција утиче и у којем обиму утиче на животну средину, укључујући ефекте на квалитет воде, ваздуха и земљишта, квалитет хране, урбану екологију и управљање отпадом, сировине, енергетску ефикасност и обновљиве изворе енергије?</w:t>
      </w:r>
    </w:p>
    <w:p w14:paraId="640EA839"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2) Да ли изабрана опција утиче на квалитет и структуру екосистема, укључујући и интегритет и биодиверзитет екосистема, као и флору и фауну?</w:t>
      </w:r>
    </w:p>
    <w:p w14:paraId="21587491"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3) Да ли изабрана опција утиче на здравље људи?</w:t>
      </w:r>
    </w:p>
    <w:p w14:paraId="597C9AB1"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4) Да ли изабрана опција представља ризик по животну средину и здравље људи и да ли се допунским мерама може утицати на смањење тих ризика?</w:t>
      </w:r>
    </w:p>
    <w:p w14:paraId="1C476519"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5) Да ли изабрана опција утиче на заштиту и коришћење земљишта у складу са прописима који уређују предметну област?</w:t>
      </w:r>
    </w:p>
    <w:p w14:paraId="79FE4007" w14:textId="77777777"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9:</w:t>
      </w:r>
    </w:p>
    <w:p w14:paraId="29EB457B" w14:textId="77777777"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управљачких ефеката</w:t>
      </w:r>
    </w:p>
    <w:p w14:paraId="41D539C1" w14:textId="7E4DD4F3"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Да ли се изабраном опцијом уводе организационе, управљачке или институционалне промене и које су то промене?</w:t>
      </w:r>
    </w:p>
    <w:p w14:paraId="3C394049" w14:textId="311F3B31"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Изабраном опцијом се не уводе организационе, управљачке или институционалне промене.</w:t>
      </w:r>
    </w:p>
    <w:p w14:paraId="2C157230" w14:textId="62D23384"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2) </w:t>
      </w:r>
      <w:r w:rsidR="00B22D09" w:rsidRPr="00914E0B">
        <w:rPr>
          <w:rFonts w:ascii="Times New Roman" w:hAnsi="Times New Roman" w:cs="Times New Roman"/>
          <w:color w:val="000000"/>
          <w:sz w:val="24"/>
          <w:szCs w:val="24"/>
          <w:lang w:val="sr-Cyrl-CS"/>
        </w:rPr>
        <w:t>Да ли постојећа јавна управа има капацитет за спровођење изабране опције (укључујући и квалитет и квантитет расположивих капацитета) и да ли је потребно предузети одређене мере за побољшање тих капацитета?</w:t>
      </w:r>
    </w:p>
    <w:p w14:paraId="1406BA13" w14:textId="49598DCB"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Управа царина има капацитет за спровођење предложених измена.</w:t>
      </w:r>
    </w:p>
    <w:p w14:paraId="4DCA6371" w14:textId="45921059" w:rsidR="00B22D09" w:rsidRPr="00914E0B" w:rsidRDefault="00A9167A"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lastRenderedPageBreak/>
        <w:t xml:space="preserve">3) </w:t>
      </w:r>
      <w:r w:rsidR="00B22D09" w:rsidRPr="00914E0B">
        <w:rPr>
          <w:rFonts w:ascii="Times New Roman" w:hAnsi="Times New Roman" w:cs="Times New Roman"/>
          <w:color w:val="000000"/>
          <w:sz w:val="24"/>
          <w:szCs w:val="24"/>
          <w:lang w:val="sr-Cyrl-CS"/>
        </w:rPr>
        <w:t>Да ли је за реализацију изабране опције било потребно извршити реструктурирање постојећег државног органа, односно другог субјекта јавног сектора (нпр. проширење, укидање, промене функција/хијерархије, унапређење техничких и људских капацитета и сл.) и у којем временском периоду је то потребно спровести?</w:t>
      </w:r>
    </w:p>
    <w:p w14:paraId="4D82122A" w14:textId="46D51D7B"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Не.</w:t>
      </w:r>
    </w:p>
    <w:p w14:paraId="6855D53E" w14:textId="78D8C9CD"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4) Да ли је изабрана опција у сагласности са важећим прописима, међународним споразумима и усвојеним документима јавних политика?</w:t>
      </w:r>
    </w:p>
    <w:p w14:paraId="2FC2C0AC" w14:textId="0D28C352" w:rsidR="00A9167A" w:rsidRPr="00914E0B" w:rsidRDefault="00A9167A"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У сагласности је са важећим прописима.</w:t>
      </w:r>
    </w:p>
    <w:p w14:paraId="3FE29AA4"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5) Да ли изабрана опција утиче на владавину права и безбедност?</w:t>
      </w:r>
    </w:p>
    <w:p w14:paraId="73536DBA" w14:textId="6FD9CC3F" w:rsidR="00B22D09" w:rsidRPr="00914E0B"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6) Да ли изабрана опција утиче на одговорност и транспарентност рада јавне управе и на који начин?</w:t>
      </w:r>
    </w:p>
    <w:p w14:paraId="0394EFEE" w14:textId="55CF4F6D" w:rsidR="00A9167A" w:rsidRPr="00914E0B" w:rsidRDefault="00A9167A" w:rsidP="00C64248">
      <w:pPr>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 xml:space="preserve">Изабрана опција неће утицати на одговорност и транспарентност јавне управе. </w:t>
      </w:r>
    </w:p>
    <w:p w14:paraId="62A564D7" w14:textId="2891A3EF" w:rsidR="00B22D09" w:rsidRDefault="00B22D09"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7) Које додатне мере треба спровести и колико времена ће бити потребно да се спроведе изабрана опција и обезбеди њено касније доследно спровођење, односно њена одрживост?</w:t>
      </w:r>
    </w:p>
    <w:p w14:paraId="764ADE4A" w14:textId="77777777" w:rsidR="00B03BE1" w:rsidRPr="00914E0B" w:rsidRDefault="00B03BE1" w:rsidP="00C64248">
      <w:pPr>
        <w:spacing w:after="150"/>
        <w:jc w:val="both"/>
        <w:rPr>
          <w:rFonts w:ascii="Times New Roman" w:hAnsi="Times New Roman" w:cs="Times New Roman"/>
          <w:sz w:val="24"/>
          <w:szCs w:val="24"/>
          <w:lang w:val="sr-Cyrl-CS"/>
        </w:rPr>
      </w:pPr>
    </w:p>
    <w:p w14:paraId="7E1A7813" w14:textId="77777777" w:rsidR="00B22D09" w:rsidRPr="00914E0B" w:rsidRDefault="00B22D09" w:rsidP="00B22D09">
      <w:pPr>
        <w:spacing w:after="150"/>
        <w:jc w:val="right"/>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ПРИЛОГ 10:</w:t>
      </w:r>
    </w:p>
    <w:p w14:paraId="587D674A" w14:textId="77777777" w:rsidR="00B22D09" w:rsidRPr="00914E0B" w:rsidRDefault="00B22D09" w:rsidP="00B22D09">
      <w:pPr>
        <w:spacing w:after="120"/>
        <w:jc w:val="center"/>
        <w:rPr>
          <w:rFonts w:ascii="Times New Roman" w:hAnsi="Times New Roman" w:cs="Times New Roman"/>
          <w:sz w:val="24"/>
          <w:szCs w:val="24"/>
          <w:lang w:val="sr-Cyrl-CS"/>
        </w:rPr>
      </w:pPr>
      <w:r w:rsidRPr="00914E0B">
        <w:rPr>
          <w:rFonts w:ascii="Times New Roman" w:hAnsi="Times New Roman" w:cs="Times New Roman"/>
          <w:b/>
          <w:color w:val="000000"/>
          <w:sz w:val="24"/>
          <w:szCs w:val="24"/>
          <w:lang w:val="sr-Cyrl-CS"/>
        </w:rPr>
        <w:t>Кључна питања за анализу ризика</w:t>
      </w:r>
    </w:p>
    <w:p w14:paraId="5DF05B6C" w14:textId="7D65B92B" w:rsidR="00B22D09" w:rsidRPr="00914E0B" w:rsidRDefault="00C64BB7" w:rsidP="00C64248">
      <w:pPr>
        <w:spacing w:after="150"/>
        <w:jc w:val="both"/>
        <w:rPr>
          <w:rFonts w:ascii="Times New Roman" w:hAnsi="Times New Roman" w:cs="Times New Roman"/>
          <w:color w:val="000000"/>
          <w:sz w:val="24"/>
          <w:szCs w:val="24"/>
          <w:lang w:val="sr-Cyrl-CS"/>
        </w:rPr>
      </w:pPr>
      <w:r w:rsidRPr="00914E0B">
        <w:rPr>
          <w:rFonts w:ascii="Times New Roman" w:hAnsi="Times New Roman" w:cs="Times New Roman"/>
          <w:color w:val="000000"/>
          <w:sz w:val="24"/>
          <w:szCs w:val="24"/>
          <w:lang w:val="sr-Cyrl-CS"/>
        </w:rPr>
        <w:t xml:space="preserve">1) </w:t>
      </w:r>
      <w:r w:rsidR="00B22D09" w:rsidRPr="00914E0B">
        <w:rPr>
          <w:rFonts w:ascii="Times New Roman" w:hAnsi="Times New Roman" w:cs="Times New Roman"/>
          <w:color w:val="000000"/>
          <w:sz w:val="24"/>
          <w:szCs w:val="24"/>
          <w:lang w:val="sr-Cyrl-CS"/>
        </w:rPr>
        <w:t>Да ли је за спровођење изабране опције обезбеђена подршка свих кључних заинтересованих страна и циљних група? Да ли је спровођење изабране опције приоритет за доносиоце одлука у наредном периоду (Народну скупштину, Владу, државне органе и слично)?</w:t>
      </w:r>
    </w:p>
    <w:p w14:paraId="1F33434A" w14:textId="3B28E418" w:rsidR="006B4AE6" w:rsidRPr="00914E0B" w:rsidRDefault="006B4AE6" w:rsidP="00E7137C">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Mинистар финансија је решењем број: 119-01-132/2022-17 од 21. априла 2022. године образовао Радну групу, коју су чинили представн</w:t>
      </w:r>
      <w:r w:rsidR="00AC5CDC">
        <w:rPr>
          <w:rFonts w:ascii="Times New Roman" w:hAnsi="Times New Roman" w:cs="Times New Roman"/>
          <w:sz w:val="24"/>
          <w:szCs w:val="24"/>
          <w:lang w:val="sr-Cyrl-CS"/>
        </w:rPr>
        <w:t>и</w:t>
      </w:r>
      <w:r w:rsidRPr="00914E0B">
        <w:rPr>
          <w:rFonts w:ascii="Times New Roman" w:hAnsi="Times New Roman" w:cs="Times New Roman"/>
          <w:sz w:val="24"/>
          <w:szCs w:val="24"/>
          <w:lang w:val="sr-Cyrl-CS"/>
        </w:rPr>
        <w:t>ци Сектора за царински систем и политику и Управе</w:t>
      </w:r>
      <w:r w:rsidR="00822A0B">
        <w:rPr>
          <w:rFonts w:ascii="Times New Roman" w:hAnsi="Times New Roman" w:cs="Times New Roman"/>
          <w:sz w:val="24"/>
          <w:szCs w:val="24"/>
          <w:lang w:val="sr-Cyrl-CS"/>
        </w:rPr>
        <w:t xml:space="preserve"> царина, са задатком да до 1. новембра </w:t>
      </w:r>
      <w:r w:rsidRPr="00914E0B">
        <w:rPr>
          <w:rFonts w:ascii="Times New Roman" w:hAnsi="Times New Roman" w:cs="Times New Roman"/>
          <w:sz w:val="24"/>
          <w:szCs w:val="24"/>
          <w:lang w:val="sr-Cyrl-CS"/>
        </w:rPr>
        <w:t xml:space="preserve">2022. године изради Нацрт закона о изменама </w:t>
      </w:r>
      <w:r w:rsidR="00571231" w:rsidRPr="00914E0B">
        <w:rPr>
          <w:rFonts w:ascii="Times New Roman" w:hAnsi="Times New Roman" w:cs="Times New Roman"/>
          <w:sz w:val="24"/>
          <w:szCs w:val="24"/>
          <w:lang w:val="sr-Cyrl-CS"/>
        </w:rPr>
        <w:t>и</w:t>
      </w:r>
      <w:r w:rsidRPr="00914E0B">
        <w:rPr>
          <w:rFonts w:ascii="Times New Roman" w:hAnsi="Times New Roman" w:cs="Times New Roman"/>
          <w:sz w:val="24"/>
          <w:szCs w:val="24"/>
          <w:lang w:val="sr-Cyrl-CS"/>
        </w:rPr>
        <w:t xml:space="preserve"> допунама Царинског закона, у делу царинских прекршаја.</w:t>
      </w:r>
    </w:p>
    <w:p w14:paraId="0CA92BB4" w14:textId="3AE6563F" w:rsidR="006B4AE6" w:rsidRPr="00914E0B" w:rsidRDefault="006B4AE6" w:rsidP="00E7137C">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Радна група је пре датог рока израдила Нацрт закона и исти доставила Управи царина, ради добијања евентуалних примедби и сугестија, а тим пре што је Управа царина и покренула иницијативу за измену Царинског закона у овом делу.</w:t>
      </w:r>
    </w:p>
    <w:p w14:paraId="45D9BF05" w14:textId="67EE82E4" w:rsidR="006B4AE6" w:rsidRDefault="006B4AE6" w:rsidP="006B4AE6">
      <w:pPr>
        <w:spacing w:after="150"/>
        <w:jc w:val="both"/>
        <w:rPr>
          <w:rFonts w:ascii="Times New Roman" w:hAnsi="Times New Roman" w:cs="Times New Roman"/>
          <w:sz w:val="24"/>
          <w:szCs w:val="24"/>
          <w:lang w:val="sr-Cyrl-CS"/>
        </w:rPr>
      </w:pPr>
      <w:r w:rsidRPr="00914E0B">
        <w:rPr>
          <w:rFonts w:ascii="Times New Roman" w:hAnsi="Times New Roman" w:cs="Times New Roman"/>
          <w:sz w:val="24"/>
          <w:szCs w:val="24"/>
          <w:lang w:val="sr-Cyrl-CS"/>
        </w:rPr>
        <w:t xml:space="preserve">С обзиром да је само </w:t>
      </w:r>
      <w:r w:rsidR="00A644ED" w:rsidRPr="00914E0B">
        <w:rPr>
          <w:rFonts w:ascii="Times New Roman" w:hAnsi="Times New Roman" w:cs="Times New Roman"/>
          <w:sz w:val="24"/>
          <w:szCs w:val="24"/>
          <w:lang w:val="sr-Cyrl-CS"/>
        </w:rPr>
        <w:t xml:space="preserve">неколико </w:t>
      </w:r>
      <w:r w:rsidRPr="00914E0B">
        <w:rPr>
          <w:rFonts w:ascii="Times New Roman" w:hAnsi="Times New Roman" w:cs="Times New Roman"/>
          <w:sz w:val="24"/>
          <w:szCs w:val="24"/>
          <w:lang w:val="sr-Cyrl-CS"/>
        </w:rPr>
        <w:t>организ</w:t>
      </w:r>
      <w:r w:rsidR="00A644ED" w:rsidRPr="00914E0B">
        <w:rPr>
          <w:rFonts w:ascii="Times New Roman" w:hAnsi="Times New Roman" w:cs="Times New Roman"/>
          <w:sz w:val="24"/>
          <w:szCs w:val="24"/>
          <w:lang w:val="sr-Cyrl-CS"/>
        </w:rPr>
        <w:t xml:space="preserve">ационих јединица Управе царина </w:t>
      </w:r>
      <w:r w:rsidRPr="00914E0B">
        <w:rPr>
          <w:rFonts w:ascii="Times New Roman" w:hAnsi="Times New Roman" w:cs="Times New Roman"/>
          <w:sz w:val="24"/>
          <w:szCs w:val="24"/>
          <w:lang w:val="sr-Cyrl-CS"/>
        </w:rPr>
        <w:t xml:space="preserve">имало одређене сугестије, Радна група анализирала је изнете сугестије и неке од њих прихватила, што је унето и у текст </w:t>
      </w:r>
      <w:r w:rsidR="00571231" w:rsidRPr="00914E0B">
        <w:rPr>
          <w:rFonts w:ascii="Times New Roman" w:hAnsi="Times New Roman" w:cs="Times New Roman"/>
          <w:sz w:val="24"/>
          <w:szCs w:val="24"/>
          <w:lang w:val="sr-Cyrl-CS"/>
        </w:rPr>
        <w:t>Предлога</w:t>
      </w:r>
      <w:r w:rsidRPr="00914E0B">
        <w:rPr>
          <w:rFonts w:ascii="Times New Roman" w:hAnsi="Times New Roman" w:cs="Times New Roman"/>
          <w:sz w:val="24"/>
          <w:szCs w:val="24"/>
          <w:lang w:val="sr-Cyrl-CS"/>
        </w:rPr>
        <w:t xml:space="preserve"> закона.</w:t>
      </w:r>
    </w:p>
    <w:p w14:paraId="44205CB7" w14:textId="77777777" w:rsidR="00B03BE1" w:rsidRPr="00914E0B" w:rsidRDefault="00B03BE1" w:rsidP="006B4AE6">
      <w:pPr>
        <w:spacing w:after="150"/>
        <w:jc w:val="both"/>
        <w:rPr>
          <w:rFonts w:ascii="Times New Roman" w:hAnsi="Times New Roman" w:cs="Times New Roman"/>
          <w:sz w:val="24"/>
          <w:szCs w:val="24"/>
          <w:lang w:val="sr-Cyrl-CS"/>
        </w:rPr>
      </w:pPr>
    </w:p>
    <w:p w14:paraId="68F01A65"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lastRenderedPageBreak/>
        <w:t>2) Да ли су обезбеђена финансијска средства за спровођење изабране опције? Да ли је за спровођење изабране опције обезбеђено довољно времена за спровођење поступка јавне набавке уколико је она потребна?</w:t>
      </w:r>
    </w:p>
    <w:p w14:paraId="5E317E90" w14:textId="77777777" w:rsidR="00B22D09" w:rsidRPr="00914E0B" w:rsidRDefault="00B22D09" w:rsidP="00C64248">
      <w:pPr>
        <w:spacing w:after="150"/>
        <w:jc w:val="both"/>
        <w:rPr>
          <w:rFonts w:ascii="Times New Roman" w:hAnsi="Times New Roman" w:cs="Times New Roman"/>
          <w:sz w:val="24"/>
          <w:szCs w:val="24"/>
          <w:lang w:val="sr-Cyrl-CS"/>
        </w:rPr>
      </w:pPr>
      <w:r w:rsidRPr="00914E0B">
        <w:rPr>
          <w:rFonts w:ascii="Times New Roman" w:hAnsi="Times New Roman" w:cs="Times New Roman"/>
          <w:color w:val="000000"/>
          <w:sz w:val="24"/>
          <w:szCs w:val="24"/>
          <w:lang w:val="sr-Cyrl-CS"/>
        </w:rPr>
        <w:t>3) Да ли постоји још неки ризик за спровођење изабране опције?</w:t>
      </w:r>
    </w:p>
    <w:p w14:paraId="2BD14D67" w14:textId="77777777" w:rsidR="00EC1934" w:rsidRPr="00914E0B" w:rsidRDefault="00000000">
      <w:pPr>
        <w:rPr>
          <w:rFonts w:ascii="Times New Roman" w:hAnsi="Times New Roman" w:cs="Times New Roman"/>
          <w:sz w:val="24"/>
          <w:szCs w:val="24"/>
          <w:lang w:val="sr-Cyrl-CS"/>
        </w:rPr>
      </w:pPr>
    </w:p>
    <w:sectPr w:rsidR="00EC1934" w:rsidRPr="00914E0B" w:rsidSect="004F46F3">
      <w:foot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4AD95" w14:textId="77777777" w:rsidR="00AC5F53" w:rsidRDefault="00AC5F53" w:rsidP="004F46F3">
      <w:pPr>
        <w:spacing w:after="0" w:line="240" w:lineRule="auto"/>
      </w:pPr>
      <w:r>
        <w:separator/>
      </w:r>
    </w:p>
  </w:endnote>
  <w:endnote w:type="continuationSeparator" w:id="0">
    <w:p w14:paraId="4A392EF0" w14:textId="77777777" w:rsidR="00AC5F53" w:rsidRDefault="00AC5F53" w:rsidP="004F46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67659703"/>
      <w:docPartObj>
        <w:docPartGallery w:val="Page Numbers (Bottom of Page)"/>
        <w:docPartUnique/>
      </w:docPartObj>
    </w:sdtPr>
    <w:sdtEndPr>
      <w:rPr>
        <w:noProof/>
      </w:rPr>
    </w:sdtEndPr>
    <w:sdtContent>
      <w:p w14:paraId="1148873C" w14:textId="6AE82181" w:rsidR="004F46F3" w:rsidRDefault="004F46F3">
        <w:pPr>
          <w:pStyle w:val="Footer"/>
          <w:jc w:val="center"/>
        </w:pPr>
        <w:r>
          <w:fldChar w:fldCharType="begin"/>
        </w:r>
        <w:r>
          <w:instrText xml:space="preserve"> PAGE   \* MERGEFORMAT </w:instrText>
        </w:r>
        <w:r>
          <w:fldChar w:fldCharType="separate"/>
        </w:r>
        <w:r w:rsidR="00C91B20">
          <w:rPr>
            <w:noProof/>
          </w:rPr>
          <w:t>12</w:t>
        </w:r>
        <w:r>
          <w:rPr>
            <w:noProof/>
          </w:rPr>
          <w:fldChar w:fldCharType="end"/>
        </w:r>
      </w:p>
    </w:sdtContent>
  </w:sdt>
  <w:p w14:paraId="6B88730F" w14:textId="77777777" w:rsidR="004F46F3" w:rsidRDefault="004F46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569A17" w14:textId="77777777" w:rsidR="00AC5F53" w:rsidRDefault="00AC5F53" w:rsidP="004F46F3">
      <w:pPr>
        <w:spacing w:after="0" w:line="240" w:lineRule="auto"/>
      </w:pPr>
      <w:r>
        <w:separator/>
      </w:r>
    </w:p>
  </w:footnote>
  <w:footnote w:type="continuationSeparator" w:id="0">
    <w:p w14:paraId="7F3D5033" w14:textId="77777777" w:rsidR="00AC5F53" w:rsidRDefault="00AC5F53" w:rsidP="004F46F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280D"/>
    <w:multiLevelType w:val="hybridMultilevel"/>
    <w:tmpl w:val="F66E5B98"/>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FF706F0"/>
    <w:multiLevelType w:val="hybridMultilevel"/>
    <w:tmpl w:val="AD622F4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7814629"/>
    <w:multiLevelType w:val="hybridMultilevel"/>
    <w:tmpl w:val="91BEAE9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AE6691B"/>
    <w:multiLevelType w:val="hybridMultilevel"/>
    <w:tmpl w:val="CD9081D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9017411"/>
    <w:multiLevelType w:val="hybridMultilevel"/>
    <w:tmpl w:val="482888C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C1A380B"/>
    <w:multiLevelType w:val="hybridMultilevel"/>
    <w:tmpl w:val="0FD2372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E347711"/>
    <w:multiLevelType w:val="hybridMultilevel"/>
    <w:tmpl w:val="0304F47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80434474">
    <w:abstractNumId w:val="0"/>
  </w:num>
  <w:num w:numId="2" w16cid:durableId="1153989044">
    <w:abstractNumId w:val="6"/>
  </w:num>
  <w:num w:numId="3" w16cid:durableId="940258210">
    <w:abstractNumId w:val="5"/>
  </w:num>
  <w:num w:numId="4" w16cid:durableId="1524974632">
    <w:abstractNumId w:val="3"/>
  </w:num>
  <w:num w:numId="5" w16cid:durableId="387459563">
    <w:abstractNumId w:val="2"/>
  </w:num>
  <w:num w:numId="6" w16cid:durableId="1971782904">
    <w:abstractNumId w:val="4"/>
  </w:num>
  <w:num w:numId="7" w16cid:durableId="1233854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2D09"/>
    <w:rsid w:val="0004196B"/>
    <w:rsid w:val="00045FEB"/>
    <w:rsid w:val="000763E8"/>
    <w:rsid w:val="0009118B"/>
    <w:rsid w:val="00091E82"/>
    <w:rsid w:val="000A33BC"/>
    <w:rsid w:val="000D4E8B"/>
    <w:rsid w:val="0011247A"/>
    <w:rsid w:val="00125DDA"/>
    <w:rsid w:val="00162FFF"/>
    <w:rsid w:val="00175F62"/>
    <w:rsid w:val="0019756B"/>
    <w:rsid w:val="001A3E34"/>
    <w:rsid w:val="001A7552"/>
    <w:rsid w:val="001C5E77"/>
    <w:rsid w:val="00210A4B"/>
    <w:rsid w:val="00210A8E"/>
    <w:rsid w:val="0028704C"/>
    <w:rsid w:val="002C0B3D"/>
    <w:rsid w:val="002E306C"/>
    <w:rsid w:val="00303772"/>
    <w:rsid w:val="003141DF"/>
    <w:rsid w:val="00381F87"/>
    <w:rsid w:val="00393C35"/>
    <w:rsid w:val="003A280F"/>
    <w:rsid w:val="003C05A2"/>
    <w:rsid w:val="003D5AAA"/>
    <w:rsid w:val="00404A64"/>
    <w:rsid w:val="00483921"/>
    <w:rsid w:val="004A1379"/>
    <w:rsid w:val="004E3668"/>
    <w:rsid w:val="004F2F48"/>
    <w:rsid w:val="004F46F3"/>
    <w:rsid w:val="004F548F"/>
    <w:rsid w:val="005260FC"/>
    <w:rsid w:val="00532405"/>
    <w:rsid w:val="00534C0C"/>
    <w:rsid w:val="00571231"/>
    <w:rsid w:val="00581A86"/>
    <w:rsid w:val="00594DC0"/>
    <w:rsid w:val="005A1FE5"/>
    <w:rsid w:val="005A201E"/>
    <w:rsid w:val="005C51DD"/>
    <w:rsid w:val="005C6BE4"/>
    <w:rsid w:val="005F2F7A"/>
    <w:rsid w:val="005F532D"/>
    <w:rsid w:val="0060476A"/>
    <w:rsid w:val="00621240"/>
    <w:rsid w:val="006B4AE6"/>
    <w:rsid w:val="006F23E7"/>
    <w:rsid w:val="006F4DE2"/>
    <w:rsid w:val="00720EFE"/>
    <w:rsid w:val="007238A5"/>
    <w:rsid w:val="007248B1"/>
    <w:rsid w:val="0073341D"/>
    <w:rsid w:val="0073555A"/>
    <w:rsid w:val="007556A0"/>
    <w:rsid w:val="007C7B30"/>
    <w:rsid w:val="008125C4"/>
    <w:rsid w:val="00822A0B"/>
    <w:rsid w:val="00825B87"/>
    <w:rsid w:val="008568CC"/>
    <w:rsid w:val="008573E5"/>
    <w:rsid w:val="00871D91"/>
    <w:rsid w:val="00876675"/>
    <w:rsid w:val="008C35E5"/>
    <w:rsid w:val="00906B76"/>
    <w:rsid w:val="00911A6E"/>
    <w:rsid w:val="00914E0B"/>
    <w:rsid w:val="009F4355"/>
    <w:rsid w:val="00A230F6"/>
    <w:rsid w:val="00A644ED"/>
    <w:rsid w:val="00A64E7A"/>
    <w:rsid w:val="00A804C9"/>
    <w:rsid w:val="00A9167A"/>
    <w:rsid w:val="00AC5CDC"/>
    <w:rsid w:val="00AC5F53"/>
    <w:rsid w:val="00AF016E"/>
    <w:rsid w:val="00B036FB"/>
    <w:rsid w:val="00B03BE1"/>
    <w:rsid w:val="00B22D09"/>
    <w:rsid w:val="00B43F74"/>
    <w:rsid w:val="00B454A7"/>
    <w:rsid w:val="00B65390"/>
    <w:rsid w:val="00B70C97"/>
    <w:rsid w:val="00B80E6B"/>
    <w:rsid w:val="00BA707D"/>
    <w:rsid w:val="00BA7ABA"/>
    <w:rsid w:val="00BB076B"/>
    <w:rsid w:val="00BF141C"/>
    <w:rsid w:val="00C236CB"/>
    <w:rsid w:val="00C3784B"/>
    <w:rsid w:val="00C64248"/>
    <w:rsid w:val="00C64BB7"/>
    <w:rsid w:val="00C91B20"/>
    <w:rsid w:val="00CB48A0"/>
    <w:rsid w:val="00CB6A3E"/>
    <w:rsid w:val="00CC08E2"/>
    <w:rsid w:val="00CC3C54"/>
    <w:rsid w:val="00CC4944"/>
    <w:rsid w:val="00CD1DE7"/>
    <w:rsid w:val="00CD4768"/>
    <w:rsid w:val="00CD73D0"/>
    <w:rsid w:val="00D515B3"/>
    <w:rsid w:val="00D526BA"/>
    <w:rsid w:val="00DB3BE4"/>
    <w:rsid w:val="00E017E7"/>
    <w:rsid w:val="00E029FE"/>
    <w:rsid w:val="00E47B51"/>
    <w:rsid w:val="00E61287"/>
    <w:rsid w:val="00EA6C8F"/>
    <w:rsid w:val="00EB1CF9"/>
    <w:rsid w:val="00ED2D61"/>
    <w:rsid w:val="00F4331F"/>
    <w:rsid w:val="00FA1335"/>
    <w:rsid w:val="00FB65BB"/>
    <w:rsid w:val="00FC7D9E"/>
    <w:rsid w:val="00FD4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FDC7"/>
  <w15:chartTrackingRefBased/>
  <w15:docId w15:val="{1522E0E6-1634-41AE-8D54-F4C6721BC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22D09"/>
    <w:pPr>
      <w:spacing w:after="200" w:line="276" w:lineRule="auto"/>
    </w:pPr>
    <w:rPr>
      <w:rFonts w:ascii="Verdana" w:hAnsi="Verdana" w:cs="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F2F48"/>
    <w:rPr>
      <w:sz w:val="16"/>
      <w:szCs w:val="16"/>
    </w:rPr>
  </w:style>
  <w:style w:type="paragraph" w:styleId="CommentText">
    <w:name w:val="annotation text"/>
    <w:basedOn w:val="Normal"/>
    <w:link w:val="CommentTextChar"/>
    <w:uiPriority w:val="99"/>
    <w:semiHidden/>
    <w:unhideWhenUsed/>
    <w:rsid w:val="004F2F48"/>
    <w:pPr>
      <w:spacing w:line="240" w:lineRule="auto"/>
    </w:pPr>
    <w:rPr>
      <w:sz w:val="20"/>
      <w:szCs w:val="20"/>
    </w:rPr>
  </w:style>
  <w:style w:type="character" w:customStyle="1" w:styleId="CommentTextChar">
    <w:name w:val="Comment Text Char"/>
    <w:basedOn w:val="DefaultParagraphFont"/>
    <w:link w:val="CommentText"/>
    <w:uiPriority w:val="99"/>
    <w:semiHidden/>
    <w:rsid w:val="004F2F48"/>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4F2F48"/>
    <w:rPr>
      <w:b/>
      <w:bCs/>
    </w:rPr>
  </w:style>
  <w:style w:type="character" w:customStyle="1" w:styleId="CommentSubjectChar">
    <w:name w:val="Comment Subject Char"/>
    <w:basedOn w:val="CommentTextChar"/>
    <w:link w:val="CommentSubject"/>
    <w:uiPriority w:val="99"/>
    <w:semiHidden/>
    <w:rsid w:val="004F2F48"/>
    <w:rPr>
      <w:rFonts w:ascii="Verdana" w:hAnsi="Verdana" w:cs="Verdana"/>
      <w:b/>
      <w:bCs/>
      <w:sz w:val="20"/>
      <w:szCs w:val="20"/>
    </w:rPr>
  </w:style>
  <w:style w:type="paragraph" w:styleId="BalloonText">
    <w:name w:val="Balloon Text"/>
    <w:basedOn w:val="Normal"/>
    <w:link w:val="BalloonTextChar"/>
    <w:uiPriority w:val="99"/>
    <w:semiHidden/>
    <w:unhideWhenUsed/>
    <w:rsid w:val="004F2F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2F48"/>
    <w:rPr>
      <w:rFonts w:ascii="Segoe UI" w:hAnsi="Segoe UI" w:cs="Segoe UI"/>
      <w:sz w:val="18"/>
      <w:szCs w:val="18"/>
    </w:rPr>
  </w:style>
  <w:style w:type="paragraph" w:styleId="ListParagraph">
    <w:name w:val="List Paragraph"/>
    <w:basedOn w:val="Normal"/>
    <w:uiPriority w:val="34"/>
    <w:qFormat/>
    <w:rsid w:val="0009118B"/>
    <w:pPr>
      <w:ind w:left="720"/>
      <w:contextualSpacing/>
    </w:pPr>
  </w:style>
  <w:style w:type="paragraph" w:styleId="BodyTextIndent2">
    <w:name w:val="Body Text Indent 2"/>
    <w:basedOn w:val="Normal"/>
    <w:link w:val="BodyTextIndent2Char"/>
    <w:rsid w:val="005A201E"/>
    <w:pPr>
      <w:spacing w:after="0" w:line="240" w:lineRule="auto"/>
      <w:ind w:left="60"/>
      <w:jc w:val="both"/>
    </w:pPr>
    <w:rPr>
      <w:rFonts w:ascii="Times New Roman" w:eastAsia="Times New Roman" w:hAnsi="Times New Roman" w:cs="Times New Roman"/>
      <w:sz w:val="24"/>
      <w:szCs w:val="24"/>
      <w:lang w:val="sr-Latn-CS"/>
    </w:rPr>
  </w:style>
  <w:style w:type="character" w:customStyle="1" w:styleId="BodyTextIndent2Char">
    <w:name w:val="Body Text Indent 2 Char"/>
    <w:basedOn w:val="DefaultParagraphFont"/>
    <w:link w:val="BodyTextIndent2"/>
    <w:rsid w:val="005A201E"/>
    <w:rPr>
      <w:rFonts w:ascii="Times New Roman" w:eastAsia="Times New Roman" w:hAnsi="Times New Roman" w:cs="Times New Roman"/>
      <w:sz w:val="24"/>
      <w:szCs w:val="24"/>
      <w:lang w:val="sr-Latn-CS"/>
    </w:rPr>
  </w:style>
  <w:style w:type="table" w:styleId="TableGrid">
    <w:name w:val="Table Grid"/>
    <w:basedOn w:val="TableNormal"/>
    <w:uiPriority w:val="39"/>
    <w:rsid w:val="00735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F46F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F46F3"/>
    <w:rPr>
      <w:rFonts w:ascii="Verdana" w:hAnsi="Verdana" w:cs="Verdana"/>
    </w:rPr>
  </w:style>
  <w:style w:type="paragraph" w:styleId="Footer">
    <w:name w:val="footer"/>
    <w:basedOn w:val="Normal"/>
    <w:link w:val="FooterChar"/>
    <w:uiPriority w:val="99"/>
    <w:unhideWhenUsed/>
    <w:rsid w:val="004F46F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F46F3"/>
    <w:rPr>
      <w:rFonts w:ascii="Verdana" w:hAnsi="Verdana" w:cs="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769161">
      <w:bodyDiv w:val="1"/>
      <w:marLeft w:val="0"/>
      <w:marRight w:val="0"/>
      <w:marTop w:val="0"/>
      <w:marBottom w:val="0"/>
      <w:divBdr>
        <w:top w:val="none" w:sz="0" w:space="0" w:color="auto"/>
        <w:left w:val="none" w:sz="0" w:space="0" w:color="auto"/>
        <w:bottom w:val="none" w:sz="0" w:space="0" w:color="auto"/>
        <w:right w:val="none" w:sz="0" w:space="0" w:color="auto"/>
      </w:divBdr>
    </w:div>
    <w:div w:id="1299801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3552</Words>
  <Characters>20249</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Ognjen Bogdanović</dc:creator>
  <cp:keywords/>
  <dc:description/>
  <cp:lastModifiedBy>Ivana Vojinović</cp:lastModifiedBy>
  <cp:revision>2</cp:revision>
  <cp:lastPrinted>2022-11-15T10:49:00Z</cp:lastPrinted>
  <dcterms:created xsi:type="dcterms:W3CDTF">2022-11-18T13:26:00Z</dcterms:created>
  <dcterms:modified xsi:type="dcterms:W3CDTF">2022-11-18T13:26:00Z</dcterms:modified>
</cp:coreProperties>
</file>