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F65A7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ПРИЛОГ 1</w:t>
      </w:r>
    </w:p>
    <w:p w14:paraId="08FB8E5D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</w:p>
    <w:p w14:paraId="35913F55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</w:p>
    <w:p w14:paraId="2037668A" w14:textId="77777777" w:rsidR="003D52C0" w:rsidRPr="00D77D45" w:rsidRDefault="003D52C0" w:rsidP="003D52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ЛИСТА ПРИМЕРА УСЛУГА КОЈЕ НИСУ</w:t>
      </w: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br/>
        <w:t>ОБУХВАЋЕНЕ ЧЛАНОМ 14. СТАВ 1. ТАЧКА 5) ОВЕ УРЕДБЕ</w:t>
      </w:r>
    </w:p>
    <w:p w14:paraId="08657AA0" w14:textId="77777777" w:rsidR="003D52C0" w:rsidRPr="00D77D45" w:rsidRDefault="003D52C0" w:rsidP="003D52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</w:p>
    <w:p w14:paraId="381E1255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1. Услуге које се не пружају „на даљину”:</w:t>
      </w:r>
    </w:p>
    <w:p w14:paraId="74B22848" w14:textId="77777777" w:rsidR="003D52C0" w:rsidRPr="00D77D45" w:rsidRDefault="003D52C0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услуге које се пружају уз физичку присутност пружаоца и примаоца, чак и ако се при том користе електронски уређаји:</w:t>
      </w:r>
    </w:p>
    <w:p w14:paraId="71C05773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а) лекарски прегледи или лечење у здравственој амбуланти уз помоћ електронске опреме, када је пацијент присутан;</w:t>
      </w:r>
    </w:p>
    <w:p w14:paraId="7AE7DC5F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б) консултовање електронског каталога у трговини с корисником на лицу места;</w:t>
      </w:r>
    </w:p>
    <w:p w14:paraId="2BFE239F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в) резервација авионских карата у путничкој агенцији у личном присуству корисника, уз помоћ умрежених рачунара;</w:t>
      </w:r>
    </w:p>
    <w:p w14:paraId="4FA94F05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г) електронске игре које су доступне у видео-играоници у којој је корисник присутан.</w:t>
      </w:r>
    </w:p>
    <w:p w14:paraId="2D495EDD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2. Услуге које се не пружају путем „електронских средстава”:</w:t>
      </w:r>
    </w:p>
    <w:p w14:paraId="72C91B46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– услуге материјалног садржаја, иако пружене путем електронског уређаја:</w:t>
      </w:r>
    </w:p>
    <w:p w14:paraId="28284837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а) аутоматски уређаји за издавање готовине или карата (новчаница, возних карата);</w:t>
      </w:r>
    </w:p>
    <w:p w14:paraId="2C671C28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б) наплаћивање коришћења приступа друмским мрежама, паркиралиштима, итд. чак и ако се користе електронски уређаји за контролу улаза/излаза како би се осигурало прописно плаћање,</w:t>
      </w:r>
    </w:p>
    <w:p w14:paraId="0AAFEA86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– ванмрежне услуге (off-line): дистрибуција ЦД-ромова или софтвера на дискетама,</w:t>
      </w:r>
    </w:p>
    <w:p w14:paraId="19C4CECE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– услуге које се не пружају путем електронских система обраде/чувања:</w:t>
      </w:r>
    </w:p>
    <w:p w14:paraId="2E3E6A30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а) услуге говорне телефоније;</w:t>
      </w:r>
    </w:p>
    <w:p w14:paraId="2B7C7381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б) услуге телефакса/телекса;</w:t>
      </w:r>
    </w:p>
    <w:p w14:paraId="6067DAF4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в) услуге пружене путем говорне телефоније или телефакса;</w:t>
      </w:r>
    </w:p>
    <w:p w14:paraId="0B479A3C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г) консултације са лекаром путем телефона/телефакса;</w:t>
      </w:r>
    </w:p>
    <w:p w14:paraId="54F4B03C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д) консултације са правником путем телефона/телефакса;</w:t>
      </w:r>
    </w:p>
    <w:p w14:paraId="4A19CFBA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ђ) директно куповање телефоном/телефаксом.</w:t>
      </w:r>
    </w:p>
    <w:p w14:paraId="5B42FBEB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3. Услуге које се не пружају „на појединачан захтев примаоца услуга”: услуге које се пружају путем преноса података без појединачног захтева за истовремени пријем неограниченог броја појединачних примаоца (предаја од једног пошиљаоца ка више примаоца):</w:t>
      </w:r>
    </w:p>
    <w:p w14:paraId="33C74F0C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а) услуге те</w:t>
      </w:r>
      <w:r w:rsid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левизијског емитовања (укључујућ</w:t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и услуге на паравидеу, на захтев), обухваћене чланом 2. став 3. ове уредбе;</w:t>
      </w:r>
    </w:p>
    <w:p w14:paraId="00304FB0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б) услуге радијског емитовања;</w:t>
      </w:r>
    </w:p>
    <w:p w14:paraId="586DBB9F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в) (телевизијски) телетекст.</w:t>
      </w:r>
    </w:p>
    <w:p w14:paraId="04C3B4CF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</w:p>
    <w:p w14:paraId="62FC163B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</w:p>
    <w:p w14:paraId="7BEDB5A3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95E371B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E75019D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9CBD913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C537D1A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9F32810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54AA95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B20D584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ПРИЛОГ 2</w:t>
      </w:r>
    </w:p>
    <w:p w14:paraId="65AC1C6A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</w:p>
    <w:p w14:paraId="16CB0B44" w14:textId="77777777" w:rsidR="003D52C0" w:rsidRPr="00D77D45" w:rsidRDefault="003D52C0" w:rsidP="003D52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</w:p>
    <w:p w14:paraId="067BF3BE" w14:textId="77777777" w:rsidR="003D52C0" w:rsidRPr="00D77D45" w:rsidRDefault="003D52C0" w:rsidP="003D52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ЛИСТА ПРИМЕРА ФИНАНСИЈСКИХ УСЛУГА</w:t>
      </w:r>
    </w:p>
    <w:p w14:paraId="5C4270CD" w14:textId="77777777" w:rsidR="003D52C0" w:rsidRPr="00D77D45" w:rsidRDefault="003D52C0" w:rsidP="003D52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</w:p>
    <w:p w14:paraId="7BEE4BD3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1. Инвестиционе услуге,</w:t>
      </w:r>
    </w:p>
    <w:p w14:paraId="7FDFD84E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2. Послови у области осигурања и реосигурања,</w:t>
      </w:r>
    </w:p>
    <w:p w14:paraId="497A35E0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3. Банкарске услуге,</w:t>
      </w:r>
    </w:p>
    <w:p w14:paraId="7071B0DB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4. Послови који се односе на пензијске фондове,</w:t>
      </w:r>
    </w:p>
    <w:p w14:paraId="549AC3A2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5. Услуге у вези са терминским уговорима или опцијама.</w:t>
      </w:r>
    </w:p>
    <w:p w14:paraId="50500447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услуге посебно укључују:</w:t>
      </w:r>
    </w:p>
    <w:p w14:paraId="28C0FD3F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а) инвестиционе услуге, које се наводе у пропису којим се преузима анекс Директиве 2004/39/ЕЗ; услуге институција колективног инвестирања;</w:t>
      </w:r>
    </w:p>
    <w:p w14:paraId="0EC0317B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б) услуге обухваћене делатностима које подлежу узајамном признавању, наведене у пропису којим се преузима Анекс I Директиве 2013/36/ЕУ Европског парламента и Савета,</w:t>
      </w:r>
    </w:p>
    <w:p w14:paraId="7E36FC1E" w14:textId="77777777" w:rsidR="003D52C0" w:rsidRPr="00D77D45" w:rsidRDefault="004A1DAB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D52C0" w:rsidRPr="00D77D45">
        <w:rPr>
          <w:rFonts w:ascii="Times New Roman" w:eastAsia="Times New Roman" w:hAnsi="Times New Roman" w:cs="Times New Roman"/>
          <w:sz w:val="24"/>
          <w:szCs w:val="24"/>
          <w:lang w:val="sr-Cyrl-CS"/>
        </w:rPr>
        <w:t>в) послови осигурања и реосигурања, а који се наводе у пропису којим се преузима Директива 2009/138/ЕЗ Европског парламента и Савета.</w:t>
      </w:r>
    </w:p>
    <w:p w14:paraId="1E731332" w14:textId="77777777" w:rsidR="003D52C0" w:rsidRPr="00D77D45" w:rsidRDefault="003D52C0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FB4283A" w14:textId="77777777" w:rsidR="003D52C0" w:rsidRPr="00D77D45" w:rsidRDefault="003D52C0" w:rsidP="003D5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D780259" w14:textId="77777777" w:rsidR="00563199" w:rsidRPr="00D77D45" w:rsidRDefault="00563199">
      <w:pPr>
        <w:rPr>
          <w:lang w:val="sr-Cyrl-CS"/>
        </w:rPr>
      </w:pPr>
    </w:p>
    <w:sectPr w:rsidR="00563199" w:rsidRPr="00D77D45" w:rsidSect="005B175D">
      <w:foot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289B5" w14:textId="77777777" w:rsidR="00C84617" w:rsidRDefault="00C84617" w:rsidP="004A1DAB">
      <w:pPr>
        <w:spacing w:after="0" w:line="240" w:lineRule="auto"/>
      </w:pPr>
      <w:r>
        <w:separator/>
      </w:r>
    </w:p>
  </w:endnote>
  <w:endnote w:type="continuationSeparator" w:id="0">
    <w:p w14:paraId="0316E242" w14:textId="77777777" w:rsidR="00C84617" w:rsidRDefault="00C84617" w:rsidP="004A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81371" w14:textId="77777777" w:rsidR="005B175D" w:rsidRDefault="00000000">
    <w:pPr>
      <w:pStyle w:val="Footer"/>
      <w:jc w:val="right"/>
    </w:pPr>
  </w:p>
  <w:p w14:paraId="1D5E93CB" w14:textId="77777777" w:rsidR="004A1DAB" w:rsidRDefault="004A1DAB">
    <w:pPr>
      <w:pStyle w:val="Footer"/>
      <w:jc w:val="right"/>
    </w:pPr>
  </w:p>
  <w:p w14:paraId="50589FFF" w14:textId="77777777" w:rsidR="004A1DAB" w:rsidRDefault="004A1DAB">
    <w:pPr>
      <w:pStyle w:val="Footer"/>
      <w:jc w:val="right"/>
    </w:pPr>
  </w:p>
  <w:p w14:paraId="72FEDDE3" w14:textId="77777777" w:rsidR="004A1DAB" w:rsidRDefault="004A1DAB">
    <w:pPr>
      <w:pStyle w:val="Footer"/>
      <w:jc w:val="right"/>
    </w:pPr>
  </w:p>
  <w:p w14:paraId="36934F04" w14:textId="77777777" w:rsidR="005B175D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CD28E" w14:textId="77777777" w:rsidR="00C84617" w:rsidRDefault="00C84617" w:rsidP="004A1DAB">
      <w:pPr>
        <w:spacing w:after="0" w:line="240" w:lineRule="auto"/>
      </w:pPr>
      <w:r>
        <w:separator/>
      </w:r>
    </w:p>
  </w:footnote>
  <w:footnote w:type="continuationSeparator" w:id="0">
    <w:p w14:paraId="75AFA6DB" w14:textId="77777777" w:rsidR="00C84617" w:rsidRDefault="00C84617" w:rsidP="004A1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2C0"/>
    <w:rsid w:val="000208BA"/>
    <w:rsid w:val="000240B4"/>
    <w:rsid w:val="000A2EB4"/>
    <w:rsid w:val="000D68C6"/>
    <w:rsid w:val="000E292C"/>
    <w:rsid w:val="00123395"/>
    <w:rsid w:val="00161531"/>
    <w:rsid w:val="001D6423"/>
    <w:rsid w:val="002061FB"/>
    <w:rsid w:val="00242543"/>
    <w:rsid w:val="0028415A"/>
    <w:rsid w:val="002A3C30"/>
    <w:rsid w:val="002A3DC7"/>
    <w:rsid w:val="002C6BB1"/>
    <w:rsid w:val="003D52C0"/>
    <w:rsid w:val="004442C4"/>
    <w:rsid w:val="004678FD"/>
    <w:rsid w:val="004A1DAB"/>
    <w:rsid w:val="00563199"/>
    <w:rsid w:val="005D400F"/>
    <w:rsid w:val="005F7227"/>
    <w:rsid w:val="0064779E"/>
    <w:rsid w:val="006A61D8"/>
    <w:rsid w:val="006C65F9"/>
    <w:rsid w:val="006D2137"/>
    <w:rsid w:val="006D50EC"/>
    <w:rsid w:val="007D62AE"/>
    <w:rsid w:val="00843D9D"/>
    <w:rsid w:val="008974D9"/>
    <w:rsid w:val="0091747B"/>
    <w:rsid w:val="00A520D3"/>
    <w:rsid w:val="00A53AD6"/>
    <w:rsid w:val="00A97AF1"/>
    <w:rsid w:val="00AA2076"/>
    <w:rsid w:val="00AA436E"/>
    <w:rsid w:val="00AD5021"/>
    <w:rsid w:val="00BD19E0"/>
    <w:rsid w:val="00BD6C7C"/>
    <w:rsid w:val="00C84617"/>
    <w:rsid w:val="00D77D45"/>
    <w:rsid w:val="00E8327A"/>
    <w:rsid w:val="00EE7440"/>
    <w:rsid w:val="00F72509"/>
    <w:rsid w:val="00F87B48"/>
    <w:rsid w:val="00FA459A"/>
    <w:rsid w:val="00F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1F93A"/>
  <w15:chartTrackingRefBased/>
  <w15:docId w15:val="{AFB81376-2230-4AFD-A693-C9A8F6E0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2C0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D5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2C0"/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4A1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DAB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Ivana Vojinović</cp:lastModifiedBy>
  <cp:revision>2</cp:revision>
  <cp:lastPrinted>2022-08-25T10:38:00Z</cp:lastPrinted>
  <dcterms:created xsi:type="dcterms:W3CDTF">2022-08-26T07:55:00Z</dcterms:created>
  <dcterms:modified xsi:type="dcterms:W3CDTF">2022-08-26T07:55:00Z</dcterms:modified>
</cp:coreProperties>
</file>