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793DBC" w:rsidRDefault="006961E3" w:rsidP="006130E2">
      <w:pPr>
        <w:ind w:left="-720" w:firstLine="720"/>
        <w:jc w:val="center"/>
        <w:rPr>
          <w:lang w:val="sr-Cyrl-CS"/>
        </w:rPr>
      </w:pPr>
      <w:r w:rsidRPr="00793DBC">
        <w:rPr>
          <w:lang w:val="sr-Cyrl-CS"/>
        </w:rPr>
        <w:t>О Б Р А З Л О Ж Е Њ Е</w:t>
      </w:r>
    </w:p>
    <w:p w:rsidR="00113ACC" w:rsidRPr="00793DBC" w:rsidRDefault="00113ACC" w:rsidP="006130E2">
      <w:pPr>
        <w:ind w:left="-720" w:firstLine="720"/>
        <w:jc w:val="center"/>
        <w:rPr>
          <w:lang w:val="sr-Cyrl-CS"/>
        </w:rPr>
      </w:pPr>
    </w:p>
    <w:p w:rsidR="00FC1322" w:rsidRPr="00793DBC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793DBC" w:rsidRDefault="006961E3" w:rsidP="006130E2">
      <w:pPr>
        <w:rPr>
          <w:bCs/>
          <w:lang w:val="sr-Cyrl-CS"/>
        </w:rPr>
      </w:pPr>
      <w:r w:rsidRPr="00793DBC">
        <w:rPr>
          <w:bCs/>
          <w:lang w:val="sr-Cyrl-CS"/>
        </w:rPr>
        <w:t xml:space="preserve"> </w:t>
      </w:r>
      <w:r w:rsidRPr="00793DBC">
        <w:rPr>
          <w:bCs/>
          <w:lang w:val="sr-Cyrl-CS"/>
        </w:rPr>
        <w:tab/>
        <w:t>I. УСТАВНИ ОСНОВ ЗА ДОНОШЕЊЕ ЗАКОНА</w:t>
      </w:r>
    </w:p>
    <w:p w:rsidR="006961E3" w:rsidRPr="00793DBC" w:rsidRDefault="006961E3" w:rsidP="006130E2">
      <w:pPr>
        <w:rPr>
          <w:bCs/>
          <w:lang w:val="sr-Cyrl-CS"/>
        </w:rPr>
      </w:pPr>
    </w:p>
    <w:p w:rsidR="0040226C" w:rsidRPr="00793DBC" w:rsidRDefault="006961E3" w:rsidP="006130E2">
      <w:pPr>
        <w:jc w:val="both"/>
        <w:rPr>
          <w:lang w:val="sr-Cyrl-CS"/>
        </w:rPr>
      </w:pPr>
      <w:r w:rsidRPr="00793DBC">
        <w:rPr>
          <w:lang w:val="sr-Cyrl-CS"/>
        </w:rPr>
        <w:t xml:space="preserve"> </w:t>
      </w:r>
      <w:r w:rsidRPr="00793DBC">
        <w:rPr>
          <w:lang w:val="sr-Cyrl-CS"/>
        </w:rPr>
        <w:tab/>
      </w:r>
      <w:r w:rsidR="0040226C" w:rsidRPr="00793DBC">
        <w:rPr>
          <w:lang w:val="sr-Cyrl-CS"/>
        </w:rPr>
        <w:t>Уставни основ за доношење овог закона садржан је у одредби члана 9</w:t>
      </w:r>
      <w:r w:rsidR="003C4052" w:rsidRPr="00793DBC">
        <w:rPr>
          <w:lang w:val="sr-Cyrl-CS"/>
        </w:rPr>
        <w:t>3</w:t>
      </w:r>
      <w:r w:rsidR="0040226C" w:rsidRPr="00793DBC">
        <w:rPr>
          <w:lang w:val="sr-Cyrl-CS"/>
        </w:rPr>
        <w:t xml:space="preserve">. став 1. Устава Републике Србије, којом је прописано да </w:t>
      </w:r>
      <w:r w:rsidR="003C4052" w:rsidRPr="00793DBC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793DBC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793DBC" w:rsidRDefault="0040226C" w:rsidP="006130E2">
      <w:pPr>
        <w:jc w:val="both"/>
        <w:rPr>
          <w:lang w:val="sr-Cyrl-CS"/>
        </w:rPr>
      </w:pPr>
      <w:r w:rsidRPr="00793DBC">
        <w:rPr>
          <w:lang w:val="sr-Cyrl-CS"/>
        </w:rPr>
        <w:t xml:space="preserve"> </w:t>
      </w:r>
    </w:p>
    <w:p w:rsidR="006961E3" w:rsidRPr="00793DBC" w:rsidRDefault="006961E3" w:rsidP="006130E2">
      <w:pPr>
        <w:ind w:firstLine="720"/>
        <w:jc w:val="both"/>
        <w:rPr>
          <w:bCs/>
          <w:lang w:val="sr-Cyrl-CS"/>
        </w:rPr>
      </w:pPr>
      <w:r w:rsidRPr="00793DBC">
        <w:rPr>
          <w:bCs/>
          <w:lang w:val="sr-Cyrl-CS"/>
        </w:rPr>
        <w:t xml:space="preserve"> II. РАЗЛОЗИ ЗА ДОНОШЕЊЕ ЗАКОНА</w:t>
      </w:r>
      <w:r w:rsidR="0069359B" w:rsidRPr="00793DBC">
        <w:rPr>
          <w:bCs/>
          <w:lang w:val="sr-Cyrl-CS"/>
        </w:rPr>
        <w:t xml:space="preserve"> </w:t>
      </w:r>
      <w:r w:rsidR="00B23202" w:rsidRPr="00793DBC">
        <w:rPr>
          <w:bCs/>
          <w:lang w:val="sr-Cyrl-CS"/>
        </w:rPr>
        <w:t>–</w:t>
      </w:r>
      <w:r w:rsidR="0069359B" w:rsidRPr="00793DBC">
        <w:rPr>
          <w:bCs/>
          <w:lang w:val="sr-Cyrl-CS"/>
        </w:rPr>
        <w:t xml:space="preserve"> ПОТВРЂИВАЊЕ</w:t>
      </w:r>
    </w:p>
    <w:p w:rsidR="00B23202" w:rsidRPr="00793DBC" w:rsidRDefault="00B23202" w:rsidP="006130E2">
      <w:pPr>
        <w:ind w:firstLine="720"/>
        <w:jc w:val="both"/>
        <w:rPr>
          <w:bCs/>
          <w:lang w:val="sr-Cyrl-CS"/>
        </w:rPr>
      </w:pPr>
    </w:p>
    <w:p w:rsidR="00B23202" w:rsidRPr="00793DBC" w:rsidRDefault="00B23202" w:rsidP="006130E2">
      <w:pPr>
        <w:ind w:firstLine="720"/>
        <w:jc w:val="both"/>
        <w:rPr>
          <w:bCs/>
          <w:lang w:val="sr-Cyrl-CS"/>
        </w:rPr>
      </w:pPr>
      <w:r w:rsidRPr="00793DBC">
        <w:rPr>
          <w:bCs/>
          <w:lang w:val="sr-Cyrl-CS"/>
        </w:rPr>
        <w:t xml:space="preserve">Разлози за доношење </w:t>
      </w:r>
      <w:r w:rsidR="008C4B8F" w:rsidRPr="00793DBC">
        <w:rPr>
          <w:lang w:val="sr-Cyrl-CS"/>
        </w:rPr>
        <w:t xml:space="preserve">Закона о потврђивању Уговора о кредитном аранжману у износу до 203.775.000 </w:t>
      </w:r>
      <w:proofErr w:type="spellStart"/>
      <w:r w:rsidR="008C4B8F" w:rsidRPr="00793DBC">
        <w:rPr>
          <w:lang w:val="sr-Cyrl-CS"/>
        </w:rPr>
        <w:t>евра</w:t>
      </w:r>
      <w:proofErr w:type="spellEnd"/>
      <w:r w:rsidR="008C4B8F" w:rsidRPr="00793DBC">
        <w:rPr>
          <w:lang w:val="sr-Cyrl-CS"/>
        </w:rPr>
        <w:t xml:space="preserve"> осигураног код </w:t>
      </w:r>
      <w:proofErr w:type="spellStart"/>
      <w:r w:rsidR="008C4B8F" w:rsidRPr="00793DBC">
        <w:rPr>
          <w:lang w:val="sr-Cyrl-CS"/>
        </w:rPr>
        <w:t>China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Export</w:t>
      </w:r>
      <w:proofErr w:type="spellEnd"/>
      <w:r w:rsidR="008C4B8F" w:rsidRPr="00793DBC">
        <w:rPr>
          <w:lang w:val="sr-Cyrl-CS"/>
        </w:rPr>
        <w:t xml:space="preserve"> &amp; </w:t>
      </w:r>
      <w:proofErr w:type="spellStart"/>
      <w:r w:rsidR="008C4B8F" w:rsidRPr="00793DBC">
        <w:rPr>
          <w:lang w:val="sr-Cyrl-CS"/>
        </w:rPr>
        <w:t>Credit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Insurance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Corporation</w:t>
      </w:r>
      <w:proofErr w:type="spellEnd"/>
      <w:r w:rsidR="008C4B8F" w:rsidRPr="00793DBC">
        <w:rPr>
          <w:lang w:val="sr-Cyrl-CS"/>
        </w:rPr>
        <w:t xml:space="preserve"> за финансирање прве фазе Пројекта сакупљања и пречишћавања отпадних вода централног канализационог система града Београда између Републике Србије, коју заступа Влада Републике Србије, поступајући преко Министарства финансија, као Зајмопримца, </w:t>
      </w:r>
      <w:proofErr w:type="spellStart"/>
      <w:r w:rsidR="008C4B8F" w:rsidRPr="00793DBC">
        <w:rPr>
          <w:lang w:val="sr-Cyrl-CS"/>
        </w:rPr>
        <w:t>BNP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PARIBAS</w:t>
      </w:r>
      <w:proofErr w:type="spellEnd"/>
      <w:r w:rsidR="008C4B8F" w:rsidRPr="00793DBC">
        <w:rPr>
          <w:lang w:val="sr-Cyrl-CS"/>
        </w:rPr>
        <w:t xml:space="preserve"> SA и </w:t>
      </w:r>
      <w:proofErr w:type="spellStart"/>
      <w:r w:rsidR="008C4B8F" w:rsidRPr="00793DBC">
        <w:rPr>
          <w:lang w:val="sr-Cyrl-CS"/>
        </w:rPr>
        <w:t>UNICREDIT</w:t>
      </w:r>
      <w:proofErr w:type="spellEnd"/>
      <w:r w:rsidR="008C4B8F" w:rsidRPr="00793DBC">
        <w:rPr>
          <w:lang w:val="sr-Cyrl-CS"/>
        </w:rPr>
        <w:t xml:space="preserve"> BANK </w:t>
      </w:r>
      <w:proofErr w:type="spellStart"/>
      <w:r w:rsidR="008C4B8F" w:rsidRPr="00793DBC">
        <w:rPr>
          <w:lang w:val="sr-Cyrl-CS"/>
        </w:rPr>
        <w:t>AG</w:t>
      </w:r>
      <w:proofErr w:type="spellEnd"/>
      <w:r w:rsidR="008C4B8F" w:rsidRPr="00793DBC">
        <w:rPr>
          <w:lang w:val="sr-Cyrl-CS"/>
        </w:rPr>
        <w:t xml:space="preserve">, као Аранжера, </w:t>
      </w:r>
      <w:proofErr w:type="spellStart"/>
      <w:r w:rsidR="008C4B8F" w:rsidRPr="00793DBC">
        <w:rPr>
          <w:lang w:val="sr-Cyrl-CS"/>
        </w:rPr>
        <w:t>UNICREDIT</w:t>
      </w:r>
      <w:proofErr w:type="spellEnd"/>
      <w:r w:rsidR="008C4B8F" w:rsidRPr="00793DBC">
        <w:rPr>
          <w:lang w:val="sr-Cyrl-CS"/>
        </w:rPr>
        <w:t xml:space="preserve"> BANK </w:t>
      </w:r>
      <w:proofErr w:type="spellStart"/>
      <w:r w:rsidR="008C4B8F" w:rsidRPr="00793DBC">
        <w:rPr>
          <w:lang w:val="sr-Cyrl-CS"/>
        </w:rPr>
        <w:t>AG</w:t>
      </w:r>
      <w:proofErr w:type="spellEnd"/>
      <w:r w:rsidR="008C4B8F" w:rsidRPr="00793DBC">
        <w:rPr>
          <w:lang w:val="sr-Cyrl-CS"/>
        </w:rPr>
        <w:t xml:space="preserve">, </w:t>
      </w:r>
      <w:proofErr w:type="spellStart"/>
      <w:r w:rsidR="008C4B8F" w:rsidRPr="00793DBC">
        <w:rPr>
          <w:lang w:val="sr-Cyrl-CS"/>
        </w:rPr>
        <w:t>BNP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PARIBAS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FORTIS</w:t>
      </w:r>
      <w:proofErr w:type="spellEnd"/>
      <w:r w:rsidR="008C4B8F" w:rsidRPr="00793DBC">
        <w:rPr>
          <w:lang w:val="sr-Cyrl-CS"/>
        </w:rPr>
        <w:t xml:space="preserve"> SA/</w:t>
      </w:r>
      <w:proofErr w:type="spellStart"/>
      <w:r w:rsidR="008C4B8F" w:rsidRPr="00793DBC">
        <w:rPr>
          <w:lang w:val="sr-Cyrl-CS"/>
        </w:rPr>
        <w:t>NV</w:t>
      </w:r>
      <w:proofErr w:type="spellEnd"/>
      <w:r w:rsidR="008C4B8F" w:rsidRPr="00793DBC">
        <w:rPr>
          <w:lang w:val="sr-Cyrl-CS"/>
        </w:rPr>
        <w:t xml:space="preserve"> и </w:t>
      </w:r>
      <w:proofErr w:type="spellStart"/>
      <w:r w:rsidR="008C4B8F" w:rsidRPr="00793DBC">
        <w:rPr>
          <w:lang w:val="sr-Cyrl-CS"/>
        </w:rPr>
        <w:t>BNP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PARIBAS</w:t>
      </w:r>
      <w:proofErr w:type="spellEnd"/>
      <w:r w:rsidR="008C4B8F" w:rsidRPr="00793DBC">
        <w:rPr>
          <w:lang w:val="sr-Cyrl-CS"/>
        </w:rPr>
        <w:t xml:space="preserve"> SA</w:t>
      </w:r>
      <w:r w:rsidR="007A0E94">
        <w:rPr>
          <w:lang w:val="sr-Cyrl-CS"/>
        </w:rPr>
        <w:t>,</w:t>
      </w:r>
      <w:r w:rsidR="008C4B8F" w:rsidRPr="00793DBC">
        <w:rPr>
          <w:lang w:val="sr-Cyrl-CS"/>
        </w:rPr>
        <w:t xml:space="preserve"> као Првобитних зајмодаваца, </w:t>
      </w:r>
      <w:proofErr w:type="spellStart"/>
      <w:r w:rsidR="008C4B8F" w:rsidRPr="00793DBC">
        <w:rPr>
          <w:lang w:val="sr-Cyrl-CS"/>
        </w:rPr>
        <w:t>UNICREDIT</w:t>
      </w:r>
      <w:proofErr w:type="spellEnd"/>
      <w:r w:rsidR="008C4B8F" w:rsidRPr="00793DBC">
        <w:rPr>
          <w:lang w:val="sr-Cyrl-CS"/>
        </w:rPr>
        <w:t xml:space="preserve"> BANK </w:t>
      </w:r>
      <w:proofErr w:type="spellStart"/>
      <w:r w:rsidR="008C4B8F" w:rsidRPr="00793DBC">
        <w:rPr>
          <w:lang w:val="sr-Cyrl-CS"/>
        </w:rPr>
        <w:t>AG</w:t>
      </w:r>
      <w:proofErr w:type="spellEnd"/>
      <w:r w:rsidR="008C4B8F" w:rsidRPr="00793DBC">
        <w:rPr>
          <w:lang w:val="sr-Cyrl-CS"/>
        </w:rPr>
        <w:t xml:space="preserve">, као Агента и </w:t>
      </w:r>
      <w:proofErr w:type="spellStart"/>
      <w:r w:rsidR="008C4B8F" w:rsidRPr="00793DBC">
        <w:rPr>
          <w:lang w:val="sr-Cyrl-CS"/>
        </w:rPr>
        <w:t>BNP</w:t>
      </w:r>
      <w:proofErr w:type="spellEnd"/>
      <w:r w:rsidR="008C4B8F" w:rsidRPr="00793DBC">
        <w:rPr>
          <w:lang w:val="sr-Cyrl-CS"/>
        </w:rPr>
        <w:t xml:space="preserve"> </w:t>
      </w:r>
      <w:proofErr w:type="spellStart"/>
      <w:r w:rsidR="008C4B8F" w:rsidRPr="00793DBC">
        <w:rPr>
          <w:lang w:val="sr-Cyrl-CS"/>
        </w:rPr>
        <w:t>PARIBAS</w:t>
      </w:r>
      <w:proofErr w:type="spellEnd"/>
      <w:r w:rsidR="0040739B" w:rsidRPr="00793DBC">
        <w:rPr>
          <w:lang w:val="sr-Cyrl-CS"/>
        </w:rPr>
        <w:t xml:space="preserve"> SA</w:t>
      </w:r>
      <w:r w:rsidR="008C4B8F" w:rsidRPr="00793DBC">
        <w:rPr>
          <w:lang w:val="sr-Cyrl-CS"/>
        </w:rPr>
        <w:t xml:space="preserve">, као </w:t>
      </w:r>
      <w:proofErr w:type="spellStart"/>
      <w:r w:rsidR="008C4B8F" w:rsidRPr="00793DBC">
        <w:rPr>
          <w:lang w:val="sr-Cyrl-CS"/>
        </w:rPr>
        <w:t>ECA</w:t>
      </w:r>
      <w:proofErr w:type="spellEnd"/>
      <w:r w:rsidR="008C4B8F" w:rsidRPr="00793DBC">
        <w:rPr>
          <w:lang w:val="sr-Cyrl-CS"/>
        </w:rPr>
        <w:t xml:space="preserve"> Агента, који је потписан у Београду, Минхену, Паризу и Бриселу 14. јануара 2022. године</w:t>
      </w:r>
      <w:r w:rsidRPr="00793DBC">
        <w:rPr>
          <w:bCs/>
          <w:lang w:val="sr-Cyrl-CS"/>
        </w:rPr>
        <w:t xml:space="preserve">, садржани су у одредби члана 5. став 2. Закона о јавном дугу („Службени гласник РС”, бр. </w:t>
      </w:r>
      <w:r w:rsidR="008C4B8F" w:rsidRPr="00793DBC">
        <w:rPr>
          <w:lang w:val="sr-Cyrl-CS"/>
        </w:rPr>
        <w:t>61/05, 107/09, 78/11, 68/15, 95/18,  91/19 и 149/20</w:t>
      </w:r>
      <w:r w:rsidRPr="00793DBC">
        <w:rPr>
          <w:bCs/>
          <w:lang w:val="sr-Cyrl-CS"/>
        </w:rPr>
        <w:t>) према којој Народна скупштина одлучује о задуживању Републике Србије.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Законом о буџету Републике Србије за 2022. годину („Службени гласник РС”, број 110/21) у члану 3. </w:t>
      </w:r>
      <w:r w:rsidR="007A0E94" w:rsidRPr="00793DBC">
        <w:rPr>
          <w:lang w:val="sr-Cyrl-CS"/>
        </w:rPr>
        <w:t xml:space="preserve">предвиђено </w:t>
      </w:r>
      <w:r w:rsidRPr="00793DBC">
        <w:rPr>
          <w:lang w:val="sr-Cyrl-CS"/>
        </w:rPr>
        <w:t xml:space="preserve">је задуживање за финансирање Пројеката каналисања и пречишћавања отпадних вода града Београда до износа 220.000.000 </w:t>
      </w:r>
      <w:proofErr w:type="spellStart"/>
      <w:r w:rsidRPr="00793DBC">
        <w:rPr>
          <w:lang w:val="sr-Cyrl-CS"/>
        </w:rPr>
        <w:t>евра</w:t>
      </w:r>
      <w:proofErr w:type="spellEnd"/>
      <w:r w:rsidRPr="00793DBC">
        <w:rPr>
          <w:lang w:val="sr-Cyrl-CS"/>
        </w:rPr>
        <w:t xml:space="preserve">. 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Споразум о сарадњи и Уговорни споразум за пројекат сакупљања и пречишћавања отпадних вода централног канализационог система града Београда потписан је 20. јануара 2020. године у Београду између Владе Републике Србије и кинеске компаније </w:t>
      </w:r>
      <w:proofErr w:type="spellStart"/>
      <w:r w:rsidRPr="00793DBC">
        <w:rPr>
          <w:lang w:val="sr-Cyrl-CS"/>
        </w:rPr>
        <w:t>CMEC</w:t>
      </w:r>
      <w:proofErr w:type="spellEnd"/>
      <w:r w:rsidRPr="00793DBC">
        <w:rPr>
          <w:lang w:val="sr-Cyrl-CS"/>
        </w:rPr>
        <w:t>.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Предвиђено је да се овај пројекат</w:t>
      </w:r>
      <w:r w:rsidR="00793DBC">
        <w:t xml:space="preserve"> </w:t>
      </w:r>
      <w:r w:rsidRPr="00793DBC">
        <w:rPr>
          <w:lang w:val="sr-Cyrl-CS"/>
        </w:rPr>
        <w:t>реализује у две фазе, а постројење ће се простирати на површини од око 97 хектара. Прва фаза обухвата изградњу недостајуће инфраструктуре (</w:t>
      </w:r>
      <w:proofErr w:type="spellStart"/>
      <w:r w:rsidRPr="00793DBC">
        <w:rPr>
          <w:lang w:val="sr-Cyrl-CS"/>
        </w:rPr>
        <w:t>Интерцептор</w:t>
      </w:r>
      <w:proofErr w:type="spellEnd"/>
      <w:r w:rsidRPr="00793DBC">
        <w:rPr>
          <w:lang w:val="sr-Cyrl-CS"/>
        </w:rPr>
        <w:t xml:space="preserve">, тунел Хитна </w:t>
      </w:r>
      <w:proofErr w:type="spellStart"/>
      <w:r w:rsidRPr="00793DBC">
        <w:rPr>
          <w:lang w:val="sr-Cyrl-CS"/>
        </w:rPr>
        <w:t>помоћ-Венизелосова</w:t>
      </w:r>
      <w:proofErr w:type="spellEnd"/>
      <w:r w:rsidRPr="00793DBC">
        <w:rPr>
          <w:lang w:val="sr-Cyrl-CS"/>
        </w:rPr>
        <w:t>), нове канализационе црпне станице „Ушће – Нова</w:t>
      </w:r>
      <w:r w:rsidR="007A0E94">
        <w:rPr>
          <w:lang w:val="sr-Cyrl-CS"/>
        </w:rPr>
        <w:t>”</w:t>
      </w:r>
      <w:r w:rsidRPr="00793DBC">
        <w:rPr>
          <w:lang w:val="sr-Cyrl-CS"/>
        </w:rPr>
        <w:t>, као и реконструкцију црпне станице „Мостар</w:t>
      </w:r>
      <w:r w:rsidR="007A0E94">
        <w:rPr>
          <w:lang w:val="sr-Cyrl-CS"/>
        </w:rPr>
        <w:t>”</w:t>
      </w:r>
      <w:r w:rsidRPr="00793DBC">
        <w:rPr>
          <w:lang w:val="sr-Cyrl-CS"/>
        </w:rPr>
        <w:t>. У другој фази прерада отпадних вода заснива се на примарном и секундарном третманом којим ће се муљ издвајати у примарним таложницима, а азот и фосфор уклањаће се напредним поступцима на бази активног муља.</w:t>
      </w:r>
    </w:p>
    <w:p w:rsidR="00B23202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Реализација овог пројекта је од великог значаја за град, јер се очекују позитивни ефекти у погледу заштите животне средине, а нарочито очувања река Саве и Дунава, као крајњих </w:t>
      </w:r>
      <w:proofErr w:type="spellStart"/>
      <w:r w:rsidRPr="00793DBC">
        <w:rPr>
          <w:lang w:val="sr-Cyrl-CS"/>
        </w:rPr>
        <w:t>реципијената</w:t>
      </w:r>
      <w:proofErr w:type="spellEnd"/>
      <w:r w:rsidRPr="00793DBC">
        <w:rPr>
          <w:lang w:val="sr-Cyrl-CS"/>
        </w:rPr>
        <w:t xml:space="preserve"> испуштених вода.</w:t>
      </w:r>
    </w:p>
    <w:p w:rsidR="00B23202" w:rsidRPr="00793DBC" w:rsidRDefault="00B23202" w:rsidP="00B23202">
      <w:pPr>
        <w:ind w:firstLine="720"/>
        <w:jc w:val="both"/>
        <w:rPr>
          <w:rFonts w:eastAsia="Calibri"/>
          <w:lang w:val="sr-Cyrl-CS"/>
        </w:rPr>
      </w:pPr>
      <w:r w:rsidRPr="00793DBC">
        <w:rPr>
          <w:rFonts w:eastAsia="Calibri"/>
          <w:lang w:val="sr-Cyrl-CS"/>
        </w:rPr>
        <w:t>Након вишемесечних разговора са неколико банака и настојања да се обезбеде најповољнији услови финанс</w:t>
      </w:r>
      <w:r w:rsidR="008C4B8F" w:rsidRPr="00793DBC">
        <w:rPr>
          <w:rFonts w:eastAsia="Calibri"/>
          <w:lang w:val="sr-Cyrl-CS"/>
        </w:rPr>
        <w:t xml:space="preserve">ирања за Републику Србију, банке </w:t>
      </w:r>
      <w:r w:rsidRPr="00793DBC">
        <w:rPr>
          <w:rFonts w:eastAsia="Calibri"/>
          <w:lang w:val="sr-Cyrl-CS"/>
        </w:rPr>
        <w:t xml:space="preserve"> </w:t>
      </w:r>
      <w:proofErr w:type="spellStart"/>
      <w:r w:rsidR="008C4B8F" w:rsidRPr="00793DBC">
        <w:rPr>
          <w:rFonts w:eastAsia="Calibri"/>
          <w:lang w:val="sr-Cyrl-CS"/>
        </w:rPr>
        <w:t>UNICREDIT</w:t>
      </w:r>
      <w:proofErr w:type="spellEnd"/>
      <w:r w:rsidR="008C4B8F" w:rsidRPr="00793DBC">
        <w:rPr>
          <w:rFonts w:eastAsia="Calibri"/>
          <w:lang w:val="sr-Cyrl-CS"/>
        </w:rPr>
        <w:t xml:space="preserve"> BANK </w:t>
      </w:r>
      <w:proofErr w:type="spellStart"/>
      <w:r w:rsidR="008C4B8F" w:rsidRPr="00793DBC">
        <w:rPr>
          <w:rFonts w:eastAsia="Calibri"/>
          <w:lang w:val="sr-Cyrl-CS"/>
        </w:rPr>
        <w:t>AG</w:t>
      </w:r>
      <w:proofErr w:type="spellEnd"/>
      <w:r w:rsidR="008C4B8F" w:rsidRPr="00793DBC">
        <w:rPr>
          <w:rFonts w:eastAsia="Calibri"/>
          <w:lang w:val="sr-Cyrl-CS"/>
        </w:rPr>
        <w:t xml:space="preserve"> и </w:t>
      </w:r>
      <w:proofErr w:type="spellStart"/>
      <w:r w:rsidR="008C4B8F" w:rsidRPr="00793DBC">
        <w:rPr>
          <w:rFonts w:eastAsia="Calibri"/>
          <w:lang w:val="sr-Cyrl-CS"/>
        </w:rPr>
        <w:t>BNP</w:t>
      </w:r>
      <w:proofErr w:type="spellEnd"/>
      <w:r w:rsidR="008C4B8F" w:rsidRPr="00793DBC">
        <w:rPr>
          <w:rFonts w:eastAsia="Calibri"/>
          <w:lang w:val="sr-Cyrl-CS"/>
        </w:rPr>
        <w:t xml:space="preserve"> </w:t>
      </w:r>
      <w:proofErr w:type="spellStart"/>
      <w:r w:rsidR="008C4B8F" w:rsidRPr="00793DBC">
        <w:rPr>
          <w:rFonts w:eastAsia="Calibri"/>
          <w:lang w:val="sr-Cyrl-CS"/>
        </w:rPr>
        <w:t>PARIBAS</w:t>
      </w:r>
      <w:proofErr w:type="spellEnd"/>
      <w:r w:rsidRPr="00793DBC">
        <w:rPr>
          <w:rFonts w:eastAsia="Calibri"/>
          <w:lang w:val="sr-Cyrl-CS"/>
        </w:rPr>
        <w:t xml:space="preserve"> </w:t>
      </w:r>
      <w:r w:rsidR="008C4B8F" w:rsidRPr="00793DBC">
        <w:rPr>
          <w:rFonts w:eastAsia="Calibri"/>
          <w:lang w:val="sr-Cyrl-CS"/>
        </w:rPr>
        <w:t>је понудиле</w:t>
      </w:r>
      <w:r w:rsidRPr="00793DBC">
        <w:rPr>
          <w:rFonts w:eastAsia="Calibri"/>
          <w:lang w:val="sr-Cyrl-CS"/>
        </w:rPr>
        <w:t xml:space="preserve"> најповољније услове кредита уз </w:t>
      </w:r>
      <w:proofErr w:type="spellStart"/>
      <w:r w:rsidRPr="00793DBC">
        <w:rPr>
          <w:rFonts w:eastAsia="Calibri"/>
          <w:lang w:val="sr-Cyrl-CS"/>
        </w:rPr>
        <w:t>China</w:t>
      </w:r>
      <w:proofErr w:type="spellEnd"/>
      <w:r w:rsidRPr="00793DBC">
        <w:rPr>
          <w:rFonts w:eastAsia="Calibri"/>
          <w:lang w:val="sr-Cyrl-CS"/>
        </w:rPr>
        <w:t xml:space="preserve"> </w:t>
      </w:r>
      <w:proofErr w:type="spellStart"/>
      <w:r w:rsidRPr="00793DBC">
        <w:rPr>
          <w:rFonts w:eastAsia="Calibri"/>
          <w:lang w:val="sr-Cyrl-CS"/>
        </w:rPr>
        <w:t>Export</w:t>
      </w:r>
      <w:proofErr w:type="spellEnd"/>
      <w:r w:rsidRPr="00793DBC">
        <w:rPr>
          <w:rFonts w:eastAsia="Calibri"/>
          <w:lang w:val="sr-Cyrl-CS"/>
        </w:rPr>
        <w:t xml:space="preserve"> &amp; </w:t>
      </w:r>
      <w:proofErr w:type="spellStart"/>
      <w:r w:rsidRPr="00793DBC">
        <w:rPr>
          <w:rFonts w:eastAsia="Calibri"/>
          <w:lang w:val="sr-Cyrl-CS"/>
        </w:rPr>
        <w:t>Credit</w:t>
      </w:r>
      <w:proofErr w:type="spellEnd"/>
      <w:r w:rsidRPr="00793DBC">
        <w:rPr>
          <w:rFonts w:eastAsia="Calibri"/>
          <w:lang w:val="sr-Cyrl-CS"/>
        </w:rPr>
        <w:t xml:space="preserve"> </w:t>
      </w:r>
      <w:proofErr w:type="spellStart"/>
      <w:r w:rsidRPr="00793DBC">
        <w:rPr>
          <w:rFonts w:eastAsia="Calibri"/>
          <w:lang w:val="sr-Cyrl-CS"/>
        </w:rPr>
        <w:t>Insurance</w:t>
      </w:r>
      <w:proofErr w:type="spellEnd"/>
      <w:r w:rsidRPr="00793DBC">
        <w:rPr>
          <w:rFonts w:eastAsia="Calibri"/>
          <w:lang w:val="sr-Cyrl-CS"/>
        </w:rPr>
        <w:t xml:space="preserve"> </w:t>
      </w:r>
      <w:proofErr w:type="spellStart"/>
      <w:r w:rsidRPr="00793DBC">
        <w:rPr>
          <w:rFonts w:eastAsia="Calibri"/>
          <w:lang w:val="sr-Cyrl-CS"/>
        </w:rPr>
        <w:t>Corporation</w:t>
      </w:r>
      <w:proofErr w:type="spellEnd"/>
      <w:r w:rsidRPr="00793DBC">
        <w:rPr>
          <w:rFonts w:eastAsia="Calibri"/>
          <w:lang w:val="sr-Cyrl-CS"/>
        </w:rPr>
        <w:t xml:space="preserve"> осигурање (</w:t>
      </w:r>
      <w:proofErr w:type="spellStart"/>
      <w:r w:rsidRPr="00793DBC">
        <w:rPr>
          <w:rFonts w:eastAsia="Calibri"/>
          <w:lang w:val="sr-Cyrl-CS"/>
        </w:rPr>
        <w:t>Sinosure</w:t>
      </w:r>
      <w:proofErr w:type="spellEnd"/>
      <w:r w:rsidRPr="00793DBC">
        <w:rPr>
          <w:rFonts w:eastAsia="Calibri"/>
          <w:lang w:val="sr-Cyrl-CS"/>
        </w:rPr>
        <w:t xml:space="preserve">)  за финансирање </w:t>
      </w:r>
      <w:r w:rsidR="008C4B8F" w:rsidRPr="00793DBC">
        <w:rPr>
          <w:lang w:val="sr-Cyrl-CS"/>
        </w:rPr>
        <w:t>прве фазе Пројекта сакупљања и пречишћавања отпадних вода централног канализационог система града Београда</w:t>
      </w:r>
      <w:r w:rsidRPr="00793DBC">
        <w:rPr>
          <w:rFonts w:eastAsia="Calibri"/>
          <w:lang w:val="sr-Cyrl-CS"/>
        </w:rPr>
        <w:t>.</w:t>
      </w:r>
    </w:p>
    <w:p w:rsidR="00F6000B" w:rsidRPr="00793DBC" w:rsidRDefault="00B23202" w:rsidP="008C4B8F">
      <w:pPr>
        <w:ind w:firstLine="720"/>
        <w:jc w:val="both"/>
        <w:rPr>
          <w:lang w:val="sr-Cyrl-CS"/>
        </w:rPr>
      </w:pPr>
      <w:r w:rsidRPr="00793DBC">
        <w:rPr>
          <w:rFonts w:eastAsia="Calibri"/>
          <w:lang w:val="sr-Cyrl-CS"/>
        </w:rPr>
        <w:lastRenderedPageBreak/>
        <w:t>Влада је донела Закључак 05 Број:</w:t>
      </w:r>
      <w:r w:rsidR="007B18CC" w:rsidRPr="00793DBC">
        <w:rPr>
          <w:rFonts w:eastAsia="Calibri"/>
          <w:lang w:val="sr-Cyrl-CS"/>
        </w:rPr>
        <w:t xml:space="preserve"> 48-</w:t>
      </w:r>
      <w:r w:rsidR="00F6000B" w:rsidRPr="00793DBC">
        <w:rPr>
          <w:rFonts w:eastAsia="Calibri"/>
          <w:lang w:val="sr-Cyrl-CS"/>
        </w:rPr>
        <w:t xml:space="preserve">172/2022 </w:t>
      </w:r>
      <w:r w:rsidR="007B18CC" w:rsidRPr="00793DBC">
        <w:rPr>
          <w:rFonts w:eastAsia="Calibri"/>
          <w:lang w:val="sr-Cyrl-CS"/>
        </w:rPr>
        <w:t>о</w:t>
      </w:r>
      <w:r w:rsidRPr="00793DBC">
        <w:rPr>
          <w:rFonts w:eastAsia="Calibri"/>
          <w:lang w:val="sr-Cyrl-CS"/>
        </w:rPr>
        <w:t xml:space="preserve">д </w:t>
      </w:r>
      <w:r w:rsidR="00F6000B" w:rsidRPr="00793DBC">
        <w:rPr>
          <w:rFonts w:eastAsia="Calibri"/>
          <w:lang w:val="sr-Cyrl-CS"/>
        </w:rPr>
        <w:t>13.</w:t>
      </w:r>
      <w:r w:rsidRPr="00793DBC">
        <w:rPr>
          <w:rFonts w:eastAsia="Calibri"/>
          <w:lang w:val="sr-Cyrl-CS"/>
        </w:rPr>
        <w:t xml:space="preserve"> </w:t>
      </w:r>
      <w:r w:rsidR="00F6000B" w:rsidRPr="00793DBC">
        <w:rPr>
          <w:rFonts w:eastAsia="Calibri"/>
          <w:lang w:val="sr-Cyrl-CS"/>
        </w:rPr>
        <w:t>јануара 2022</w:t>
      </w:r>
      <w:r w:rsidRPr="00793DBC">
        <w:rPr>
          <w:rFonts w:eastAsia="Calibri"/>
          <w:lang w:val="sr-Cyrl-CS"/>
        </w:rPr>
        <w:t>. године</w:t>
      </w:r>
      <w:r w:rsidR="007B18CC" w:rsidRPr="00793DBC">
        <w:rPr>
          <w:rFonts w:eastAsia="Calibri"/>
          <w:lang w:val="sr-Cyrl-CS"/>
        </w:rPr>
        <w:t>, којим усвојен н</w:t>
      </w:r>
      <w:r w:rsidRPr="00793DBC">
        <w:rPr>
          <w:rFonts w:eastAsia="Calibri"/>
          <w:lang w:val="sr-Cyrl-CS"/>
        </w:rPr>
        <w:t xml:space="preserve">ацрт </w:t>
      </w:r>
      <w:r w:rsidR="00F6000B" w:rsidRPr="00793DBC">
        <w:rPr>
          <w:rFonts w:eastAsia="Calibri"/>
          <w:lang w:val="sr-Cyrl-CS"/>
        </w:rPr>
        <w:t xml:space="preserve">уговора </w:t>
      </w:r>
      <w:r w:rsidR="00F6000B" w:rsidRPr="00793DBC">
        <w:rPr>
          <w:lang w:val="sr-Cyrl-CS"/>
        </w:rPr>
        <w:t xml:space="preserve">о кредитном аранжману у износу до 203.775.000 </w:t>
      </w:r>
      <w:proofErr w:type="spellStart"/>
      <w:r w:rsidR="00F6000B" w:rsidRPr="00793DBC">
        <w:rPr>
          <w:lang w:val="sr-Cyrl-CS"/>
        </w:rPr>
        <w:t>евра</w:t>
      </w:r>
      <w:proofErr w:type="spellEnd"/>
      <w:r w:rsidR="00F6000B" w:rsidRPr="00793DBC">
        <w:rPr>
          <w:lang w:val="sr-Cyrl-CS"/>
        </w:rPr>
        <w:t xml:space="preserve"> осигураног код </w:t>
      </w:r>
      <w:proofErr w:type="spellStart"/>
      <w:r w:rsidR="00F6000B" w:rsidRPr="00793DBC">
        <w:rPr>
          <w:lang w:val="sr-Cyrl-CS"/>
        </w:rPr>
        <w:t>China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Export</w:t>
      </w:r>
      <w:proofErr w:type="spellEnd"/>
      <w:r w:rsidR="00F6000B" w:rsidRPr="00793DBC">
        <w:rPr>
          <w:lang w:val="sr-Cyrl-CS"/>
        </w:rPr>
        <w:t xml:space="preserve"> &amp; </w:t>
      </w:r>
      <w:proofErr w:type="spellStart"/>
      <w:r w:rsidR="00F6000B" w:rsidRPr="00793DBC">
        <w:rPr>
          <w:lang w:val="sr-Cyrl-CS"/>
        </w:rPr>
        <w:t>Credit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Insurance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Corporation</w:t>
      </w:r>
      <w:proofErr w:type="spellEnd"/>
      <w:r w:rsidR="00F6000B" w:rsidRPr="00793DBC">
        <w:rPr>
          <w:lang w:val="sr-Cyrl-CS"/>
        </w:rPr>
        <w:t xml:space="preserve"> за финансирање прве фазе Пројекта сакупљања и пречишћавања отпадних вода централног канализационог система града Београда између Републике Србије, коју заступа Влада Републике Србије, поступајући преко Министарства финансија, као Зајмопримца,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 и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Аранжера,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FORTIS</w:t>
      </w:r>
      <w:proofErr w:type="spellEnd"/>
      <w:r w:rsidR="00F6000B" w:rsidRPr="00793DBC">
        <w:rPr>
          <w:lang w:val="sr-Cyrl-CS"/>
        </w:rPr>
        <w:t xml:space="preserve"> SA/</w:t>
      </w:r>
      <w:proofErr w:type="spellStart"/>
      <w:r w:rsidR="00F6000B" w:rsidRPr="00793DBC">
        <w:rPr>
          <w:lang w:val="sr-Cyrl-CS"/>
        </w:rPr>
        <w:t>NV</w:t>
      </w:r>
      <w:proofErr w:type="spellEnd"/>
      <w:r w:rsidR="00F6000B" w:rsidRPr="00793DBC">
        <w:rPr>
          <w:lang w:val="sr-Cyrl-CS"/>
        </w:rPr>
        <w:t xml:space="preserve">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</w:t>
      </w:r>
      <w:r w:rsidR="007A0E94">
        <w:rPr>
          <w:lang w:val="sr-Cyrl-CS"/>
        </w:rPr>
        <w:t>,</w:t>
      </w:r>
      <w:r w:rsidR="00F6000B" w:rsidRPr="00793DBC">
        <w:rPr>
          <w:lang w:val="sr-Cyrl-CS"/>
        </w:rPr>
        <w:t xml:space="preserve"> као Првобитних зајмодаваца,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Агента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1067EB" w:rsidRPr="00793DBC">
        <w:rPr>
          <w:lang w:val="sr-Cyrl-CS"/>
        </w:rPr>
        <w:t xml:space="preserve"> SA</w:t>
      </w:r>
      <w:r w:rsidR="00F6000B" w:rsidRPr="00793DBC">
        <w:rPr>
          <w:lang w:val="sr-Cyrl-CS"/>
        </w:rPr>
        <w:t xml:space="preserve">, као </w:t>
      </w:r>
      <w:proofErr w:type="spellStart"/>
      <w:r w:rsidR="00F6000B" w:rsidRPr="00793DBC">
        <w:rPr>
          <w:lang w:val="sr-Cyrl-CS"/>
        </w:rPr>
        <w:t>ECA</w:t>
      </w:r>
      <w:proofErr w:type="spellEnd"/>
      <w:r w:rsidR="00F6000B" w:rsidRPr="00793DBC">
        <w:rPr>
          <w:lang w:val="sr-Cyrl-CS"/>
        </w:rPr>
        <w:t xml:space="preserve"> Агента.</w:t>
      </w:r>
    </w:p>
    <w:p w:rsidR="008C4B8F" w:rsidRPr="00793DBC" w:rsidRDefault="007B18CC" w:rsidP="008C4B8F">
      <w:pPr>
        <w:ind w:firstLine="720"/>
        <w:jc w:val="both"/>
        <w:rPr>
          <w:rFonts w:eastAsia="Calibri"/>
          <w:lang w:val="sr-Cyrl-CS"/>
        </w:rPr>
      </w:pPr>
      <w:r w:rsidRPr="00793DBC">
        <w:rPr>
          <w:rFonts w:eastAsia="Calibri"/>
          <w:lang w:val="sr-Cyrl-CS"/>
        </w:rPr>
        <w:t>Наведеним уговором договорени су финансијски услови како следи: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Задужење Републике Србије до износа </w:t>
      </w:r>
      <w:r w:rsidR="00F6000B" w:rsidRPr="00793DBC">
        <w:rPr>
          <w:lang w:val="sr-Cyrl-CS"/>
        </w:rPr>
        <w:t xml:space="preserve">203.775.000 </w:t>
      </w:r>
      <w:proofErr w:type="spellStart"/>
      <w:r w:rsidR="00F6000B" w:rsidRPr="00793DBC">
        <w:rPr>
          <w:lang w:val="sr-Cyrl-CS"/>
        </w:rPr>
        <w:t>евра</w:t>
      </w:r>
      <w:proofErr w:type="spellEnd"/>
      <w:r w:rsidR="00F6000B" w:rsidRPr="00793DBC">
        <w:rPr>
          <w:lang w:val="sr-Cyrl-CS"/>
        </w:rPr>
        <w:t>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- Период повлачења: 60 месеци;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- Отплата: Кредитни аранжман ће бити отплаћен у 20 једнаких, узастопних, полугодишњих рата главнице, од којих ће прва доспети на плаћање на Први датум отплате. Последња отплата Кредитног аранжмана извршиће се најкасније до његовог Крајњег датума доспећа;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-Први датум отплате: први датум отплате је датум који пада </w:t>
      </w:r>
      <w:r w:rsidR="007A0E94">
        <w:rPr>
          <w:lang w:val="sr-Cyrl-CS"/>
        </w:rPr>
        <w:t>шест</w:t>
      </w:r>
      <w:r w:rsidRPr="00793DBC">
        <w:rPr>
          <w:lang w:val="sr-Cyrl-CS"/>
        </w:rPr>
        <w:t xml:space="preserve"> месеци од Почетне тачке кредита договорене од стране </w:t>
      </w:r>
      <w:proofErr w:type="spellStart"/>
      <w:r w:rsidRPr="00793DBC">
        <w:rPr>
          <w:lang w:val="sr-Cyrl-CS"/>
        </w:rPr>
        <w:t>ECA</w:t>
      </w:r>
      <w:proofErr w:type="spellEnd"/>
      <w:r w:rsidRPr="00793DBC">
        <w:rPr>
          <w:lang w:val="sr-Cyrl-CS"/>
        </w:rPr>
        <w:t>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 Крајњи датум доспећа: датум који пада </w:t>
      </w:r>
      <w:r w:rsidR="007A0E94">
        <w:rPr>
          <w:lang w:val="sr-Cyrl-CS"/>
        </w:rPr>
        <w:t xml:space="preserve">десет </w:t>
      </w:r>
      <w:r w:rsidRPr="00793DBC">
        <w:rPr>
          <w:lang w:val="sr-Cyrl-CS"/>
        </w:rPr>
        <w:t>година након Почетне тачке кредита;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 Каматна стопа: варијабилна стопа, која се базира на 6М </w:t>
      </w:r>
      <w:proofErr w:type="spellStart"/>
      <w:r w:rsidRPr="00793DBC">
        <w:rPr>
          <w:lang w:val="sr-Cyrl-CS"/>
        </w:rPr>
        <w:t>EURIBOR-у</w:t>
      </w:r>
      <w:proofErr w:type="spellEnd"/>
      <w:r w:rsidRPr="00793DBC">
        <w:rPr>
          <w:lang w:val="sr-Cyrl-CS"/>
        </w:rPr>
        <w:t xml:space="preserve"> увећаном за фиксну маржу од 1,75% годишње;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- Уписна провизија:</w:t>
      </w:r>
      <w:r w:rsidRPr="00793DBC">
        <w:rPr>
          <w:lang w:val="sr-Cyrl-CS"/>
        </w:rPr>
        <w:tab/>
        <w:t xml:space="preserve">1,00% једнократно обрачунато на укупан износ </w:t>
      </w:r>
      <w:proofErr w:type="spellStart"/>
      <w:r w:rsidRPr="00793DBC">
        <w:rPr>
          <w:lang w:val="sr-Cyrl-CS"/>
        </w:rPr>
        <w:t>ECA</w:t>
      </w:r>
      <w:proofErr w:type="spellEnd"/>
      <w:r w:rsidRPr="00793DBC">
        <w:rPr>
          <w:lang w:val="sr-Cyrl-CS"/>
        </w:rPr>
        <w:t xml:space="preserve"> Кредитног аранжмана и плативо на ранији датум од (i) датума који пада у року од 30 дана од датума ефективности и (ii) датума који пада пре првог коришћења Кредитног аранжмана;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 Провизија на </w:t>
      </w:r>
      <w:proofErr w:type="spellStart"/>
      <w:r w:rsidRPr="00793DBC">
        <w:rPr>
          <w:lang w:val="sr-Cyrl-CS"/>
        </w:rPr>
        <w:t>неповучена</w:t>
      </w:r>
      <w:proofErr w:type="spellEnd"/>
      <w:r w:rsidRPr="00793DBC">
        <w:rPr>
          <w:lang w:val="sr-Cyrl-CS"/>
        </w:rPr>
        <w:t xml:space="preserve"> средства: 0,5% годишње, обрачуната на износ </w:t>
      </w:r>
      <w:proofErr w:type="spellStart"/>
      <w:r w:rsidRPr="00793DBC">
        <w:rPr>
          <w:lang w:val="sr-Cyrl-CS"/>
        </w:rPr>
        <w:t>неповучених</w:t>
      </w:r>
      <w:proofErr w:type="spellEnd"/>
      <w:r w:rsidRPr="00793DBC">
        <w:rPr>
          <w:lang w:val="sr-Cyrl-CS"/>
        </w:rPr>
        <w:t xml:space="preserve"> средстава </w:t>
      </w:r>
      <w:proofErr w:type="spellStart"/>
      <w:r w:rsidRPr="00793DBC">
        <w:rPr>
          <w:lang w:val="sr-Cyrl-CS"/>
        </w:rPr>
        <w:t>ECA</w:t>
      </w:r>
      <w:proofErr w:type="spellEnd"/>
      <w:r w:rsidRPr="00793DBC">
        <w:rPr>
          <w:lang w:val="sr-Cyrl-CS"/>
        </w:rPr>
        <w:t xml:space="preserve"> кредитног аранжмана и плаћа се полугодишње;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- Накнада агента Кредитног аранжмана:</w:t>
      </w:r>
      <w:r w:rsidRPr="00793DBC">
        <w:rPr>
          <w:lang w:val="sr-Cyrl-CS"/>
        </w:rPr>
        <w:tab/>
        <w:t xml:space="preserve">45.000,00 </w:t>
      </w:r>
      <w:proofErr w:type="spellStart"/>
      <w:r w:rsidRPr="00793DBC">
        <w:rPr>
          <w:lang w:val="sr-Cyrl-CS"/>
        </w:rPr>
        <w:t>евра</w:t>
      </w:r>
      <w:proofErr w:type="spellEnd"/>
      <w:r w:rsidRPr="00793DBC">
        <w:rPr>
          <w:lang w:val="sr-Cyrl-CS"/>
        </w:rPr>
        <w:t xml:space="preserve"> годишње</w:t>
      </w:r>
    </w:p>
    <w:p w:rsidR="008C4B8F" w:rsidRPr="00793DBC" w:rsidRDefault="008C4B8F" w:rsidP="008C4B8F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 Накнада </w:t>
      </w:r>
      <w:proofErr w:type="spellStart"/>
      <w:r w:rsidRPr="00793DBC">
        <w:rPr>
          <w:lang w:val="sr-Cyrl-CS"/>
        </w:rPr>
        <w:t>ECA</w:t>
      </w:r>
      <w:proofErr w:type="spellEnd"/>
      <w:r w:rsidRPr="00793DBC">
        <w:rPr>
          <w:lang w:val="sr-Cyrl-CS"/>
        </w:rPr>
        <w:t xml:space="preserve"> агента: 25.000,00 </w:t>
      </w:r>
      <w:proofErr w:type="spellStart"/>
      <w:r w:rsidRPr="00793DBC">
        <w:rPr>
          <w:lang w:val="sr-Cyrl-CS"/>
        </w:rPr>
        <w:t>евра</w:t>
      </w:r>
      <w:proofErr w:type="spellEnd"/>
      <w:r w:rsidRPr="00793DBC">
        <w:rPr>
          <w:lang w:val="sr-Cyrl-CS"/>
        </w:rPr>
        <w:t xml:space="preserve"> годишње; </w:t>
      </w:r>
    </w:p>
    <w:p w:rsidR="006961E3" w:rsidRPr="00793DBC" w:rsidRDefault="008C4B8F" w:rsidP="00F6000B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- плаћање премије </w:t>
      </w:r>
      <w:proofErr w:type="spellStart"/>
      <w:r w:rsidRPr="00793DBC">
        <w:rPr>
          <w:lang w:val="sr-Cyrl-CS"/>
        </w:rPr>
        <w:t>Sinosure</w:t>
      </w:r>
      <w:proofErr w:type="spellEnd"/>
      <w:r w:rsidRPr="00793DBC">
        <w:rPr>
          <w:lang w:val="sr-Cyrl-CS"/>
        </w:rPr>
        <w:t>.</w:t>
      </w:r>
    </w:p>
    <w:p w:rsidR="00AE55C5" w:rsidRPr="00793DBC" w:rsidRDefault="00AE55C5" w:rsidP="002C2746">
      <w:pPr>
        <w:ind w:firstLine="708"/>
        <w:jc w:val="both"/>
        <w:rPr>
          <w:lang w:val="sr-Cyrl-CS"/>
        </w:rPr>
      </w:pPr>
    </w:p>
    <w:p w:rsidR="00692046" w:rsidRPr="00793DBC" w:rsidRDefault="00692046" w:rsidP="00692046">
      <w:pPr>
        <w:ind w:firstLine="720"/>
        <w:jc w:val="both"/>
        <w:rPr>
          <w:lang w:val="sr-Cyrl-CS"/>
        </w:rPr>
      </w:pPr>
      <w:proofErr w:type="spellStart"/>
      <w:r w:rsidRPr="00793DBC">
        <w:rPr>
          <w:lang w:val="sr-Cyrl-CS"/>
        </w:rPr>
        <w:t>III</w:t>
      </w:r>
      <w:proofErr w:type="spellEnd"/>
      <w:r w:rsidRPr="00793DBC">
        <w:rPr>
          <w:lang w:val="sr-Cyrl-CS"/>
        </w:rPr>
        <w:t xml:space="preserve">. ОБЈАШЊЕЊЕ ОСНОВНИХ ПРАВНИХ ИНСТИТУТА И ПОЈЕДИНАЧНИХ РЕШЕЊА </w:t>
      </w:r>
    </w:p>
    <w:p w:rsidR="00692046" w:rsidRPr="00793DBC" w:rsidRDefault="00692046" w:rsidP="00692046">
      <w:pPr>
        <w:jc w:val="both"/>
        <w:rPr>
          <w:lang w:val="sr-Cyrl-CS"/>
        </w:rPr>
      </w:pPr>
    </w:p>
    <w:p w:rsidR="00692046" w:rsidRPr="00793DBC" w:rsidRDefault="00692046" w:rsidP="00692046">
      <w:pPr>
        <w:ind w:firstLine="720"/>
        <w:jc w:val="both"/>
        <w:rPr>
          <w:rFonts w:eastAsia="SimSun"/>
          <w:lang w:val="sr-Cyrl-CS"/>
        </w:rPr>
      </w:pPr>
      <w:r w:rsidRPr="00793DBC">
        <w:rPr>
          <w:lang w:val="sr-Cyrl-CS"/>
        </w:rPr>
        <w:t>Одредбом члана 1. предвиђа се потврђивање</w:t>
      </w:r>
      <w:r w:rsidR="00D34420" w:rsidRPr="00793DBC">
        <w:rPr>
          <w:lang w:val="sr-Cyrl-CS"/>
        </w:rPr>
        <w:t xml:space="preserve"> </w:t>
      </w:r>
      <w:r w:rsidR="007B18CC" w:rsidRPr="00793DBC">
        <w:rPr>
          <w:lang w:val="sr-Cyrl-CS"/>
        </w:rPr>
        <w:t xml:space="preserve">Уговора о </w:t>
      </w:r>
      <w:r w:rsidR="00F6000B" w:rsidRPr="00793DBC">
        <w:rPr>
          <w:lang w:val="sr-Cyrl-CS"/>
        </w:rPr>
        <w:t xml:space="preserve">кредитном аранжману у износу до 203.775.000 </w:t>
      </w:r>
      <w:proofErr w:type="spellStart"/>
      <w:r w:rsidR="00F6000B" w:rsidRPr="00793DBC">
        <w:rPr>
          <w:lang w:val="sr-Cyrl-CS"/>
        </w:rPr>
        <w:t>евра</w:t>
      </w:r>
      <w:proofErr w:type="spellEnd"/>
      <w:r w:rsidR="00F6000B" w:rsidRPr="00793DBC">
        <w:rPr>
          <w:lang w:val="sr-Cyrl-CS"/>
        </w:rPr>
        <w:t xml:space="preserve"> осигураног код </w:t>
      </w:r>
      <w:proofErr w:type="spellStart"/>
      <w:r w:rsidR="00F6000B" w:rsidRPr="00793DBC">
        <w:rPr>
          <w:lang w:val="sr-Cyrl-CS"/>
        </w:rPr>
        <w:t>China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Export</w:t>
      </w:r>
      <w:proofErr w:type="spellEnd"/>
      <w:r w:rsidR="00F6000B" w:rsidRPr="00793DBC">
        <w:rPr>
          <w:lang w:val="sr-Cyrl-CS"/>
        </w:rPr>
        <w:t xml:space="preserve"> &amp; </w:t>
      </w:r>
      <w:proofErr w:type="spellStart"/>
      <w:r w:rsidR="00F6000B" w:rsidRPr="00793DBC">
        <w:rPr>
          <w:lang w:val="sr-Cyrl-CS"/>
        </w:rPr>
        <w:t>Credit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Insurance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Corporation</w:t>
      </w:r>
      <w:proofErr w:type="spellEnd"/>
      <w:r w:rsidR="00F6000B" w:rsidRPr="00793DBC">
        <w:rPr>
          <w:lang w:val="sr-Cyrl-CS"/>
        </w:rPr>
        <w:t xml:space="preserve"> за финансирање прве фазе Пројекта сакупљања и пречишћавања отпадних вода централног канализационог система града Београда између Републике Србије, коју заступа Влада Републике Србије, поступајући преко Министарства финансија, као Зајмопримца,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 и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Аранжера,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FORTIS</w:t>
      </w:r>
      <w:proofErr w:type="spellEnd"/>
      <w:r w:rsidR="00F6000B" w:rsidRPr="00793DBC">
        <w:rPr>
          <w:lang w:val="sr-Cyrl-CS"/>
        </w:rPr>
        <w:t xml:space="preserve"> SA/</w:t>
      </w:r>
      <w:proofErr w:type="spellStart"/>
      <w:r w:rsidR="00F6000B" w:rsidRPr="00793DBC">
        <w:rPr>
          <w:lang w:val="sr-Cyrl-CS"/>
        </w:rPr>
        <w:t>NV</w:t>
      </w:r>
      <w:proofErr w:type="spellEnd"/>
      <w:r w:rsidR="00F6000B" w:rsidRPr="00793DBC">
        <w:rPr>
          <w:lang w:val="sr-Cyrl-CS"/>
        </w:rPr>
        <w:t xml:space="preserve">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</w:t>
      </w:r>
      <w:r w:rsidR="007A0E94">
        <w:rPr>
          <w:lang w:val="sr-Cyrl-CS"/>
        </w:rPr>
        <w:t>,</w:t>
      </w:r>
      <w:r w:rsidR="00F6000B" w:rsidRPr="00793DBC">
        <w:rPr>
          <w:lang w:val="sr-Cyrl-CS"/>
        </w:rPr>
        <w:t xml:space="preserve"> као Првобитних зајмодаваца,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Агента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3968DA" w:rsidRPr="00793DBC">
        <w:rPr>
          <w:lang w:val="sr-Cyrl-CS"/>
        </w:rPr>
        <w:t xml:space="preserve"> SA</w:t>
      </w:r>
      <w:r w:rsidR="00F6000B" w:rsidRPr="00793DBC">
        <w:rPr>
          <w:lang w:val="sr-Cyrl-CS"/>
        </w:rPr>
        <w:t xml:space="preserve">, као </w:t>
      </w:r>
      <w:proofErr w:type="spellStart"/>
      <w:r w:rsidR="00F6000B" w:rsidRPr="00793DBC">
        <w:rPr>
          <w:lang w:val="sr-Cyrl-CS"/>
        </w:rPr>
        <w:t>ECA</w:t>
      </w:r>
      <w:proofErr w:type="spellEnd"/>
      <w:r w:rsidR="00F6000B" w:rsidRPr="00793DBC">
        <w:rPr>
          <w:lang w:val="sr-Cyrl-CS"/>
        </w:rPr>
        <w:t xml:space="preserve"> Агента</w:t>
      </w:r>
      <w:r w:rsidR="008A5066" w:rsidRPr="00793DBC">
        <w:rPr>
          <w:rFonts w:eastAsia="SimSun"/>
          <w:lang w:val="sr-Cyrl-CS"/>
        </w:rPr>
        <w:t>, потписаног</w:t>
      </w:r>
      <w:r w:rsidR="00305959" w:rsidRPr="00793DBC">
        <w:rPr>
          <w:rFonts w:eastAsia="SimSun"/>
          <w:lang w:val="sr-Cyrl-CS"/>
        </w:rPr>
        <w:t xml:space="preserve"> </w:t>
      </w:r>
      <w:r w:rsidR="00F6000B" w:rsidRPr="00793DBC">
        <w:rPr>
          <w:lang w:val="sr-Cyrl-CS"/>
        </w:rPr>
        <w:t>у Београду, Минхену, Паризу и Бриселу 14. јануара 2022. године</w:t>
      </w:r>
      <w:r w:rsidR="00746BDE" w:rsidRPr="00793DBC">
        <w:rPr>
          <w:lang w:val="sr-Cyrl-CS"/>
        </w:rPr>
        <w:t xml:space="preserve">, </w:t>
      </w:r>
      <w:r w:rsidRPr="00793DBC">
        <w:rPr>
          <w:rFonts w:eastAsia="SimSun"/>
          <w:lang w:val="sr-Cyrl-CS"/>
        </w:rPr>
        <w:t>у оригиналу на енглеском језику.</w:t>
      </w:r>
    </w:p>
    <w:p w:rsidR="00F6000B" w:rsidRPr="00793DBC" w:rsidRDefault="00692046" w:rsidP="00692046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 xml:space="preserve"> Одредба члана 2. садржи текст </w:t>
      </w:r>
      <w:r w:rsidR="00F6000B" w:rsidRPr="00793DBC">
        <w:rPr>
          <w:lang w:val="sr-Cyrl-CS"/>
        </w:rPr>
        <w:t xml:space="preserve">Уговора о кредитном аранжману у износу до 203.775.000 </w:t>
      </w:r>
      <w:proofErr w:type="spellStart"/>
      <w:r w:rsidR="00F6000B" w:rsidRPr="00793DBC">
        <w:rPr>
          <w:lang w:val="sr-Cyrl-CS"/>
        </w:rPr>
        <w:t>евра</w:t>
      </w:r>
      <w:proofErr w:type="spellEnd"/>
      <w:r w:rsidR="00F6000B" w:rsidRPr="00793DBC">
        <w:rPr>
          <w:lang w:val="sr-Cyrl-CS"/>
        </w:rPr>
        <w:t xml:space="preserve"> осигураног код </w:t>
      </w:r>
      <w:proofErr w:type="spellStart"/>
      <w:r w:rsidR="00F6000B" w:rsidRPr="00793DBC">
        <w:rPr>
          <w:lang w:val="sr-Cyrl-CS"/>
        </w:rPr>
        <w:t>China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Export</w:t>
      </w:r>
      <w:proofErr w:type="spellEnd"/>
      <w:r w:rsidR="00F6000B" w:rsidRPr="00793DBC">
        <w:rPr>
          <w:lang w:val="sr-Cyrl-CS"/>
        </w:rPr>
        <w:t xml:space="preserve"> &amp; </w:t>
      </w:r>
      <w:proofErr w:type="spellStart"/>
      <w:r w:rsidR="00F6000B" w:rsidRPr="00793DBC">
        <w:rPr>
          <w:lang w:val="sr-Cyrl-CS"/>
        </w:rPr>
        <w:t>Credit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Insurance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Corporation</w:t>
      </w:r>
      <w:proofErr w:type="spellEnd"/>
      <w:r w:rsidR="00F6000B" w:rsidRPr="00793DBC">
        <w:rPr>
          <w:lang w:val="sr-Cyrl-CS"/>
        </w:rPr>
        <w:t xml:space="preserve"> за финансирање прве фазе Пројекта сакупљања и пречишћавања отпадних вода централног канализационог система града Београда између Републике Србије, коју заступа Влада Републике Србије, поступајући преко Министарства финансија, као Зајмопримца,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 и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Аранжера, </w:t>
      </w:r>
      <w:proofErr w:type="spellStart"/>
      <w:r w:rsidR="00F6000B" w:rsidRPr="00793DBC">
        <w:rPr>
          <w:lang w:val="sr-Cyrl-CS"/>
        </w:rPr>
        <w:lastRenderedPageBreak/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FORTIS</w:t>
      </w:r>
      <w:proofErr w:type="spellEnd"/>
      <w:r w:rsidR="00F6000B" w:rsidRPr="00793DBC">
        <w:rPr>
          <w:lang w:val="sr-Cyrl-CS"/>
        </w:rPr>
        <w:t xml:space="preserve"> SA/</w:t>
      </w:r>
      <w:proofErr w:type="spellStart"/>
      <w:r w:rsidR="00F6000B" w:rsidRPr="00793DBC">
        <w:rPr>
          <w:lang w:val="sr-Cyrl-CS"/>
        </w:rPr>
        <w:t>NV</w:t>
      </w:r>
      <w:proofErr w:type="spellEnd"/>
      <w:r w:rsidR="00F6000B" w:rsidRPr="00793DBC">
        <w:rPr>
          <w:lang w:val="sr-Cyrl-CS"/>
        </w:rPr>
        <w:t xml:space="preserve">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F6000B" w:rsidRPr="00793DBC">
        <w:rPr>
          <w:lang w:val="sr-Cyrl-CS"/>
        </w:rPr>
        <w:t xml:space="preserve"> SA</w:t>
      </w:r>
      <w:r w:rsidR="007A0E94">
        <w:rPr>
          <w:lang w:val="sr-Cyrl-CS"/>
        </w:rPr>
        <w:t>,</w:t>
      </w:r>
      <w:bookmarkStart w:id="0" w:name="_GoBack"/>
      <w:bookmarkEnd w:id="0"/>
      <w:r w:rsidR="00F6000B" w:rsidRPr="00793DBC">
        <w:rPr>
          <w:lang w:val="sr-Cyrl-CS"/>
        </w:rPr>
        <w:t xml:space="preserve"> као Првобитних зајмодаваца, </w:t>
      </w:r>
      <w:proofErr w:type="spellStart"/>
      <w:r w:rsidR="00F6000B" w:rsidRPr="00793DBC">
        <w:rPr>
          <w:lang w:val="sr-Cyrl-CS"/>
        </w:rPr>
        <w:t>UNICREDIT</w:t>
      </w:r>
      <w:proofErr w:type="spellEnd"/>
      <w:r w:rsidR="00F6000B" w:rsidRPr="00793DBC">
        <w:rPr>
          <w:lang w:val="sr-Cyrl-CS"/>
        </w:rPr>
        <w:t xml:space="preserve"> BANK </w:t>
      </w:r>
      <w:proofErr w:type="spellStart"/>
      <w:r w:rsidR="00F6000B" w:rsidRPr="00793DBC">
        <w:rPr>
          <w:lang w:val="sr-Cyrl-CS"/>
        </w:rPr>
        <w:t>AG</w:t>
      </w:r>
      <w:proofErr w:type="spellEnd"/>
      <w:r w:rsidR="00F6000B" w:rsidRPr="00793DBC">
        <w:rPr>
          <w:lang w:val="sr-Cyrl-CS"/>
        </w:rPr>
        <w:t xml:space="preserve">, као Агента и </w:t>
      </w:r>
      <w:proofErr w:type="spellStart"/>
      <w:r w:rsidR="00F6000B" w:rsidRPr="00793DBC">
        <w:rPr>
          <w:lang w:val="sr-Cyrl-CS"/>
        </w:rPr>
        <w:t>BNP</w:t>
      </w:r>
      <w:proofErr w:type="spellEnd"/>
      <w:r w:rsidR="00F6000B" w:rsidRPr="00793DBC">
        <w:rPr>
          <w:lang w:val="sr-Cyrl-CS"/>
        </w:rPr>
        <w:t xml:space="preserve"> </w:t>
      </w:r>
      <w:proofErr w:type="spellStart"/>
      <w:r w:rsidR="00F6000B" w:rsidRPr="00793DBC">
        <w:rPr>
          <w:lang w:val="sr-Cyrl-CS"/>
        </w:rPr>
        <w:t>PARIBAS</w:t>
      </w:r>
      <w:proofErr w:type="spellEnd"/>
      <w:r w:rsidR="003968DA" w:rsidRPr="00793DBC">
        <w:rPr>
          <w:lang w:val="sr-Cyrl-CS"/>
        </w:rPr>
        <w:t xml:space="preserve"> SA</w:t>
      </w:r>
      <w:r w:rsidR="00F6000B" w:rsidRPr="00793DBC">
        <w:rPr>
          <w:lang w:val="sr-Cyrl-CS"/>
        </w:rPr>
        <w:t xml:space="preserve">, као </w:t>
      </w:r>
      <w:proofErr w:type="spellStart"/>
      <w:r w:rsidR="00F6000B" w:rsidRPr="00793DBC">
        <w:rPr>
          <w:lang w:val="sr-Cyrl-CS"/>
        </w:rPr>
        <w:t>ECA</w:t>
      </w:r>
      <w:proofErr w:type="spellEnd"/>
      <w:r w:rsidR="00F6000B" w:rsidRPr="00793DBC">
        <w:rPr>
          <w:lang w:val="sr-Cyrl-CS"/>
        </w:rPr>
        <w:t xml:space="preserve"> Агента.</w:t>
      </w:r>
    </w:p>
    <w:p w:rsidR="00692046" w:rsidRPr="00793DBC" w:rsidRDefault="00692046" w:rsidP="00692046">
      <w:pPr>
        <w:ind w:firstLine="720"/>
        <w:jc w:val="both"/>
        <w:rPr>
          <w:lang w:val="sr-Cyrl-CS"/>
        </w:rPr>
      </w:pPr>
      <w:r w:rsidRPr="00793DBC">
        <w:rPr>
          <w:lang w:val="sr-Cyrl-CS"/>
        </w:rPr>
        <w:t>Одредбом члана 3. уређује с</w:t>
      </w:r>
      <w:r w:rsidR="007B18CC" w:rsidRPr="00793DBC">
        <w:rPr>
          <w:lang w:val="sr-Cyrl-CS"/>
        </w:rPr>
        <w:t>е ступање на снагу овог закона</w:t>
      </w:r>
      <w:r w:rsidR="003F1AE9" w:rsidRPr="00793DBC">
        <w:rPr>
          <w:lang w:val="sr-Cyrl-CS"/>
        </w:rPr>
        <w:t>.</w:t>
      </w:r>
    </w:p>
    <w:p w:rsidR="003F1AE9" w:rsidRPr="00793DBC" w:rsidRDefault="003F1AE9" w:rsidP="00692046">
      <w:pPr>
        <w:ind w:firstLine="720"/>
        <w:jc w:val="both"/>
        <w:rPr>
          <w:bCs/>
          <w:lang w:val="sr-Cyrl-CS"/>
        </w:rPr>
      </w:pPr>
    </w:p>
    <w:p w:rsidR="00692046" w:rsidRPr="00793DBC" w:rsidRDefault="00692046" w:rsidP="00692046">
      <w:pPr>
        <w:ind w:firstLine="720"/>
        <w:jc w:val="both"/>
        <w:rPr>
          <w:bCs/>
          <w:lang w:val="sr-Cyrl-CS"/>
        </w:rPr>
      </w:pPr>
      <w:proofErr w:type="spellStart"/>
      <w:r w:rsidRPr="00793DBC">
        <w:rPr>
          <w:bCs/>
          <w:lang w:val="sr-Cyrl-CS"/>
        </w:rPr>
        <w:t>IV</w:t>
      </w:r>
      <w:proofErr w:type="spellEnd"/>
      <w:r w:rsidRPr="00793DBC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:rsidR="00692046" w:rsidRPr="00793DBC" w:rsidRDefault="00692046" w:rsidP="00692046">
      <w:pPr>
        <w:jc w:val="both"/>
        <w:rPr>
          <w:lang w:val="sr-Cyrl-CS"/>
        </w:rPr>
      </w:pPr>
    </w:p>
    <w:p w:rsidR="00692046" w:rsidRPr="00793DBC" w:rsidRDefault="00692046" w:rsidP="00692046">
      <w:pPr>
        <w:jc w:val="both"/>
        <w:rPr>
          <w:lang w:val="sr-Cyrl-CS"/>
        </w:rPr>
      </w:pPr>
      <w:r w:rsidRPr="00793DBC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2D7138" w:rsidRPr="00793DBC" w:rsidRDefault="002D7138" w:rsidP="00692046">
      <w:pPr>
        <w:jc w:val="both"/>
        <w:rPr>
          <w:lang w:val="sr-Cyrl-CS"/>
        </w:rPr>
      </w:pPr>
    </w:p>
    <w:p w:rsidR="00520E35" w:rsidRPr="00793DBC" w:rsidRDefault="002D7138" w:rsidP="003F1AE9">
      <w:pPr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793DBC">
        <w:rPr>
          <w:lang w:val="sr-Cyrl-CS"/>
        </w:rPr>
        <w:tab/>
      </w:r>
    </w:p>
    <w:p w:rsidR="00B74EB0" w:rsidRPr="00793DBC" w:rsidRDefault="00B74EB0" w:rsidP="00692046">
      <w:pPr>
        <w:jc w:val="both"/>
        <w:rPr>
          <w:lang w:val="sr-Cyrl-CS"/>
        </w:rPr>
      </w:pPr>
    </w:p>
    <w:sectPr w:rsidR="00B74EB0" w:rsidRPr="00793DBC" w:rsidSect="00A056DE">
      <w:headerReference w:type="even" r:id="rId7"/>
      <w:headerReference w:type="default" r:id="rId8"/>
      <w:footerReference w:type="even" r:id="rId9"/>
      <w:footerReference w:type="first" r:id="rId10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B30" w:rsidRDefault="00061B30">
      <w:r>
        <w:separator/>
      </w:r>
    </w:p>
  </w:endnote>
  <w:endnote w:type="continuationSeparator" w:id="0">
    <w:p w:rsidR="00061B30" w:rsidRDefault="0006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3E" w:rsidRDefault="00CC113E">
    <w:pPr>
      <w:pStyle w:val="Footer"/>
      <w:jc w:val="center"/>
    </w:pPr>
  </w:p>
  <w:p w:rsidR="00CC113E" w:rsidRDefault="00CC1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B30" w:rsidRDefault="00061B30">
      <w:r>
        <w:separator/>
      </w:r>
    </w:p>
  </w:footnote>
  <w:footnote w:type="continuationSeparator" w:id="0">
    <w:p w:rsidR="00061B30" w:rsidRDefault="0006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0E94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1B30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067EB"/>
    <w:rsid w:val="00113ACC"/>
    <w:rsid w:val="0011444A"/>
    <w:rsid w:val="00117CB4"/>
    <w:rsid w:val="00122854"/>
    <w:rsid w:val="00126325"/>
    <w:rsid w:val="00137165"/>
    <w:rsid w:val="00144767"/>
    <w:rsid w:val="00147749"/>
    <w:rsid w:val="00153626"/>
    <w:rsid w:val="001667F5"/>
    <w:rsid w:val="001767A8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2235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D7138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5586F"/>
    <w:rsid w:val="003627B1"/>
    <w:rsid w:val="0037221F"/>
    <w:rsid w:val="00375309"/>
    <w:rsid w:val="0038219E"/>
    <w:rsid w:val="00384EA3"/>
    <w:rsid w:val="00387AD2"/>
    <w:rsid w:val="003968DA"/>
    <w:rsid w:val="00396FF3"/>
    <w:rsid w:val="003B34BB"/>
    <w:rsid w:val="003C0CD0"/>
    <w:rsid w:val="003C2142"/>
    <w:rsid w:val="003C4052"/>
    <w:rsid w:val="003E6854"/>
    <w:rsid w:val="003E6BA6"/>
    <w:rsid w:val="003F1AE9"/>
    <w:rsid w:val="003F7B23"/>
    <w:rsid w:val="0040226C"/>
    <w:rsid w:val="00406A9D"/>
    <w:rsid w:val="0040739B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4F0597"/>
    <w:rsid w:val="00507384"/>
    <w:rsid w:val="00507842"/>
    <w:rsid w:val="005141EE"/>
    <w:rsid w:val="00520E35"/>
    <w:rsid w:val="005233EB"/>
    <w:rsid w:val="00525E17"/>
    <w:rsid w:val="0053290E"/>
    <w:rsid w:val="005330EB"/>
    <w:rsid w:val="00542F03"/>
    <w:rsid w:val="00543111"/>
    <w:rsid w:val="00547727"/>
    <w:rsid w:val="005532A5"/>
    <w:rsid w:val="0056231B"/>
    <w:rsid w:val="00562EF5"/>
    <w:rsid w:val="00562FA9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0D82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3DBC"/>
    <w:rsid w:val="00796DC0"/>
    <w:rsid w:val="007A0E94"/>
    <w:rsid w:val="007B14FA"/>
    <w:rsid w:val="007B18CC"/>
    <w:rsid w:val="007C3802"/>
    <w:rsid w:val="007D3CBB"/>
    <w:rsid w:val="007E5871"/>
    <w:rsid w:val="007F45DA"/>
    <w:rsid w:val="007F76C7"/>
    <w:rsid w:val="00812742"/>
    <w:rsid w:val="00815794"/>
    <w:rsid w:val="00836B68"/>
    <w:rsid w:val="00845874"/>
    <w:rsid w:val="0085379B"/>
    <w:rsid w:val="008604C6"/>
    <w:rsid w:val="00862E50"/>
    <w:rsid w:val="00864A3D"/>
    <w:rsid w:val="00866F6D"/>
    <w:rsid w:val="00874CB0"/>
    <w:rsid w:val="00880F00"/>
    <w:rsid w:val="00884A19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C4B8F"/>
    <w:rsid w:val="008D29F9"/>
    <w:rsid w:val="008E640C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056DE"/>
    <w:rsid w:val="00A16918"/>
    <w:rsid w:val="00A1714E"/>
    <w:rsid w:val="00A24C0E"/>
    <w:rsid w:val="00A45E23"/>
    <w:rsid w:val="00A56DC0"/>
    <w:rsid w:val="00A67B90"/>
    <w:rsid w:val="00A82C9B"/>
    <w:rsid w:val="00AA5172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F05CC"/>
    <w:rsid w:val="00B01134"/>
    <w:rsid w:val="00B04E49"/>
    <w:rsid w:val="00B11D1A"/>
    <w:rsid w:val="00B15893"/>
    <w:rsid w:val="00B207D5"/>
    <w:rsid w:val="00B21F0D"/>
    <w:rsid w:val="00B23202"/>
    <w:rsid w:val="00B31EEB"/>
    <w:rsid w:val="00B41779"/>
    <w:rsid w:val="00B41E3D"/>
    <w:rsid w:val="00B6096C"/>
    <w:rsid w:val="00B74EB0"/>
    <w:rsid w:val="00B8231A"/>
    <w:rsid w:val="00B82F86"/>
    <w:rsid w:val="00B92820"/>
    <w:rsid w:val="00B92834"/>
    <w:rsid w:val="00B949C6"/>
    <w:rsid w:val="00BA519C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13E"/>
    <w:rsid w:val="00CC1AE1"/>
    <w:rsid w:val="00CC41C3"/>
    <w:rsid w:val="00CC77B9"/>
    <w:rsid w:val="00CF1B02"/>
    <w:rsid w:val="00CF1BE2"/>
    <w:rsid w:val="00D03CA3"/>
    <w:rsid w:val="00D047EF"/>
    <w:rsid w:val="00D055F0"/>
    <w:rsid w:val="00D07955"/>
    <w:rsid w:val="00D34420"/>
    <w:rsid w:val="00D42C6F"/>
    <w:rsid w:val="00D57EE4"/>
    <w:rsid w:val="00D60D13"/>
    <w:rsid w:val="00D6104B"/>
    <w:rsid w:val="00D7163A"/>
    <w:rsid w:val="00D71C65"/>
    <w:rsid w:val="00D809EF"/>
    <w:rsid w:val="00DA3A35"/>
    <w:rsid w:val="00DD264B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3F4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F6FF3"/>
    <w:rsid w:val="00F01185"/>
    <w:rsid w:val="00F26949"/>
    <w:rsid w:val="00F332F8"/>
    <w:rsid w:val="00F333C3"/>
    <w:rsid w:val="00F6000B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27D88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C11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11</cp:revision>
  <cp:lastPrinted>2022-01-14T13:46:00Z</cp:lastPrinted>
  <dcterms:created xsi:type="dcterms:W3CDTF">2022-01-13T21:54:00Z</dcterms:created>
  <dcterms:modified xsi:type="dcterms:W3CDTF">2022-01-14T13:57:00Z</dcterms:modified>
</cp:coreProperties>
</file>