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A8260" w14:textId="7ADED1EA" w:rsidR="008C03BE" w:rsidRPr="00B150BF" w:rsidRDefault="004A2E90" w:rsidP="00B150BF">
      <w:pPr>
        <w:jc w:val="center"/>
        <w:rPr>
          <w:rFonts w:ascii="Times New Roman" w:hAnsi="Times New Roman" w:cs="Times New Roman"/>
          <w:b/>
          <w:sz w:val="28"/>
          <w:szCs w:val="24"/>
          <w:lang w:val="sr-Cyrl-RS"/>
        </w:rPr>
      </w:pPr>
      <w:r w:rsidRPr="00C47E1A">
        <w:rPr>
          <w:rFonts w:ascii="Times New Roman" w:hAnsi="Times New Roman" w:cs="Times New Roman"/>
          <w:b/>
          <w:sz w:val="28"/>
          <w:szCs w:val="24"/>
        </w:rPr>
        <w:t xml:space="preserve">АНАЛИЗА ЕФЕКАТА </w:t>
      </w:r>
      <w:r w:rsidR="00B150BF">
        <w:rPr>
          <w:rFonts w:ascii="Times New Roman" w:hAnsi="Times New Roman" w:cs="Times New Roman"/>
          <w:b/>
          <w:sz w:val="28"/>
          <w:szCs w:val="24"/>
          <w:lang w:val="sr-Cyrl-RS"/>
        </w:rPr>
        <w:t xml:space="preserve"> </w:t>
      </w:r>
    </w:p>
    <w:p w14:paraId="5848555F" w14:textId="3AFEC256" w:rsidR="008C03BE" w:rsidRDefault="008C03BE">
      <w:pPr>
        <w:jc w:val="center"/>
        <w:rPr>
          <w:rFonts w:ascii="Times New Roman" w:hAnsi="Times New Roman" w:cs="Times New Roman"/>
          <w:b/>
          <w:sz w:val="24"/>
          <w:szCs w:val="24"/>
        </w:rPr>
      </w:pPr>
    </w:p>
    <w:p w14:paraId="5A72392E" w14:textId="77777777" w:rsidR="00B150BF" w:rsidRPr="00F550F7" w:rsidRDefault="00B150BF">
      <w:pPr>
        <w:jc w:val="center"/>
        <w:rPr>
          <w:rFonts w:ascii="Times New Roman" w:hAnsi="Times New Roman" w:cs="Times New Roman"/>
          <w:b/>
          <w:sz w:val="24"/>
          <w:szCs w:val="24"/>
        </w:rPr>
      </w:pPr>
    </w:p>
    <w:p w14:paraId="1B81CC37" w14:textId="77777777" w:rsidR="008C03BE" w:rsidRPr="00F550F7" w:rsidRDefault="004A2E90">
      <w:pPr>
        <w:jc w:val="center"/>
        <w:rPr>
          <w:rFonts w:ascii="Times New Roman" w:hAnsi="Times New Roman" w:cs="Times New Roman"/>
          <w:b/>
          <w:sz w:val="24"/>
          <w:szCs w:val="24"/>
          <w:u w:val="single"/>
        </w:rPr>
      </w:pPr>
      <w:r w:rsidRPr="00F550F7">
        <w:rPr>
          <w:rFonts w:ascii="Times New Roman" w:hAnsi="Times New Roman" w:cs="Times New Roman"/>
          <w:b/>
          <w:sz w:val="24"/>
          <w:szCs w:val="24"/>
          <w:u w:val="single"/>
        </w:rPr>
        <w:t>Кључна питања за анализу постојећег стања и правилно дефинисање промене која се предлаже</w:t>
      </w:r>
    </w:p>
    <w:p w14:paraId="5D841AF1" w14:textId="77777777" w:rsidR="008C03BE" w:rsidRPr="00F550F7" w:rsidRDefault="008C03BE">
      <w:pPr>
        <w:jc w:val="center"/>
        <w:rPr>
          <w:rFonts w:ascii="Times New Roman" w:hAnsi="Times New Roman" w:cs="Times New Roman"/>
          <w:b/>
          <w:sz w:val="24"/>
          <w:szCs w:val="24"/>
        </w:rPr>
      </w:pPr>
    </w:p>
    <w:p w14:paraId="300A7BE6" w14:textId="77777777" w:rsidR="008C03BE" w:rsidRPr="00322065" w:rsidRDefault="00D823CC">
      <w:pPr>
        <w:numPr>
          <w:ilvl w:val="0"/>
          <w:numId w:val="1"/>
        </w:numPr>
        <w:jc w:val="both"/>
        <w:rPr>
          <w:rFonts w:ascii="Times New Roman" w:hAnsi="Times New Roman" w:cs="Times New Roman"/>
          <w:b/>
          <w:sz w:val="24"/>
          <w:szCs w:val="24"/>
        </w:rPr>
      </w:pPr>
      <w:r w:rsidRPr="00322065">
        <w:rPr>
          <w:rFonts w:ascii="Times New Roman" w:hAnsi="Times New Roman" w:cs="Times New Roman"/>
          <w:b/>
          <w:sz w:val="24"/>
          <w:szCs w:val="24"/>
        </w:rPr>
        <w:t>Који п</w:t>
      </w:r>
      <w:r w:rsidR="004A2E90" w:rsidRPr="00322065">
        <w:rPr>
          <w:rFonts w:ascii="Times New Roman" w:hAnsi="Times New Roman" w:cs="Times New Roman"/>
          <w:b/>
          <w:sz w:val="24"/>
          <w:szCs w:val="24"/>
        </w:rPr>
        <w:t>оказатељи се прате у области, који су разлози због којих се ови показатељи прате и које су њихове вредности?</w:t>
      </w:r>
    </w:p>
    <w:p w14:paraId="1D3FF30F" w14:textId="77777777" w:rsidR="008C03BE" w:rsidRPr="00F550F7" w:rsidRDefault="008C03BE">
      <w:pPr>
        <w:ind w:left="720"/>
        <w:jc w:val="both"/>
        <w:rPr>
          <w:rFonts w:ascii="Times New Roman" w:hAnsi="Times New Roman" w:cs="Times New Roman"/>
          <w:sz w:val="24"/>
          <w:szCs w:val="24"/>
        </w:rPr>
      </w:pPr>
    </w:p>
    <w:p w14:paraId="395C4B62" w14:textId="301A349C" w:rsidR="00F2705C" w:rsidRPr="006B6854" w:rsidRDefault="00F2705C" w:rsidP="00FD498C">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Кључни показатељи у области иновационог система узети у обзир приликом израде </w:t>
      </w:r>
      <w:r w:rsidR="00BF219D">
        <w:rPr>
          <w:rFonts w:ascii="Times New Roman" w:hAnsi="Times New Roman" w:cs="Times New Roman"/>
          <w:sz w:val="24"/>
          <w:szCs w:val="24"/>
          <w:lang w:val="sr-Cyrl-RS"/>
        </w:rPr>
        <w:t>предлога</w:t>
      </w:r>
      <w:r w:rsidRPr="00F550F7">
        <w:rPr>
          <w:rFonts w:ascii="Times New Roman" w:hAnsi="Times New Roman" w:cs="Times New Roman"/>
          <w:sz w:val="24"/>
          <w:szCs w:val="24"/>
        </w:rPr>
        <w:t xml:space="preserve"> новог Закона о иновационој делатности су Глобални индекс иновативности, Сумарни индекс иновативности (</w:t>
      </w:r>
      <w:r w:rsidRPr="00D31210">
        <w:rPr>
          <w:rFonts w:ascii="Times New Roman" w:hAnsi="Times New Roman" w:cs="Times New Roman"/>
          <w:i/>
          <w:iCs/>
          <w:sz w:val="24"/>
          <w:szCs w:val="24"/>
        </w:rPr>
        <w:t>European Innovation Scoreboard</w:t>
      </w:r>
      <w:r w:rsidRPr="00F550F7">
        <w:rPr>
          <w:rFonts w:ascii="Times New Roman" w:hAnsi="Times New Roman" w:cs="Times New Roman"/>
          <w:sz w:val="24"/>
          <w:szCs w:val="24"/>
        </w:rPr>
        <w:t xml:space="preserve">), </w:t>
      </w:r>
      <w:r w:rsidR="001D7EA5">
        <w:rPr>
          <w:rFonts w:ascii="Times New Roman" w:hAnsi="Times New Roman" w:cs="Times New Roman"/>
          <w:sz w:val="24"/>
          <w:szCs w:val="24"/>
        </w:rPr>
        <w:t xml:space="preserve">показатељи из </w:t>
      </w:r>
      <w:r w:rsidRPr="00F550F7">
        <w:rPr>
          <w:rFonts w:ascii="Times New Roman" w:hAnsi="Times New Roman" w:cs="Times New Roman"/>
          <w:sz w:val="24"/>
          <w:szCs w:val="24"/>
        </w:rPr>
        <w:t>Извештај</w:t>
      </w:r>
      <w:r w:rsidR="001D7EA5">
        <w:rPr>
          <w:rFonts w:ascii="Times New Roman" w:hAnsi="Times New Roman" w:cs="Times New Roman"/>
          <w:sz w:val="24"/>
          <w:szCs w:val="24"/>
        </w:rPr>
        <w:t>а</w:t>
      </w:r>
      <w:r w:rsidRPr="00F550F7">
        <w:rPr>
          <w:rFonts w:ascii="Times New Roman" w:hAnsi="Times New Roman" w:cs="Times New Roman"/>
          <w:sz w:val="24"/>
          <w:szCs w:val="24"/>
        </w:rPr>
        <w:t xml:space="preserve"> о стању у науци Национални савет за научни и технолошки развој, као и </w:t>
      </w:r>
      <w:r w:rsidR="001D7EA5">
        <w:rPr>
          <w:rFonts w:ascii="Times New Roman" w:hAnsi="Times New Roman" w:cs="Times New Roman"/>
          <w:sz w:val="24"/>
          <w:szCs w:val="24"/>
        </w:rPr>
        <w:t xml:space="preserve">показатељи из </w:t>
      </w:r>
      <w:r w:rsidRPr="00F550F7">
        <w:rPr>
          <w:rFonts w:ascii="Times New Roman" w:hAnsi="Times New Roman" w:cs="Times New Roman"/>
          <w:sz w:val="24"/>
          <w:szCs w:val="24"/>
        </w:rPr>
        <w:t xml:space="preserve">„Global Startup Ecosystem Report”, које спроводи </w:t>
      </w:r>
      <w:r w:rsidR="001D7EA5" w:rsidRPr="001D7EA5">
        <w:rPr>
          <w:rFonts w:ascii="Times New Roman" w:hAnsi="Times New Roman" w:cs="Times New Roman"/>
          <w:sz w:val="24"/>
          <w:szCs w:val="24"/>
        </w:rPr>
        <w:t>„</w:t>
      </w:r>
      <w:r w:rsidR="006B6854" w:rsidRPr="001D7EA5">
        <w:rPr>
          <w:rFonts w:ascii="Times New Roman" w:hAnsi="Times New Roman" w:cs="Times New Roman"/>
          <w:sz w:val="24"/>
          <w:szCs w:val="24"/>
        </w:rPr>
        <w:t>Startup Genome</w:t>
      </w:r>
      <w:r w:rsidR="00034C2E" w:rsidRPr="00F550F7">
        <w:rPr>
          <w:rFonts w:ascii="Times New Roman" w:hAnsi="Times New Roman" w:cs="Times New Roman"/>
          <w:sz w:val="24"/>
          <w:szCs w:val="24"/>
        </w:rPr>
        <w:t>”</w:t>
      </w:r>
      <w:r w:rsidR="006B6854" w:rsidRPr="001D7EA5">
        <w:rPr>
          <w:rFonts w:ascii="Times New Roman" w:hAnsi="Times New Roman" w:cs="Times New Roman"/>
          <w:sz w:val="24"/>
          <w:szCs w:val="24"/>
        </w:rPr>
        <w:t>.</w:t>
      </w:r>
    </w:p>
    <w:p w14:paraId="24C4CCA3" w14:textId="77777777" w:rsidR="008C03BE" w:rsidRPr="00F550F7" w:rsidRDefault="00FD498C" w:rsidP="00FD498C">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Да би стратешки анализирали иновациони систем и његово стање унапредили, нужно је упоредити различите индикаторе стања у Републици Србији са другим државама, што је могуће измерити и Глобалним индексом иновативности. Овај индекс креирали су Универзитет Корнел, eвропски институт </w:t>
      </w:r>
      <w:r w:rsidRPr="00D31210">
        <w:rPr>
          <w:rFonts w:ascii="Times New Roman" w:hAnsi="Times New Roman" w:cs="Times New Roman"/>
          <w:i/>
          <w:iCs/>
          <w:sz w:val="24"/>
          <w:szCs w:val="24"/>
        </w:rPr>
        <w:t>INSEAD</w:t>
      </w:r>
      <w:r w:rsidRPr="00F550F7">
        <w:rPr>
          <w:rFonts w:ascii="Times New Roman" w:hAnsi="Times New Roman" w:cs="Times New Roman"/>
          <w:sz w:val="24"/>
          <w:szCs w:val="24"/>
        </w:rPr>
        <w:t xml:space="preserve"> и Светска организација за интелектуалну својину у сарадњи са другим организацијама, како би рангирали успешност 132 земље. Индекс обухвата сет индикатора (укључујући степен развоја и примене науке, високошколско образовање, број дипломираних научних и инжењерских специјалиста у области високе технологије, степен развоја, примене и ефикасности технологија и економије знања, стање институција, политичку стабилност, владавину права, стање инфраструк</w:t>
      </w:r>
      <w:r w:rsidR="005D7AB9">
        <w:rPr>
          <w:rFonts w:ascii="Times New Roman" w:hAnsi="Times New Roman" w:cs="Times New Roman"/>
          <w:sz w:val="24"/>
          <w:szCs w:val="24"/>
        </w:rPr>
        <w:t>туре, одрживост животне средине</w:t>
      </w:r>
      <w:r w:rsidRPr="00F550F7">
        <w:rPr>
          <w:rFonts w:ascii="Times New Roman" w:hAnsi="Times New Roman" w:cs="Times New Roman"/>
          <w:sz w:val="24"/>
          <w:szCs w:val="24"/>
        </w:rPr>
        <w:t xml:space="preserve"> и друге) и израчунава се као просек резултата две групе показатеља иновативне спосо</w:t>
      </w:r>
      <w:r w:rsidR="00812461">
        <w:rPr>
          <w:rFonts w:ascii="Times New Roman" w:hAnsi="Times New Roman" w:cs="Times New Roman"/>
          <w:sz w:val="24"/>
          <w:szCs w:val="24"/>
        </w:rPr>
        <w:t>бности и иновативних резултата.</w:t>
      </w:r>
      <w:r w:rsidRPr="00F550F7">
        <w:rPr>
          <w:rFonts w:ascii="Times New Roman" w:hAnsi="Times New Roman" w:cs="Times New Roman"/>
          <w:sz w:val="24"/>
          <w:szCs w:val="24"/>
        </w:rPr>
        <w:t xml:space="preserve"> На листи 132 државе које су рангиране, мерено Глобалним индексом иновативности из 2021. године, Република Србија је позиционирана на 54. месту и спада у умерене иноваторе. </w:t>
      </w:r>
    </w:p>
    <w:p w14:paraId="2CEB617B" w14:textId="75DB986B" w:rsidR="00CF2ED2" w:rsidRPr="00F550F7" w:rsidRDefault="00CF2ED2" w:rsidP="00CF2ED2">
      <w:pPr>
        <w:ind w:firstLine="720"/>
        <w:jc w:val="both"/>
        <w:rPr>
          <w:rFonts w:ascii="Times New Roman" w:hAnsi="Times New Roman" w:cs="Times New Roman"/>
          <w:sz w:val="24"/>
          <w:szCs w:val="24"/>
        </w:rPr>
      </w:pPr>
      <w:r w:rsidRPr="00F550F7">
        <w:rPr>
          <w:rFonts w:ascii="Times New Roman" w:hAnsi="Times New Roman" w:cs="Times New Roman"/>
          <w:sz w:val="24"/>
          <w:szCs w:val="24"/>
        </w:rPr>
        <w:t>Према последњем извештају Европске комисије о оцени иновација (</w:t>
      </w:r>
      <w:r w:rsidRPr="00D31210">
        <w:rPr>
          <w:rFonts w:ascii="Times New Roman" w:hAnsi="Times New Roman" w:cs="Times New Roman"/>
          <w:i/>
          <w:iCs/>
          <w:sz w:val="24"/>
          <w:szCs w:val="24"/>
        </w:rPr>
        <w:t>European Innovation Scoreboard</w:t>
      </w:r>
      <w:r w:rsidRPr="00F550F7">
        <w:rPr>
          <w:rFonts w:ascii="Times New Roman" w:hAnsi="Times New Roman" w:cs="Times New Roman"/>
          <w:sz w:val="24"/>
          <w:szCs w:val="24"/>
        </w:rPr>
        <w:t xml:space="preserve">) објављено да је Република Србија остварила значајан раст од скоро 30 </w:t>
      </w:r>
      <w:r w:rsidR="00F11C29">
        <w:rPr>
          <w:rFonts w:ascii="Times New Roman" w:hAnsi="Times New Roman" w:cs="Times New Roman"/>
          <w:sz w:val="24"/>
          <w:szCs w:val="24"/>
        </w:rPr>
        <w:t>%</w:t>
      </w:r>
      <w:r w:rsidRPr="00F550F7">
        <w:rPr>
          <w:rFonts w:ascii="Times New Roman" w:hAnsi="Times New Roman" w:cs="Times New Roman"/>
          <w:sz w:val="24"/>
          <w:szCs w:val="24"/>
        </w:rPr>
        <w:t xml:space="preserve"> у последње три године у области иновација. Према овом извештају, у којем се оцењују различите компоненте иновација на основу званичних података, као што су области људског капитала, дигитализација, иновативне привреде и други, раст Србије је дупло бржи од раста држава чланица ЕУ. Оцена извештаја Европске комисије јесте да је Србија у свим областима забележила запажен раст, поготово у претходне три године. Србија је сада на нивоу 66,2</w:t>
      </w:r>
      <w:r w:rsidR="00F11C29">
        <w:rPr>
          <w:rFonts w:ascii="Times New Roman" w:hAnsi="Times New Roman" w:cs="Times New Roman"/>
          <w:sz w:val="24"/>
          <w:szCs w:val="24"/>
        </w:rPr>
        <w:t>%</w:t>
      </w:r>
      <w:r w:rsidRPr="00F550F7">
        <w:rPr>
          <w:rFonts w:ascii="Times New Roman" w:hAnsi="Times New Roman" w:cs="Times New Roman"/>
          <w:sz w:val="24"/>
          <w:szCs w:val="24"/>
        </w:rPr>
        <w:t xml:space="preserve"> просека ЕУ (2018. године била је на 58</w:t>
      </w:r>
      <w:r w:rsidR="00F11C29">
        <w:rPr>
          <w:rFonts w:ascii="Times New Roman" w:hAnsi="Times New Roman" w:cs="Times New Roman"/>
          <w:sz w:val="24"/>
          <w:szCs w:val="24"/>
        </w:rPr>
        <w:t>%</w:t>
      </w:r>
      <w:r w:rsidRPr="00F550F7">
        <w:rPr>
          <w:rFonts w:ascii="Times New Roman" w:hAnsi="Times New Roman" w:cs="Times New Roman"/>
          <w:sz w:val="24"/>
          <w:szCs w:val="24"/>
        </w:rPr>
        <w:t>), док је у одређеним областима далеко испред просека ЕУ. У области креирања иновација у малим и средњим предузећима Србија је 65,8</w:t>
      </w:r>
      <w:r w:rsidR="00F11C29">
        <w:rPr>
          <w:rFonts w:ascii="Times New Roman" w:hAnsi="Times New Roman" w:cs="Times New Roman"/>
          <w:sz w:val="24"/>
          <w:szCs w:val="24"/>
        </w:rPr>
        <w:t>%</w:t>
      </w:r>
      <w:r w:rsidRPr="00F550F7">
        <w:rPr>
          <w:rFonts w:ascii="Times New Roman" w:hAnsi="Times New Roman" w:cs="Times New Roman"/>
          <w:sz w:val="24"/>
          <w:szCs w:val="24"/>
        </w:rPr>
        <w:t xml:space="preserve"> изнад просека ЕУ, а у области запошљавања у иновативним компанијама 46</w:t>
      </w:r>
      <w:r w:rsidR="00F11C29">
        <w:rPr>
          <w:rFonts w:ascii="Times New Roman" w:hAnsi="Times New Roman" w:cs="Times New Roman"/>
          <w:sz w:val="24"/>
          <w:szCs w:val="24"/>
        </w:rPr>
        <w:t>%</w:t>
      </w:r>
      <w:r w:rsidRPr="00F550F7">
        <w:rPr>
          <w:rFonts w:ascii="Times New Roman" w:hAnsi="Times New Roman" w:cs="Times New Roman"/>
          <w:sz w:val="24"/>
          <w:szCs w:val="24"/>
        </w:rPr>
        <w:t xml:space="preserve"> изнад просека ЕУ у области. Према извештају Европске комисије, Србија је регионални лидер на овој листи, и убедљиво је испред и појединих држава чланица ЕУ (испред Румуније, Бугарске, Летоније, као и Пољске и Словачке). Овај успех резултат је повећаних улагања државе у иновације, науку и образовање, као и </w:t>
      </w:r>
      <w:r w:rsidRPr="00F550F7">
        <w:rPr>
          <w:rFonts w:ascii="Times New Roman" w:hAnsi="Times New Roman" w:cs="Times New Roman"/>
          <w:sz w:val="24"/>
          <w:szCs w:val="24"/>
        </w:rPr>
        <w:lastRenderedPageBreak/>
        <w:t xml:space="preserve">приватног сектора који је препознао будућност привреде у области иновација. Број запослених у ИТ индустрији је дуплиран за мање од четири године на више од 40 хиљада у 2021. години. У Србији све већи број </w:t>
      </w:r>
      <w:r w:rsidR="00D31210">
        <w:rPr>
          <w:rFonts w:ascii="Times New Roman" w:hAnsi="Times New Roman" w:cs="Times New Roman"/>
          <w:sz w:val="24"/>
          <w:szCs w:val="24"/>
          <w:lang w:val="sr-Cyrl-RS"/>
        </w:rPr>
        <w:t xml:space="preserve">привредно друштво </w:t>
      </w:r>
      <w:r w:rsidRPr="00F550F7">
        <w:rPr>
          <w:rFonts w:ascii="Times New Roman" w:hAnsi="Times New Roman" w:cs="Times New Roman"/>
          <w:sz w:val="24"/>
          <w:szCs w:val="24"/>
        </w:rPr>
        <w:t xml:space="preserve">развија своје иновативне производе, што и доказују продаје домаћих ИТ компанија за износе од више стотина милиона евра. Препорука извештаја је да ће додатна улагања, поготово кроз финансијску подршку </w:t>
      </w:r>
      <w:r w:rsidR="0059557C">
        <w:rPr>
          <w:rFonts w:ascii="Times New Roman" w:hAnsi="Times New Roman" w:cs="Times New Roman"/>
          <w:sz w:val="24"/>
          <w:szCs w:val="24"/>
          <w:lang w:val="sr-Cyrl-RS"/>
        </w:rPr>
        <w:t xml:space="preserve">за </w:t>
      </w:r>
      <w:r w:rsidRPr="00F550F7">
        <w:rPr>
          <w:rFonts w:ascii="Times New Roman" w:hAnsi="Times New Roman" w:cs="Times New Roman"/>
          <w:sz w:val="24"/>
          <w:szCs w:val="24"/>
        </w:rPr>
        <w:t>развој стартапова, улагања у фондове ризичког капитала и развоја образовања које ће омогућити већи број талентованих кадрова, омогућити даљи раст Србије на овој листи. Извештај Европске комисије о оцени иновација даје компаративну анализу у области иновација за земље чланице ЕУ и друге европске земље.</w:t>
      </w:r>
    </w:p>
    <w:p w14:paraId="5D078479" w14:textId="713D878B" w:rsidR="00FD498C" w:rsidRPr="00F550F7" w:rsidRDefault="00FD498C" w:rsidP="00FD498C">
      <w:pPr>
        <w:ind w:firstLine="720"/>
        <w:jc w:val="both"/>
        <w:rPr>
          <w:rFonts w:ascii="Times New Roman" w:hAnsi="Times New Roman" w:cs="Times New Roman"/>
          <w:sz w:val="24"/>
          <w:szCs w:val="24"/>
        </w:rPr>
      </w:pPr>
      <w:r w:rsidRPr="00F550F7">
        <w:rPr>
          <w:rFonts w:ascii="Times New Roman" w:hAnsi="Times New Roman" w:cs="Times New Roman"/>
          <w:sz w:val="24"/>
          <w:szCs w:val="24"/>
        </w:rPr>
        <w:t>Национални савет за научни и технолошки развој је основан ради унапређења научног и технолошког развоја, квалитета научноистраживачког рада и развоја научноистраживачког рада, као највише стручно и саветодавно тело Владе Републике Србије, које именује чланове из реда академика, научника, професора универзитета и привредника, на период од пет година. На основу извода из Извештаја о стању у науци за 2019. годину</w:t>
      </w:r>
      <w:r w:rsidR="00CF2ED2" w:rsidRPr="00F550F7">
        <w:rPr>
          <w:rStyle w:val="FootnoteReference"/>
          <w:rFonts w:ascii="Times New Roman" w:hAnsi="Times New Roman" w:cs="Times New Roman"/>
          <w:sz w:val="24"/>
          <w:szCs w:val="24"/>
        </w:rPr>
        <w:footnoteReference w:id="1"/>
      </w:r>
      <w:r w:rsidRPr="00F550F7">
        <w:rPr>
          <w:rFonts w:ascii="Times New Roman" w:hAnsi="Times New Roman" w:cs="Times New Roman"/>
          <w:sz w:val="24"/>
          <w:szCs w:val="24"/>
        </w:rPr>
        <w:t>,</w:t>
      </w:r>
      <w:r w:rsidR="00034C2E">
        <w:rPr>
          <w:rFonts w:ascii="Times New Roman" w:hAnsi="Times New Roman" w:cs="Times New Roman"/>
          <w:sz w:val="24"/>
          <w:szCs w:val="24"/>
          <w:lang w:val="sr-Cyrl-RS"/>
        </w:rPr>
        <w:t xml:space="preserve"> </w:t>
      </w:r>
      <w:r w:rsidRPr="00F550F7">
        <w:rPr>
          <w:rFonts w:ascii="Times New Roman" w:hAnsi="Times New Roman" w:cs="Times New Roman"/>
          <w:sz w:val="24"/>
          <w:szCs w:val="24"/>
        </w:rPr>
        <w:t xml:space="preserve">истраживања и иновације у Републици Србији су саставни елементи већине стратешких докумената који су усвојени у претходних неколико година, и самим тим, везани су за делатност већег броја органа и организација. Иновационе организације су укључене у реализацију научноистраживачких програма од општег интереса, а научноистраживачке организације нису препознате као саставни део иновационог система. На основу наведеног може се закључити да је потребно додатно унапредити услове за претварање научних резултата у иновације и њихов пласман на тржиште како би се научни потенцијал на прави начин преточио у што конкурентнију привреду. Нови </w:t>
      </w:r>
      <w:r w:rsidR="00BF219D">
        <w:rPr>
          <w:rFonts w:ascii="Times New Roman" w:hAnsi="Times New Roman" w:cs="Times New Roman"/>
          <w:sz w:val="24"/>
          <w:szCs w:val="24"/>
          <w:lang w:val="sr-Cyrl-RS"/>
        </w:rPr>
        <w:t>предлог</w:t>
      </w:r>
      <w:r w:rsidRPr="00F550F7">
        <w:rPr>
          <w:rFonts w:ascii="Times New Roman" w:hAnsi="Times New Roman" w:cs="Times New Roman"/>
          <w:sz w:val="24"/>
          <w:szCs w:val="24"/>
        </w:rPr>
        <w:t xml:space="preserve"> Закона о иновационој делатности узима у обзир сугестије Националног савета за научни и технолошки развој на начин којим се омогућава и научноистраживачким организацијама да буду уписане у регистар националног иновационог система и на тај начин буду препознате као субјекти иновационе делатности. Овиме се додатно наглашава неопходност повезивања науке и привреде, посебно у области иновација. </w:t>
      </w:r>
    </w:p>
    <w:p w14:paraId="0471F92B" w14:textId="57C93E6C" w:rsidR="00CF2ED2" w:rsidRPr="00F550F7" w:rsidRDefault="00CF2ED2" w:rsidP="00CF2ED2">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Република Србија је 2019. године постала део једног од најрелевантнијих истраживања о стартап екосистему на свету у оквиру извештаја „Global Startup Ecosystem Report”, које спроводи </w:t>
      </w:r>
      <w:r w:rsidR="0059557C" w:rsidRPr="00F550F7">
        <w:rPr>
          <w:rFonts w:ascii="Times New Roman" w:hAnsi="Times New Roman" w:cs="Times New Roman"/>
          <w:sz w:val="24"/>
          <w:szCs w:val="24"/>
        </w:rPr>
        <w:t>„</w:t>
      </w:r>
      <w:r w:rsidR="001D7EA5">
        <w:rPr>
          <w:rFonts w:ascii="Times New Roman" w:hAnsi="Times New Roman" w:cs="Times New Roman"/>
          <w:sz w:val="24"/>
          <w:szCs w:val="24"/>
        </w:rPr>
        <w:t>Startup Genome</w:t>
      </w:r>
      <w:r w:rsidR="0059557C" w:rsidRPr="00F550F7">
        <w:rPr>
          <w:rFonts w:ascii="Times New Roman" w:hAnsi="Times New Roman" w:cs="Times New Roman"/>
          <w:sz w:val="24"/>
          <w:szCs w:val="24"/>
        </w:rPr>
        <w:t>”</w:t>
      </w:r>
      <w:r w:rsidRPr="00F550F7">
        <w:rPr>
          <w:rFonts w:ascii="Times New Roman" w:hAnsi="Times New Roman" w:cs="Times New Roman"/>
          <w:sz w:val="24"/>
          <w:szCs w:val="24"/>
        </w:rPr>
        <w:t xml:space="preserve">. У Извештају из 2020. године, који је обухватио </w:t>
      </w:r>
      <w:r w:rsidR="0059557C">
        <w:rPr>
          <w:rFonts w:ascii="Times New Roman" w:hAnsi="Times New Roman" w:cs="Times New Roman"/>
          <w:sz w:val="24"/>
          <w:szCs w:val="24"/>
          <w:lang w:val="sr-Cyrl-RS"/>
        </w:rPr>
        <w:t xml:space="preserve">више од </w:t>
      </w:r>
      <w:r w:rsidRPr="00F550F7">
        <w:rPr>
          <w:rFonts w:ascii="Times New Roman" w:hAnsi="Times New Roman" w:cs="Times New Roman"/>
          <w:sz w:val="24"/>
          <w:szCs w:val="24"/>
        </w:rPr>
        <w:t xml:space="preserve">300 екосистема, Србија је једина земља у окружењу која је део овог истраживања и оцењена је као једна од 5 најбољих земаља у категорији приступачности талента. Београд и Нови Сад (који су били једини предмет овог истраживања и посматрани као јединствен стартап екосистем) су издвојени са још пет градова у региону Европе и Блиског Истока као најперспективнији. Недовољно знање заједнице и недовољан број прилика за стартапе резултују у емиграцији стартапа из екосистема на нижем ступњу развоја у оне који су развијенији. Из наведених разлога од великог је значаја брзи развој екосистема како би се у потпуности искористио локални потенцијал </w:t>
      </w:r>
      <w:r w:rsidRPr="00F11C29">
        <w:rPr>
          <w:rFonts w:ascii="Times New Roman" w:hAnsi="Times New Roman" w:cs="Times New Roman"/>
          <w:sz w:val="24"/>
          <w:szCs w:val="24"/>
        </w:rPr>
        <w:t xml:space="preserve">и </w:t>
      </w:r>
      <w:r w:rsidR="00F11C29">
        <w:rPr>
          <w:rFonts w:ascii="Times New Roman" w:hAnsi="Times New Roman" w:cs="Times New Roman"/>
          <w:sz w:val="24"/>
          <w:szCs w:val="24"/>
        </w:rPr>
        <w:t>омогућио останак и привлачење</w:t>
      </w:r>
      <w:r w:rsidRPr="00F550F7">
        <w:rPr>
          <w:rFonts w:ascii="Times New Roman" w:hAnsi="Times New Roman" w:cs="Times New Roman"/>
          <w:sz w:val="24"/>
          <w:szCs w:val="24"/>
        </w:rPr>
        <w:t xml:space="preserve"> привредних субјеката из домаће привреде. </w:t>
      </w:r>
      <w:r w:rsidR="009C1CB5">
        <w:rPr>
          <w:rFonts w:ascii="Times New Roman" w:hAnsi="Times New Roman" w:cs="Times New Roman"/>
          <w:sz w:val="24"/>
          <w:szCs w:val="24"/>
          <w:lang w:val="sr-Cyrl-RS"/>
        </w:rPr>
        <w:t>Предлог</w:t>
      </w:r>
      <w:r w:rsidRPr="00F550F7">
        <w:rPr>
          <w:rFonts w:ascii="Times New Roman" w:hAnsi="Times New Roman" w:cs="Times New Roman"/>
          <w:sz w:val="24"/>
          <w:szCs w:val="24"/>
        </w:rPr>
        <w:t xml:space="preserve"> новог Закона о иновационој делатности посебним чланом дефинише стартапе чиме се наглашава значај ових привредних субјеката. </w:t>
      </w:r>
    </w:p>
    <w:p w14:paraId="2370869E" w14:textId="1FAF387E" w:rsidR="00F10674" w:rsidRPr="00F11C29" w:rsidRDefault="00F11C29" w:rsidP="00F10674">
      <w:pPr>
        <w:ind w:firstLine="720"/>
        <w:jc w:val="both"/>
        <w:rPr>
          <w:rFonts w:ascii="Times New Roman" w:hAnsi="Times New Roman" w:cs="Times New Roman"/>
          <w:sz w:val="24"/>
          <w:szCs w:val="24"/>
        </w:rPr>
      </w:pPr>
      <w:r>
        <w:rPr>
          <w:rFonts w:ascii="Times New Roman" w:hAnsi="Times New Roman" w:cs="Times New Roman"/>
          <w:sz w:val="24"/>
          <w:szCs w:val="24"/>
        </w:rPr>
        <w:t>Н</w:t>
      </w:r>
      <w:r w:rsidR="00160FCE" w:rsidRPr="00322065">
        <w:rPr>
          <w:rFonts w:ascii="Times New Roman" w:hAnsi="Times New Roman" w:cs="Times New Roman"/>
          <w:sz w:val="24"/>
          <w:szCs w:val="24"/>
        </w:rPr>
        <w:t>аставак динамичног развоја научноистраживачког и иновационог система представља обавезан предуслов за убрзани развој Републике Србије. Дефинисани правци развоја у претходном периоду и успеси у структурним променама финансирања науке створили су предуслове у научној заједници да се обезбедити неопходне услове за динамични развој науке, технолошког развоја и иновација. Међутим, способност овог система да даље напредује директно зависи од три његове кључне компоненте, а то су: структура и ниво финансирања, квалитет људских ресурса и квалитет инфраструктуре.</w:t>
      </w:r>
      <w:r>
        <w:rPr>
          <w:rFonts w:ascii="Times New Roman" w:hAnsi="Times New Roman" w:cs="Times New Roman"/>
          <w:sz w:val="24"/>
          <w:szCs w:val="24"/>
        </w:rPr>
        <w:t xml:space="preserve"> Ниво финансирања</w:t>
      </w:r>
      <w:r w:rsidR="00F10674">
        <w:rPr>
          <w:rFonts w:ascii="Times New Roman" w:hAnsi="Times New Roman" w:cs="Times New Roman"/>
          <w:sz w:val="24"/>
          <w:szCs w:val="24"/>
        </w:rPr>
        <w:t xml:space="preserve"> научноистраживачке делатности у периоду од 2009. до 2019. године</w:t>
      </w:r>
      <w:r>
        <w:rPr>
          <w:rFonts w:ascii="Times New Roman" w:hAnsi="Times New Roman" w:cs="Times New Roman"/>
          <w:sz w:val="24"/>
          <w:szCs w:val="24"/>
        </w:rPr>
        <w:t xml:space="preserve"> приказан је у табели 1.</w:t>
      </w:r>
      <w:r w:rsidR="00034C2E">
        <w:rPr>
          <w:rFonts w:ascii="Times New Roman" w:hAnsi="Times New Roman" w:cs="Times New Roman"/>
          <w:sz w:val="24"/>
          <w:szCs w:val="24"/>
          <w:lang w:val="sr-Cyrl-RS"/>
        </w:rPr>
        <w:t xml:space="preserve"> </w:t>
      </w:r>
      <w:r w:rsidR="00F10674">
        <w:rPr>
          <w:rFonts w:ascii="Times New Roman" w:hAnsi="Times New Roman" w:cs="Times New Roman"/>
          <w:sz w:val="24"/>
          <w:szCs w:val="24"/>
        </w:rPr>
        <w:t xml:space="preserve">У наредном периоду се </w:t>
      </w:r>
      <w:r w:rsidR="00F10674" w:rsidRPr="00F11C29">
        <w:rPr>
          <w:rFonts w:ascii="Times New Roman" w:hAnsi="Times New Roman" w:cs="Times New Roman"/>
          <w:sz w:val="24"/>
          <w:szCs w:val="24"/>
        </w:rPr>
        <w:t>очекује раст издвајања у науку и технолошки развој на 1,4% у 2025. години.</w:t>
      </w:r>
      <w:bookmarkStart w:id="0" w:name="_GoBack"/>
      <w:bookmarkEnd w:id="0"/>
    </w:p>
    <w:p w14:paraId="2EE92461" w14:textId="77777777" w:rsidR="00322065" w:rsidRDefault="00322065" w:rsidP="00F11C29">
      <w:pPr>
        <w:ind w:firstLine="720"/>
        <w:jc w:val="both"/>
        <w:rPr>
          <w:rFonts w:ascii="Times New Roman" w:hAnsi="Times New Roman" w:cs="Times New Roman"/>
          <w:sz w:val="24"/>
          <w:szCs w:val="24"/>
        </w:rPr>
      </w:pPr>
    </w:p>
    <w:p w14:paraId="412573EE" w14:textId="77777777" w:rsidR="00160FCE" w:rsidRPr="00F550F7" w:rsidRDefault="00322065" w:rsidP="00322065">
      <w:pPr>
        <w:ind w:firstLine="720"/>
        <w:jc w:val="center"/>
        <w:rPr>
          <w:rFonts w:ascii="Times New Roman" w:hAnsi="Times New Roman" w:cs="Times New Roman"/>
          <w:sz w:val="24"/>
          <w:szCs w:val="24"/>
        </w:rPr>
      </w:pPr>
      <w:r>
        <w:rPr>
          <w:rFonts w:ascii="Times New Roman" w:hAnsi="Times New Roman" w:cs="Times New Roman"/>
          <w:sz w:val="24"/>
          <w:szCs w:val="24"/>
        </w:rPr>
        <w:t xml:space="preserve">Табела 1: </w:t>
      </w:r>
      <w:r w:rsidRPr="00322065">
        <w:rPr>
          <w:rFonts w:ascii="Times New Roman" w:hAnsi="Times New Roman" w:cs="Times New Roman"/>
          <w:sz w:val="24"/>
          <w:szCs w:val="24"/>
        </w:rPr>
        <w:t xml:space="preserve">Износи улагања у научноистраживачку делатност у односу на </w:t>
      </w:r>
      <w:r>
        <w:rPr>
          <w:rFonts w:ascii="Times New Roman" w:hAnsi="Times New Roman" w:cs="Times New Roman"/>
          <w:sz w:val="24"/>
          <w:szCs w:val="24"/>
        </w:rPr>
        <w:t>БДП</w:t>
      </w:r>
      <w:r>
        <w:rPr>
          <w:rStyle w:val="FootnoteReference"/>
          <w:rFonts w:ascii="Times New Roman" w:hAnsi="Times New Roman" w:cs="Times New Roman"/>
          <w:sz w:val="24"/>
          <w:szCs w:val="24"/>
        </w:rPr>
        <w:footnoteReference w:id="2"/>
      </w:r>
    </w:p>
    <w:tbl>
      <w:tblPr>
        <w:tblStyle w:val="GridTable2-Accent61"/>
        <w:tblW w:w="10185" w:type="dxa"/>
        <w:jc w:val="center"/>
        <w:tblBorders>
          <w:top w:val="single" w:sz="4" w:space="0" w:color="F79646" w:themeColor="accent6"/>
          <w:left w:val="single" w:sz="4" w:space="0" w:color="F79646" w:themeColor="accent6"/>
          <w:bottom w:val="single" w:sz="4" w:space="0" w:color="F79646" w:themeColor="accent6"/>
          <w:right w:val="single" w:sz="4" w:space="0" w:color="F79646" w:themeColor="accent6"/>
        </w:tblBorders>
        <w:tblLayout w:type="fixed"/>
        <w:tblLook w:val="0000" w:firstRow="0" w:lastRow="0" w:firstColumn="0" w:lastColumn="0" w:noHBand="0" w:noVBand="0"/>
      </w:tblPr>
      <w:tblGrid>
        <w:gridCol w:w="2263"/>
        <w:gridCol w:w="709"/>
        <w:gridCol w:w="718"/>
        <w:gridCol w:w="810"/>
        <w:gridCol w:w="900"/>
        <w:gridCol w:w="810"/>
        <w:gridCol w:w="810"/>
        <w:gridCol w:w="720"/>
        <w:gridCol w:w="810"/>
        <w:gridCol w:w="810"/>
        <w:gridCol w:w="825"/>
      </w:tblGrid>
      <w:tr w:rsidR="00160FCE" w:rsidRPr="00F550F7" w14:paraId="5CED2E12" w14:textId="77777777" w:rsidTr="00B13C96">
        <w:trPr>
          <w:cnfStyle w:val="000000100000" w:firstRow="0" w:lastRow="0" w:firstColumn="0" w:lastColumn="0" w:oddVBand="0" w:evenVBand="0" w:oddHBand="1" w:evenHBand="0" w:firstRowFirstColumn="0" w:firstRowLastColumn="0" w:lastRowFirstColumn="0" w:lastRowLastColumn="0"/>
          <w:trHeight w:val="100"/>
          <w:jc w:val="center"/>
        </w:trPr>
        <w:tc>
          <w:tcPr>
            <w:cnfStyle w:val="000010000000" w:firstRow="0" w:lastRow="0" w:firstColumn="0" w:lastColumn="0" w:oddVBand="1" w:evenVBand="0" w:oddHBand="0" w:evenHBand="0" w:firstRowFirstColumn="0" w:firstRowLastColumn="0" w:lastRowFirstColumn="0" w:lastRowLastColumn="0"/>
            <w:tcW w:w="2972" w:type="dxa"/>
            <w:gridSpan w:val="2"/>
            <w:vAlign w:val="center"/>
          </w:tcPr>
          <w:p w14:paraId="54DD515E" w14:textId="77777777" w:rsidR="00160FCE" w:rsidRPr="00F550F7" w:rsidRDefault="00160FCE" w:rsidP="00322065">
            <w:pPr>
              <w:pStyle w:val="Default"/>
              <w:jc w:val="right"/>
              <w:rPr>
                <w:b/>
              </w:rPr>
            </w:pPr>
            <w:r w:rsidRPr="00F550F7">
              <w:rPr>
                <w:b/>
              </w:rPr>
              <w:t>2009</w:t>
            </w:r>
          </w:p>
        </w:tc>
        <w:tc>
          <w:tcPr>
            <w:tcW w:w="718" w:type="dxa"/>
            <w:vAlign w:val="center"/>
          </w:tcPr>
          <w:p w14:paraId="4987702B"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rPr>
                <w:b/>
              </w:rPr>
            </w:pPr>
            <w:r w:rsidRPr="00F550F7">
              <w:rPr>
                <w:b/>
              </w:rPr>
              <w:t>2010</w:t>
            </w:r>
          </w:p>
        </w:tc>
        <w:tc>
          <w:tcPr>
            <w:cnfStyle w:val="000010000000" w:firstRow="0" w:lastRow="0" w:firstColumn="0" w:lastColumn="0" w:oddVBand="1" w:evenVBand="0" w:oddHBand="0" w:evenHBand="0" w:firstRowFirstColumn="0" w:firstRowLastColumn="0" w:lastRowFirstColumn="0" w:lastRowLastColumn="0"/>
            <w:tcW w:w="810" w:type="dxa"/>
            <w:vAlign w:val="center"/>
          </w:tcPr>
          <w:p w14:paraId="6BE70679" w14:textId="77777777" w:rsidR="00160FCE" w:rsidRPr="00F550F7" w:rsidRDefault="00160FCE" w:rsidP="00322065">
            <w:pPr>
              <w:pStyle w:val="Default"/>
              <w:jc w:val="right"/>
              <w:rPr>
                <w:b/>
              </w:rPr>
            </w:pPr>
            <w:r w:rsidRPr="00F550F7">
              <w:rPr>
                <w:b/>
              </w:rPr>
              <w:t>2011</w:t>
            </w:r>
          </w:p>
        </w:tc>
        <w:tc>
          <w:tcPr>
            <w:tcW w:w="900" w:type="dxa"/>
            <w:vAlign w:val="center"/>
          </w:tcPr>
          <w:p w14:paraId="18F03C88"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rPr>
                <w:b/>
              </w:rPr>
            </w:pPr>
            <w:r w:rsidRPr="00F550F7">
              <w:rPr>
                <w:b/>
              </w:rPr>
              <w:t>2012</w:t>
            </w:r>
          </w:p>
        </w:tc>
        <w:tc>
          <w:tcPr>
            <w:cnfStyle w:val="000010000000" w:firstRow="0" w:lastRow="0" w:firstColumn="0" w:lastColumn="0" w:oddVBand="1" w:evenVBand="0" w:oddHBand="0" w:evenHBand="0" w:firstRowFirstColumn="0" w:firstRowLastColumn="0" w:lastRowFirstColumn="0" w:lastRowLastColumn="0"/>
            <w:tcW w:w="810" w:type="dxa"/>
            <w:vAlign w:val="center"/>
          </w:tcPr>
          <w:p w14:paraId="534EE886" w14:textId="77777777" w:rsidR="00160FCE" w:rsidRPr="00F550F7" w:rsidRDefault="00160FCE" w:rsidP="00322065">
            <w:pPr>
              <w:pStyle w:val="Default"/>
              <w:jc w:val="right"/>
              <w:rPr>
                <w:b/>
              </w:rPr>
            </w:pPr>
            <w:r w:rsidRPr="00F550F7">
              <w:rPr>
                <w:b/>
              </w:rPr>
              <w:t>2013</w:t>
            </w:r>
          </w:p>
        </w:tc>
        <w:tc>
          <w:tcPr>
            <w:tcW w:w="810" w:type="dxa"/>
            <w:vAlign w:val="center"/>
          </w:tcPr>
          <w:p w14:paraId="153B4296"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rPr>
                <w:b/>
              </w:rPr>
            </w:pPr>
            <w:r w:rsidRPr="00F550F7">
              <w:rPr>
                <w:b/>
              </w:rPr>
              <w:t>2014</w:t>
            </w:r>
          </w:p>
        </w:tc>
        <w:tc>
          <w:tcPr>
            <w:cnfStyle w:val="000010000000" w:firstRow="0" w:lastRow="0" w:firstColumn="0" w:lastColumn="0" w:oddVBand="1" w:evenVBand="0" w:oddHBand="0" w:evenHBand="0" w:firstRowFirstColumn="0" w:firstRowLastColumn="0" w:lastRowFirstColumn="0" w:lastRowLastColumn="0"/>
            <w:tcW w:w="720" w:type="dxa"/>
            <w:vAlign w:val="center"/>
          </w:tcPr>
          <w:p w14:paraId="1D76292B" w14:textId="77777777" w:rsidR="00160FCE" w:rsidRPr="00F550F7" w:rsidRDefault="00160FCE" w:rsidP="00322065">
            <w:pPr>
              <w:pStyle w:val="Default"/>
              <w:jc w:val="right"/>
              <w:rPr>
                <w:b/>
              </w:rPr>
            </w:pPr>
            <w:r w:rsidRPr="00F550F7">
              <w:rPr>
                <w:b/>
              </w:rPr>
              <w:t>2015</w:t>
            </w:r>
          </w:p>
        </w:tc>
        <w:tc>
          <w:tcPr>
            <w:tcW w:w="810" w:type="dxa"/>
            <w:vAlign w:val="center"/>
          </w:tcPr>
          <w:p w14:paraId="591624B2"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rPr>
                <w:b/>
              </w:rPr>
            </w:pPr>
            <w:r w:rsidRPr="00F550F7">
              <w:rPr>
                <w:b/>
              </w:rPr>
              <w:t>2016</w:t>
            </w:r>
          </w:p>
        </w:tc>
        <w:tc>
          <w:tcPr>
            <w:cnfStyle w:val="000010000000" w:firstRow="0" w:lastRow="0" w:firstColumn="0" w:lastColumn="0" w:oddVBand="1" w:evenVBand="0" w:oddHBand="0" w:evenHBand="0" w:firstRowFirstColumn="0" w:firstRowLastColumn="0" w:lastRowFirstColumn="0" w:lastRowLastColumn="0"/>
            <w:tcW w:w="810" w:type="dxa"/>
            <w:vAlign w:val="center"/>
          </w:tcPr>
          <w:p w14:paraId="418AA4D8" w14:textId="77777777" w:rsidR="00160FCE" w:rsidRPr="00F550F7" w:rsidRDefault="00160FCE" w:rsidP="00322065">
            <w:pPr>
              <w:pStyle w:val="Default"/>
              <w:jc w:val="right"/>
              <w:rPr>
                <w:b/>
              </w:rPr>
            </w:pPr>
            <w:r w:rsidRPr="00F550F7">
              <w:rPr>
                <w:b/>
              </w:rPr>
              <w:t>2017</w:t>
            </w:r>
          </w:p>
        </w:tc>
        <w:tc>
          <w:tcPr>
            <w:tcW w:w="825" w:type="dxa"/>
            <w:vAlign w:val="center"/>
          </w:tcPr>
          <w:p w14:paraId="7EE2C6AF"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rPr>
                <w:b/>
              </w:rPr>
            </w:pPr>
            <w:r w:rsidRPr="00F550F7">
              <w:rPr>
                <w:b/>
              </w:rPr>
              <w:t>2018</w:t>
            </w:r>
          </w:p>
        </w:tc>
      </w:tr>
      <w:tr w:rsidR="00C47E1A" w:rsidRPr="00F550F7" w14:paraId="45642E0F" w14:textId="77777777" w:rsidTr="00B13C96">
        <w:trPr>
          <w:trHeight w:val="100"/>
          <w:jc w:val="center"/>
        </w:trPr>
        <w:tc>
          <w:tcPr>
            <w:cnfStyle w:val="000010000000" w:firstRow="0" w:lastRow="0" w:firstColumn="0" w:lastColumn="0" w:oddVBand="1" w:evenVBand="0" w:oddHBand="0" w:evenHBand="0" w:firstRowFirstColumn="0" w:firstRowLastColumn="0" w:lastRowFirstColumn="0" w:lastRowLastColumn="0"/>
            <w:tcW w:w="2263" w:type="dxa"/>
            <w:vAlign w:val="center"/>
          </w:tcPr>
          <w:p w14:paraId="120D442E" w14:textId="77777777" w:rsidR="00160FCE" w:rsidRPr="00F550F7" w:rsidRDefault="00160FCE" w:rsidP="00322065">
            <w:pPr>
              <w:pStyle w:val="Default"/>
            </w:pPr>
            <w:r w:rsidRPr="00F550F7">
              <w:t>Укупнa улагања у ИР / БДП</w:t>
            </w:r>
          </w:p>
        </w:tc>
        <w:tc>
          <w:tcPr>
            <w:tcW w:w="709" w:type="dxa"/>
            <w:shd w:val="clear" w:color="auto" w:fill="FFFFFF" w:themeFill="background1"/>
            <w:vAlign w:val="center"/>
          </w:tcPr>
          <w:p w14:paraId="21FD51CF"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0.82</w:t>
            </w:r>
          </w:p>
        </w:tc>
        <w:tc>
          <w:tcPr>
            <w:cnfStyle w:val="000010000000" w:firstRow="0" w:lastRow="0" w:firstColumn="0" w:lastColumn="0" w:oddVBand="1" w:evenVBand="0" w:oddHBand="0" w:evenHBand="0" w:firstRowFirstColumn="0" w:firstRowLastColumn="0" w:lastRowFirstColumn="0" w:lastRowLastColumn="0"/>
            <w:tcW w:w="718" w:type="dxa"/>
            <w:shd w:val="clear" w:color="auto" w:fill="FFFFFF" w:themeFill="background1"/>
            <w:vAlign w:val="center"/>
          </w:tcPr>
          <w:p w14:paraId="0E38356A" w14:textId="77777777" w:rsidR="00160FCE" w:rsidRPr="00F550F7" w:rsidRDefault="00160FCE" w:rsidP="00322065">
            <w:pPr>
              <w:pStyle w:val="Default"/>
              <w:jc w:val="right"/>
            </w:pPr>
            <w:r w:rsidRPr="00F550F7">
              <w:t>0.70</w:t>
            </w:r>
          </w:p>
        </w:tc>
        <w:tc>
          <w:tcPr>
            <w:tcW w:w="810" w:type="dxa"/>
            <w:shd w:val="clear" w:color="auto" w:fill="FFFFFF" w:themeFill="background1"/>
            <w:vAlign w:val="center"/>
          </w:tcPr>
          <w:p w14:paraId="1D65D45D"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0.68</w:t>
            </w:r>
          </w:p>
        </w:tc>
        <w:tc>
          <w:tcPr>
            <w:cnfStyle w:val="000010000000" w:firstRow="0" w:lastRow="0" w:firstColumn="0" w:lastColumn="0" w:oddVBand="1" w:evenVBand="0" w:oddHBand="0" w:evenHBand="0" w:firstRowFirstColumn="0" w:firstRowLastColumn="0" w:lastRowFirstColumn="0" w:lastRowLastColumn="0"/>
            <w:tcW w:w="900" w:type="dxa"/>
            <w:shd w:val="clear" w:color="auto" w:fill="FFFFFF" w:themeFill="background1"/>
            <w:vAlign w:val="center"/>
          </w:tcPr>
          <w:p w14:paraId="6690B7BE" w14:textId="77777777" w:rsidR="00160FCE" w:rsidRPr="00F550F7" w:rsidRDefault="00160FCE" w:rsidP="00322065">
            <w:pPr>
              <w:pStyle w:val="Default"/>
              <w:jc w:val="right"/>
            </w:pPr>
            <w:r w:rsidRPr="00F550F7">
              <w:t>0.85</w:t>
            </w:r>
          </w:p>
        </w:tc>
        <w:tc>
          <w:tcPr>
            <w:tcW w:w="810" w:type="dxa"/>
            <w:shd w:val="clear" w:color="auto" w:fill="FFFFFF" w:themeFill="background1"/>
            <w:vAlign w:val="center"/>
          </w:tcPr>
          <w:p w14:paraId="58E5EA8F"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0.68</w:t>
            </w:r>
          </w:p>
        </w:tc>
        <w:tc>
          <w:tcPr>
            <w:cnfStyle w:val="000010000000" w:firstRow="0" w:lastRow="0" w:firstColumn="0" w:lastColumn="0" w:oddVBand="1" w:evenVBand="0" w:oddHBand="0" w:evenHBand="0" w:firstRowFirstColumn="0" w:firstRowLastColumn="0" w:lastRowFirstColumn="0" w:lastRowLastColumn="0"/>
            <w:tcW w:w="810" w:type="dxa"/>
            <w:shd w:val="clear" w:color="auto" w:fill="FFFFFF" w:themeFill="background1"/>
            <w:vAlign w:val="center"/>
          </w:tcPr>
          <w:p w14:paraId="0764576E" w14:textId="77777777" w:rsidR="00160FCE" w:rsidRPr="00F550F7" w:rsidRDefault="00160FCE" w:rsidP="00322065">
            <w:pPr>
              <w:pStyle w:val="Default"/>
              <w:jc w:val="right"/>
            </w:pPr>
            <w:r w:rsidRPr="00F550F7">
              <w:t>0.72</w:t>
            </w:r>
          </w:p>
        </w:tc>
        <w:tc>
          <w:tcPr>
            <w:tcW w:w="720" w:type="dxa"/>
            <w:shd w:val="clear" w:color="auto" w:fill="FFFFFF" w:themeFill="background1"/>
            <w:vAlign w:val="center"/>
          </w:tcPr>
          <w:p w14:paraId="2F7AC485"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0.81</w:t>
            </w:r>
          </w:p>
        </w:tc>
        <w:tc>
          <w:tcPr>
            <w:cnfStyle w:val="000010000000" w:firstRow="0" w:lastRow="0" w:firstColumn="0" w:lastColumn="0" w:oddVBand="1" w:evenVBand="0" w:oddHBand="0" w:evenHBand="0" w:firstRowFirstColumn="0" w:firstRowLastColumn="0" w:lastRowFirstColumn="0" w:lastRowLastColumn="0"/>
            <w:tcW w:w="810" w:type="dxa"/>
            <w:shd w:val="clear" w:color="auto" w:fill="FFFFFF" w:themeFill="background1"/>
            <w:vAlign w:val="center"/>
          </w:tcPr>
          <w:p w14:paraId="13D1E694" w14:textId="77777777" w:rsidR="00160FCE" w:rsidRPr="00F550F7" w:rsidRDefault="00160FCE" w:rsidP="00322065">
            <w:pPr>
              <w:pStyle w:val="Default"/>
              <w:jc w:val="right"/>
            </w:pPr>
            <w:r w:rsidRPr="00F550F7">
              <w:t>0.84</w:t>
            </w:r>
          </w:p>
        </w:tc>
        <w:tc>
          <w:tcPr>
            <w:tcW w:w="810" w:type="dxa"/>
            <w:shd w:val="clear" w:color="auto" w:fill="FFFFFF" w:themeFill="background1"/>
            <w:vAlign w:val="center"/>
          </w:tcPr>
          <w:p w14:paraId="76878172"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0.87</w:t>
            </w:r>
          </w:p>
        </w:tc>
        <w:tc>
          <w:tcPr>
            <w:cnfStyle w:val="000010000000" w:firstRow="0" w:lastRow="0" w:firstColumn="0" w:lastColumn="0" w:oddVBand="1" w:evenVBand="0" w:oddHBand="0" w:evenHBand="0" w:firstRowFirstColumn="0" w:firstRowLastColumn="0" w:lastRowFirstColumn="0" w:lastRowLastColumn="0"/>
            <w:tcW w:w="825" w:type="dxa"/>
            <w:shd w:val="clear" w:color="auto" w:fill="FFFFFF" w:themeFill="background1"/>
            <w:vAlign w:val="center"/>
          </w:tcPr>
          <w:p w14:paraId="477DEFC5" w14:textId="77777777" w:rsidR="00160FCE" w:rsidRPr="00F550F7" w:rsidRDefault="00160FCE" w:rsidP="00322065">
            <w:pPr>
              <w:pStyle w:val="Default"/>
              <w:jc w:val="right"/>
            </w:pPr>
            <w:r w:rsidRPr="00F550F7">
              <w:t>0.92</w:t>
            </w:r>
          </w:p>
        </w:tc>
      </w:tr>
      <w:tr w:rsidR="007A21B4" w:rsidRPr="00F550F7" w14:paraId="0E83EF7B" w14:textId="77777777" w:rsidTr="00B13C96">
        <w:trPr>
          <w:cnfStyle w:val="000000100000" w:firstRow="0" w:lastRow="0" w:firstColumn="0" w:lastColumn="0" w:oddVBand="0" w:evenVBand="0" w:oddHBand="1" w:evenHBand="0" w:firstRowFirstColumn="0" w:firstRowLastColumn="0" w:lastRowFirstColumn="0" w:lastRowLastColumn="0"/>
          <w:trHeight w:val="100"/>
          <w:jc w:val="center"/>
        </w:trPr>
        <w:tc>
          <w:tcPr>
            <w:cnfStyle w:val="000010000000" w:firstRow="0" w:lastRow="0" w:firstColumn="0" w:lastColumn="0" w:oddVBand="1" w:evenVBand="0" w:oddHBand="0" w:evenHBand="0" w:firstRowFirstColumn="0" w:firstRowLastColumn="0" w:lastRowFirstColumn="0" w:lastRowLastColumn="0"/>
            <w:tcW w:w="2263" w:type="dxa"/>
            <w:vAlign w:val="center"/>
          </w:tcPr>
          <w:p w14:paraId="2F47D8F5" w14:textId="77777777" w:rsidR="00160FCE" w:rsidRPr="00F550F7" w:rsidRDefault="00160FCE" w:rsidP="00322065">
            <w:pPr>
              <w:pStyle w:val="Default"/>
            </w:pPr>
            <w:r w:rsidRPr="00F550F7">
              <w:t>Буџетска улагања у ИР/ БДП</w:t>
            </w:r>
          </w:p>
        </w:tc>
        <w:tc>
          <w:tcPr>
            <w:tcW w:w="709" w:type="dxa"/>
            <w:vAlign w:val="center"/>
          </w:tcPr>
          <w:p w14:paraId="725AEADE"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0.51</w:t>
            </w:r>
          </w:p>
        </w:tc>
        <w:tc>
          <w:tcPr>
            <w:cnfStyle w:val="000010000000" w:firstRow="0" w:lastRow="0" w:firstColumn="0" w:lastColumn="0" w:oddVBand="1" w:evenVBand="0" w:oddHBand="0" w:evenHBand="0" w:firstRowFirstColumn="0" w:firstRowLastColumn="0" w:lastRowFirstColumn="0" w:lastRowLastColumn="0"/>
            <w:tcW w:w="718" w:type="dxa"/>
            <w:vAlign w:val="center"/>
          </w:tcPr>
          <w:p w14:paraId="24F14BDF" w14:textId="77777777" w:rsidR="00160FCE" w:rsidRPr="00F550F7" w:rsidRDefault="00160FCE" w:rsidP="00322065">
            <w:pPr>
              <w:pStyle w:val="Default"/>
              <w:jc w:val="right"/>
            </w:pPr>
            <w:r w:rsidRPr="00F550F7">
              <w:t>0.41</w:t>
            </w:r>
          </w:p>
        </w:tc>
        <w:tc>
          <w:tcPr>
            <w:tcW w:w="810" w:type="dxa"/>
            <w:vAlign w:val="center"/>
          </w:tcPr>
          <w:p w14:paraId="57F8825A"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0.42</w:t>
            </w:r>
          </w:p>
        </w:tc>
        <w:tc>
          <w:tcPr>
            <w:cnfStyle w:val="000010000000" w:firstRow="0" w:lastRow="0" w:firstColumn="0" w:lastColumn="0" w:oddVBand="1" w:evenVBand="0" w:oddHBand="0" w:evenHBand="0" w:firstRowFirstColumn="0" w:firstRowLastColumn="0" w:lastRowFirstColumn="0" w:lastRowLastColumn="0"/>
            <w:tcW w:w="900" w:type="dxa"/>
            <w:vAlign w:val="center"/>
          </w:tcPr>
          <w:p w14:paraId="73AD9673" w14:textId="77777777" w:rsidR="00160FCE" w:rsidRPr="00F550F7" w:rsidRDefault="00160FCE" w:rsidP="00322065">
            <w:pPr>
              <w:pStyle w:val="Default"/>
              <w:jc w:val="right"/>
            </w:pPr>
            <w:r w:rsidRPr="00F550F7">
              <w:t>0.43</w:t>
            </w:r>
          </w:p>
        </w:tc>
        <w:tc>
          <w:tcPr>
            <w:tcW w:w="810" w:type="dxa"/>
            <w:vAlign w:val="center"/>
          </w:tcPr>
          <w:p w14:paraId="6571BF39"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0.40</w:t>
            </w:r>
          </w:p>
        </w:tc>
        <w:tc>
          <w:tcPr>
            <w:cnfStyle w:val="000010000000" w:firstRow="0" w:lastRow="0" w:firstColumn="0" w:lastColumn="0" w:oddVBand="1" w:evenVBand="0" w:oddHBand="0" w:evenHBand="0" w:firstRowFirstColumn="0" w:firstRowLastColumn="0" w:lastRowFirstColumn="0" w:lastRowLastColumn="0"/>
            <w:tcW w:w="810" w:type="dxa"/>
            <w:vAlign w:val="center"/>
          </w:tcPr>
          <w:p w14:paraId="57C1DAE0" w14:textId="77777777" w:rsidR="00160FCE" w:rsidRPr="00F550F7" w:rsidRDefault="00160FCE" w:rsidP="00322065">
            <w:pPr>
              <w:pStyle w:val="Default"/>
              <w:jc w:val="right"/>
            </w:pPr>
            <w:r w:rsidRPr="00F550F7">
              <w:t>0.40</w:t>
            </w:r>
          </w:p>
        </w:tc>
        <w:tc>
          <w:tcPr>
            <w:tcW w:w="720" w:type="dxa"/>
            <w:vAlign w:val="center"/>
          </w:tcPr>
          <w:p w14:paraId="42F6B62A"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0.41</w:t>
            </w:r>
          </w:p>
        </w:tc>
        <w:tc>
          <w:tcPr>
            <w:cnfStyle w:val="000010000000" w:firstRow="0" w:lastRow="0" w:firstColumn="0" w:lastColumn="0" w:oddVBand="1" w:evenVBand="0" w:oddHBand="0" w:evenHBand="0" w:firstRowFirstColumn="0" w:firstRowLastColumn="0" w:lastRowFirstColumn="0" w:lastRowLastColumn="0"/>
            <w:tcW w:w="810" w:type="dxa"/>
            <w:vAlign w:val="center"/>
          </w:tcPr>
          <w:p w14:paraId="0DB74D97" w14:textId="77777777" w:rsidR="00160FCE" w:rsidRPr="00F550F7" w:rsidRDefault="00160FCE" w:rsidP="00322065">
            <w:pPr>
              <w:pStyle w:val="Default"/>
              <w:jc w:val="right"/>
            </w:pPr>
            <w:r w:rsidRPr="00F550F7">
              <w:t>0.36</w:t>
            </w:r>
          </w:p>
        </w:tc>
        <w:tc>
          <w:tcPr>
            <w:tcW w:w="810" w:type="dxa"/>
            <w:vAlign w:val="center"/>
          </w:tcPr>
          <w:p w14:paraId="4C2855A6"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0.38</w:t>
            </w:r>
          </w:p>
        </w:tc>
        <w:tc>
          <w:tcPr>
            <w:cnfStyle w:val="000010000000" w:firstRow="0" w:lastRow="0" w:firstColumn="0" w:lastColumn="0" w:oddVBand="1" w:evenVBand="0" w:oddHBand="0" w:evenHBand="0" w:firstRowFirstColumn="0" w:firstRowLastColumn="0" w:lastRowFirstColumn="0" w:lastRowLastColumn="0"/>
            <w:tcW w:w="825" w:type="dxa"/>
            <w:vAlign w:val="center"/>
          </w:tcPr>
          <w:p w14:paraId="426A9932" w14:textId="77777777" w:rsidR="00160FCE" w:rsidRPr="00F550F7" w:rsidRDefault="00160FCE" w:rsidP="00322065">
            <w:pPr>
              <w:pStyle w:val="Default"/>
              <w:jc w:val="right"/>
            </w:pPr>
            <w:r w:rsidRPr="00F550F7">
              <w:t>0.37</w:t>
            </w:r>
          </w:p>
        </w:tc>
      </w:tr>
      <w:tr w:rsidR="00C47E1A" w:rsidRPr="00F550F7" w14:paraId="51E3D8F3" w14:textId="77777777" w:rsidTr="00B13C96">
        <w:trPr>
          <w:trHeight w:val="100"/>
          <w:jc w:val="center"/>
        </w:trPr>
        <w:tc>
          <w:tcPr>
            <w:cnfStyle w:val="000010000000" w:firstRow="0" w:lastRow="0" w:firstColumn="0" w:lastColumn="0" w:oddVBand="1" w:evenVBand="0" w:oddHBand="0" w:evenHBand="0" w:firstRowFirstColumn="0" w:firstRowLastColumn="0" w:lastRowFirstColumn="0" w:lastRowLastColumn="0"/>
            <w:tcW w:w="2263" w:type="dxa"/>
            <w:vAlign w:val="center"/>
          </w:tcPr>
          <w:p w14:paraId="7686ECC4" w14:textId="77777777" w:rsidR="00160FCE" w:rsidRPr="00F550F7" w:rsidRDefault="00160FCE" w:rsidP="00322065">
            <w:pPr>
              <w:pStyle w:val="Default"/>
            </w:pPr>
            <w:r w:rsidRPr="00F550F7">
              <w:t>Пословни сектор / БДП</w:t>
            </w:r>
          </w:p>
        </w:tc>
        <w:tc>
          <w:tcPr>
            <w:tcW w:w="709" w:type="dxa"/>
            <w:shd w:val="clear" w:color="auto" w:fill="FFFFFF" w:themeFill="background1"/>
            <w:vAlign w:val="center"/>
          </w:tcPr>
          <w:p w14:paraId="3136060D"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0.12</w:t>
            </w:r>
          </w:p>
        </w:tc>
        <w:tc>
          <w:tcPr>
            <w:cnfStyle w:val="000010000000" w:firstRow="0" w:lastRow="0" w:firstColumn="0" w:lastColumn="0" w:oddVBand="1" w:evenVBand="0" w:oddHBand="0" w:evenHBand="0" w:firstRowFirstColumn="0" w:firstRowLastColumn="0" w:lastRowFirstColumn="0" w:lastRowLastColumn="0"/>
            <w:tcW w:w="718" w:type="dxa"/>
            <w:shd w:val="clear" w:color="auto" w:fill="FFFFFF" w:themeFill="background1"/>
            <w:vAlign w:val="center"/>
          </w:tcPr>
          <w:p w14:paraId="0092FB77" w14:textId="77777777" w:rsidR="00160FCE" w:rsidRPr="00F550F7" w:rsidRDefault="00160FCE" w:rsidP="00322065">
            <w:pPr>
              <w:pStyle w:val="Default"/>
              <w:jc w:val="right"/>
            </w:pPr>
            <w:r w:rsidRPr="00F550F7">
              <w:t>0.08</w:t>
            </w:r>
          </w:p>
        </w:tc>
        <w:tc>
          <w:tcPr>
            <w:tcW w:w="810" w:type="dxa"/>
            <w:shd w:val="clear" w:color="auto" w:fill="FFFFFF" w:themeFill="background1"/>
            <w:vAlign w:val="center"/>
          </w:tcPr>
          <w:p w14:paraId="21C5B66F"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0.06</w:t>
            </w:r>
          </w:p>
        </w:tc>
        <w:tc>
          <w:tcPr>
            <w:cnfStyle w:val="000010000000" w:firstRow="0" w:lastRow="0" w:firstColumn="0" w:lastColumn="0" w:oddVBand="1" w:evenVBand="0" w:oddHBand="0" w:evenHBand="0" w:firstRowFirstColumn="0" w:firstRowLastColumn="0" w:lastRowFirstColumn="0" w:lastRowLastColumn="0"/>
            <w:tcW w:w="900" w:type="dxa"/>
            <w:shd w:val="clear" w:color="auto" w:fill="FFFFFF" w:themeFill="background1"/>
            <w:vAlign w:val="center"/>
          </w:tcPr>
          <w:p w14:paraId="38F48EA0" w14:textId="77777777" w:rsidR="00160FCE" w:rsidRPr="00F550F7" w:rsidRDefault="00160FCE" w:rsidP="00322065">
            <w:pPr>
              <w:pStyle w:val="Default"/>
              <w:jc w:val="right"/>
            </w:pPr>
            <w:r w:rsidRPr="00F550F7">
              <w:t>0.21</w:t>
            </w:r>
          </w:p>
        </w:tc>
        <w:tc>
          <w:tcPr>
            <w:tcW w:w="810" w:type="dxa"/>
            <w:shd w:val="clear" w:color="auto" w:fill="FFFFFF" w:themeFill="background1"/>
            <w:vAlign w:val="center"/>
          </w:tcPr>
          <w:p w14:paraId="19106E5A"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0.09</w:t>
            </w:r>
          </w:p>
        </w:tc>
        <w:tc>
          <w:tcPr>
            <w:cnfStyle w:val="000010000000" w:firstRow="0" w:lastRow="0" w:firstColumn="0" w:lastColumn="0" w:oddVBand="1" w:evenVBand="0" w:oddHBand="0" w:evenHBand="0" w:firstRowFirstColumn="0" w:firstRowLastColumn="0" w:lastRowFirstColumn="0" w:lastRowLastColumn="0"/>
            <w:tcW w:w="810" w:type="dxa"/>
            <w:shd w:val="clear" w:color="auto" w:fill="FFFFFF" w:themeFill="background1"/>
            <w:vAlign w:val="center"/>
          </w:tcPr>
          <w:p w14:paraId="266622CD" w14:textId="77777777" w:rsidR="00160FCE" w:rsidRPr="00F550F7" w:rsidRDefault="00160FCE" w:rsidP="00322065">
            <w:pPr>
              <w:pStyle w:val="Default"/>
              <w:jc w:val="right"/>
            </w:pPr>
            <w:r w:rsidRPr="00F550F7">
              <w:t>0.21</w:t>
            </w:r>
          </w:p>
        </w:tc>
        <w:tc>
          <w:tcPr>
            <w:tcW w:w="720" w:type="dxa"/>
            <w:shd w:val="clear" w:color="auto" w:fill="FFFFFF" w:themeFill="background1"/>
            <w:vAlign w:val="center"/>
          </w:tcPr>
          <w:p w14:paraId="3751DD7A"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0.26</w:t>
            </w:r>
          </w:p>
        </w:tc>
        <w:tc>
          <w:tcPr>
            <w:cnfStyle w:val="000010000000" w:firstRow="0" w:lastRow="0" w:firstColumn="0" w:lastColumn="0" w:oddVBand="1" w:evenVBand="0" w:oddHBand="0" w:evenHBand="0" w:firstRowFirstColumn="0" w:firstRowLastColumn="0" w:lastRowFirstColumn="0" w:lastRowLastColumn="0"/>
            <w:tcW w:w="810" w:type="dxa"/>
            <w:shd w:val="clear" w:color="auto" w:fill="FFFFFF" w:themeFill="background1"/>
            <w:vAlign w:val="center"/>
          </w:tcPr>
          <w:p w14:paraId="5AAA6457" w14:textId="77777777" w:rsidR="00160FCE" w:rsidRPr="00F550F7" w:rsidRDefault="00160FCE" w:rsidP="00322065">
            <w:pPr>
              <w:pStyle w:val="Default"/>
              <w:jc w:val="right"/>
            </w:pPr>
            <w:r w:rsidRPr="00F550F7">
              <w:t>0.31</w:t>
            </w:r>
          </w:p>
        </w:tc>
        <w:tc>
          <w:tcPr>
            <w:tcW w:w="810" w:type="dxa"/>
            <w:shd w:val="clear" w:color="auto" w:fill="FFFFFF" w:themeFill="background1"/>
            <w:vAlign w:val="center"/>
          </w:tcPr>
          <w:p w14:paraId="55D84156"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0.32</w:t>
            </w:r>
          </w:p>
        </w:tc>
        <w:tc>
          <w:tcPr>
            <w:cnfStyle w:val="000010000000" w:firstRow="0" w:lastRow="0" w:firstColumn="0" w:lastColumn="0" w:oddVBand="1" w:evenVBand="0" w:oddHBand="0" w:evenHBand="0" w:firstRowFirstColumn="0" w:firstRowLastColumn="0" w:lastRowFirstColumn="0" w:lastRowLastColumn="0"/>
            <w:tcW w:w="825" w:type="dxa"/>
            <w:shd w:val="clear" w:color="auto" w:fill="FFFFFF" w:themeFill="background1"/>
            <w:vAlign w:val="center"/>
          </w:tcPr>
          <w:p w14:paraId="644F5103" w14:textId="77777777" w:rsidR="00160FCE" w:rsidRPr="00F550F7" w:rsidRDefault="00160FCE" w:rsidP="00322065">
            <w:pPr>
              <w:pStyle w:val="Default"/>
              <w:jc w:val="right"/>
            </w:pPr>
            <w:r w:rsidRPr="00F550F7">
              <w:t>0.36</w:t>
            </w:r>
          </w:p>
        </w:tc>
      </w:tr>
      <w:tr w:rsidR="007A21B4" w:rsidRPr="00F550F7" w14:paraId="59BC03FE" w14:textId="77777777" w:rsidTr="00B13C96">
        <w:trPr>
          <w:cnfStyle w:val="000000100000" w:firstRow="0" w:lastRow="0" w:firstColumn="0" w:lastColumn="0" w:oddVBand="0" w:evenVBand="0" w:oddHBand="1" w:evenHBand="0" w:firstRowFirstColumn="0" w:firstRowLastColumn="0" w:lastRowFirstColumn="0" w:lastRowLastColumn="0"/>
          <w:trHeight w:val="100"/>
          <w:jc w:val="center"/>
        </w:trPr>
        <w:tc>
          <w:tcPr>
            <w:cnfStyle w:val="000010000000" w:firstRow="0" w:lastRow="0" w:firstColumn="0" w:lastColumn="0" w:oddVBand="1" w:evenVBand="0" w:oddHBand="0" w:evenHBand="0" w:firstRowFirstColumn="0" w:firstRowLastColumn="0" w:lastRowFirstColumn="0" w:lastRowLastColumn="0"/>
            <w:tcW w:w="2263" w:type="dxa"/>
            <w:vAlign w:val="center"/>
          </w:tcPr>
          <w:p w14:paraId="2D06BB98" w14:textId="77777777" w:rsidR="00160FCE" w:rsidRPr="00F550F7" w:rsidRDefault="00160FCE" w:rsidP="00322065">
            <w:pPr>
              <w:pStyle w:val="Default"/>
            </w:pPr>
            <w:r w:rsidRPr="00F550F7">
              <w:t>Сектор државе / БДП</w:t>
            </w:r>
          </w:p>
        </w:tc>
        <w:tc>
          <w:tcPr>
            <w:tcW w:w="709" w:type="dxa"/>
            <w:vAlign w:val="center"/>
          </w:tcPr>
          <w:p w14:paraId="76577D79"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0.25</w:t>
            </w:r>
          </w:p>
        </w:tc>
        <w:tc>
          <w:tcPr>
            <w:cnfStyle w:val="000010000000" w:firstRow="0" w:lastRow="0" w:firstColumn="0" w:lastColumn="0" w:oddVBand="1" w:evenVBand="0" w:oddHBand="0" w:evenHBand="0" w:firstRowFirstColumn="0" w:firstRowLastColumn="0" w:lastRowFirstColumn="0" w:lastRowLastColumn="0"/>
            <w:tcW w:w="718" w:type="dxa"/>
            <w:vAlign w:val="center"/>
          </w:tcPr>
          <w:p w14:paraId="15758132" w14:textId="77777777" w:rsidR="00160FCE" w:rsidRPr="00F550F7" w:rsidRDefault="00160FCE" w:rsidP="00322065">
            <w:pPr>
              <w:pStyle w:val="Default"/>
              <w:jc w:val="right"/>
            </w:pPr>
            <w:r w:rsidRPr="00F550F7">
              <w:t>0.26</w:t>
            </w:r>
          </w:p>
        </w:tc>
        <w:tc>
          <w:tcPr>
            <w:tcW w:w="810" w:type="dxa"/>
            <w:vAlign w:val="center"/>
          </w:tcPr>
          <w:p w14:paraId="57EA26EA"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0.23</w:t>
            </w:r>
          </w:p>
        </w:tc>
        <w:tc>
          <w:tcPr>
            <w:cnfStyle w:val="000010000000" w:firstRow="0" w:lastRow="0" w:firstColumn="0" w:lastColumn="0" w:oddVBand="1" w:evenVBand="0" w:oddHBand="0" w:evenHBand="0" w:firstRowFirstColumn="0" w:firstRowLastColumn="0" w:lastRowFirstColumn="0" w:lastRowLastColumn="0"/>
            <w:tcW w:w="900" w:type="dxa"/>
            <w:vAlign w:val="center"/>
          </w:tcPr>
          <w:p w14:paraId="4CE3D159" w14:textId="77777777" w:rsidR="00160FCE" w:rsidRPr="00F550F7" w:rsidRDefault="00160FCE" w:rsidP="00322065">
            <w:pPr>
              <w:pStyle w:val="Default"/>
              <w:jc w:val="right"/>
            </w:pPr>
            <w:r w:rsidRPr="00F550F7">
              <w:t>0.25</w:t>
            </w:r>
          </w:p>
        </w:tc>
        <w:tc>
          <w:tcPr>
            <w:tcW w:w="810" w:type="dxa"/>
            <w:vAlign w:val="center"/>
          </w:tcPr>
          <w:p w14:paraId="5AE32437"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0.23</w:t>
            </w:r>
          </w:p>
        </w:tc>
        <w:tc>
          <w:tcPr>
            <w:cnfStyle w:val="000010000000" w:firstRow="0" w:lastRow="0" w:firstColumn="0" w:lastColumn="0" w:oddVBand="1" w:evenVBand="0" w:oddHBand="0" w:evenHBand="0" w:firstRowFirstColumn="0" w:firstRowLastColumn="0" w:lastRowFirstColumn="0" w:lastRowLastColumn="0"/>
            <w:tcW w:w="810" w:type="dxa"/>
            <w:vAlign w:val="center"/>
          </w:tcPr>
          <w:p w14:paraId="56F12680" w14:textId="77777777" w:rsidR="00160FCE" w:rsidRPr="00F550F7" w:rsidRDefault="00160FCE" w:rsidP="00322065">
            <w:pPr>
              <w:pStyle w:val="Default"/>
              <w:jc w:val="right"/>
            </w:pPr>
            <w:r w:rsidRPr="00F550F7">
              <w:t>0.18</w:t>
            </w:r>
          </w:p>
        </w:tc>
        <w:tc>
          <w:tcPr>
            <w:tcW w:w="720" w:type="dxa"/>
            <w:vAlign w:val="center"/>
          </w:tcPr>
          <w:p w14:paraId="7C5ED224"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0.22</w:t>
            </w:r>
          </w:p>
        </w:tc>
        <w:tc>
          <w:tcPr>
            <w:cnfStyle w:val="000010000000" w:firstRow="0" w:lastRow="0" w:firstColumn="0" w:lastColumn="0" w:oddVBand="1" w:evenVBand="0" w:oddHBand="0" w:evenHBand="0" w:firstRowFirstColumn="0" w:firstRowLastColumn="0" w:lastRowFirstColumn="0" w:lastRowLastColumn="0"/>
            <w:tcW w:w="810" w:type="dxa"/>
            <w:vAlign w:val="center"/>
          </w:tcPr>
          <w:p w14:paraId="5CB0A085" w14:textId="77777777" w:rsidR="00160FCE" w:rsidRPr="00F550F7" w:rsidRDefault="00160FCE" w:rsidP="00322065">
            <w:pPr>
              <w:pStyle w:val="Default"/>
              <w:jc w:val="right"/>
            </w:pPr>
            <w:r w:rsidRPr="00F550F7">
              <w:t>0.22</w:t>
            </w:r>
          </w:p>
        </w:tc>
        <w:tc>
          <w:tcPr>
            <w:tcW w:w="810" w:type="dxa"/>
            <w:vAlign w:val="center"/>
          </w:tcPr>
          <w:p w14:paraId="7F0AE874" w14:textId="77777777" w:rsidR="00160FCE" w:rsidRPr="00F550F7" w:rsidRDefault="00160FCE" w:rsidP="00322065">
            <w:pPr>
              <w:pStyle w:val="Default"/>
              <w:jc w:val="right"/>
              <w:cnfStyle w:val="000000100000" w:firstRow="0" w:lastRow="0" w:firstColumn="0" w:lastColumn="0" w:oddVBand="0" w:evenVBand="0" w:oddHBand="1" w:evenHBand="0" w:firstRowFirstColumn="0" w:firstRowLastColumn="0" w:lastRowFirstColumn="0" w:lastRowLastColumn="0"/>
            </w:pPr>
            <w:r w:rsidRPr="00F550F7">
              <w:t>0.24</w:t>
            </w:r>
          </w:p>
        </w:tc>
        <w:tc>
          <w:tcPr>
            <w:cnfStyle w:val="000010000000" w:firstRow="0" w:lastRow="0" w:firstColumn="0" w:lastColumn="0" w:oddVBand="1" w:evenVBand="0" w:oddHBand="0" w:evenHBand="0" w:firstRowFirstColumn="0" w:firstRowLastColumn="0" w:lastRowFirstColumn="0" w:lastRowLastColumn="0"/>
            <w:tcW w:w="825" w:type="dxa"/>
            <w:vAlign w:val="center"/>
          </w:tcPr>
          <w:p w14:paraId="608497AF" w14:textId="77777777" w:rsidR="00160FCE" w:rsidRPr="00F550F7" w:rsidRDefault="00160FCE" w:rsidP="00322065">
            <w:pPr>
              <w:pStyle w:val="Default"/>
              <w:jc w:val="right"/>
            </w:pPr>
            <w:r w:rsidRPr="00F550F7">
              <w:t>0.26</w:t>
            </w:r>
          </w:p>
        </w:tc>
      </w:tr>
      <w:tr w:rsidR="00322065" w:rsidRPr="00F550F7" w14:paraId="58C646B9" w14:textId="77777777" w:rsidTr="00B13C96">
        <w:trPr>
          <w:trHeight w:val="100"/>
          <w:jc w:val="center"/>
        </w:trPr>
        <w:tc>
          <w:tcPr>
            <w:cnfStyle w:val="000010000000" w:firstRow="0" w:lastRow="0" w:firstColumn="0" w:lastColumn="0" w:oddVBand="1" w:evenVBand="0" w:oddHBand="0" w:evenHBand="0" w:firstRowFirstColumn="0" w:firstRowLastColumn="0" w:lastRowFirstColumn="0" w:lastRowLastColumn="0"/>
            <w:tcW w:w="2263" w:type="dxa"/>
            <w:vAlign w:val="center"/>
          </w:tcPr>
          <w:p w14:paraId="1CF204F0" w14:textId="77777777" w:rsidR="00160FCE" w:rsidRPr="00F550F7" w:rsidRDefault="00160FCE" w:rsidP="00322065">
            <w:pPr>
              <w:pStyle w:val="Default"/>
            </w:pPr>
            <w:r w:rsidRPr="00F550F7">
              <w:t>Високо образовање / БДП</w:t>
            </w:r>
          </w:p>
        </w:tc>
        <w:tc>
          <w:tcPr>
            <w:tcW w:w="709" w:type="dxa"/>
            <w:shd w:val="clear" w:color="auto" w:fill="FFFFFF" w:themeFill="background1"/>
            <w:vAlign w:val="center"/>
          </w:tcPr>
          <w:p w14:paraId="0BB4209D"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0.45</w:t>
            </w:r>
          </w:p>
        </w:tc>
        <w:tc>
          <w:tcPr>
            <w:cnfStyle w:val="000010000000" w:firstRow="0" w:lastRow="0" w:firstColumn="0" w:lastColumn="0" w:oddVBand="1" w:evenVBand="0" w:oddHBand="0" w:evenHBand="0" w:firstRowFirstColumn="0" w:firstRowLastColumn="0" w:lastRowFirstColumn="0" w:lastRowLastColumn="0"/>
            <w:tcW w:w="718" w:type="dxa"/>
            <w:shd w:val="clear" w:color="auto" w:fill="FFFFFF" w:themeFill="background1"/>
            <w:vAlign w:val="center"/>
          </w:tcPr>
          <w:p w14:paraId="1853EE12" w14:textId="77777777" w:rsidR="00160FCE" w:rsidRPr="00F550F7" w:rsidRDefault="00160FCE" w:rsidP="00322065">
            <w:pPr>
              <w:pStyle w:val="Default"/>
              <w:jc w:val="right"/>
            </w:pPr>
            <w:r w:rsidRPr="00F550F7">
              <w:t>0.36</w:t>
            </w:r>
          </w:p>
        </w:tc>
        <w:tc>
          <w:tcPr>
            <w:tcW w:w="810" w:type="dxa"/>
            <w:shd w:val="clear" w:color="auto" w:fill="FFFFFF" w:themeFill="background1"/>
            <w:vAlign w:val="center"/>
          </w:tcPr>
          <w:p w14:paraId="66E0E381"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0.39</w:t>
            </w:r>
          </w:p>
        </w:tc>
        <w:tc>
          <w:tcPr>
            <w:cnfStyle w:val="000010000000" w:firstRow="0" w:lastRow="0" w:firstColumn="0" w:lastColumn="0" w:oddVBand="1" w:evenVBand="0" w:oddHBand="0" w:evenHBand="0" w:firstRowFirstColumn="0" w:firstRowLastColumn="0" w:lastRowFirstColumn="0" w:lastRowLastColumn="0"/>
            <w:tcW w:w="900" w:type="dxa"/>
            <w:shd w:val="clear" w:color="auto" w:fill="FFFFFF" w:themeFill="background1"/>
            <w:vAlign w:val="center"/>
          </w:tcPr>
          <w:p w14:paraId="5C84CA31" w14:textId="77777777" w:rsidR="00160FCE" w:rsidRPr="00F550F7" w:rsidRDefault="00160FCE" w:rsidP="00322065">
            <w:pPr>
              <w:pStyle w:val="Default"/>
              <w:jc w:val="right"/>
            </w:pPr>
            <w:r w:rsidRPr="00F550F7">
              <w:t>0.39</w:t>
            </w:r>
          </w:p>
        </w:tc>
        <w:tc>
          <w:tcPr>
            <w:tcW w:w="810" w:type="dxa"/>
            <w:shd w:val="clear" w:color="auto" w:fill="FFFFFF" w:themeFill="background1"/>
            <w:vAlign w:val="center"/>
          </w:tcPr>
          <w:p w14:paraId="6D4D9D14"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0.36</w:t>
            </w:r>
          </w:p>
        </w:tc>
        <w:tc>
          <w:tcPr>
            <w:cnfStyle w:val="000010000000" w:firstRow="0" w:lastRow="0" w:firstColumn="0" w:lastColumn="0" w:oddVBand="1" w:evenVBand="0" w:oddHBand="0" w:evenHBand="0" w:firstRowFirstColumn="0" w:firstRowLastColumn="0" w:lastRowFirstColumn="0" w:lastRowLastColumn="0"/>
            <w:tcW w:w="810" w:type="dxa"/>
            <w:shd w:val="clear" w:color="auto" w:fill="FFFFFF" w:themeFill="background1"/>
            <w:vAlign w:val="center"/>
          </w:tcPr>
          <w:p w14:paraId="558FFBF4" w14:textId="77777777" w:rsidR="00160FCE" w:rsidRPr="00F550F7" w:rsidRDefault="00160FCE" w:rsidP="00322065">
            <w:pPr>
              <w:pStyle w:val="Default"/>
              <w:jc w:val="right"/>
            </w:pPr>
            <w:r w:rsidRPr="00F550F7">
              <w:t>0.33</w:t>
            </w:r>
          </w:p>
        </w:tc>
        <w:tc>
          <w:tcPr>
            <w:tcW w:w="720" w:type="dxa"/>
            <w:shd w:val="clear" w:color="auto" w:fill="FFFFFF" w:themeFill="background1"/>
            <w:vAlign w:val="center"/>
          </w:tcPr>
          <w:p w14:paraId="0FC1AADE"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0.33</w:t>
            </w:r>
          </w:p>
        </w:tc>
        <w:tc>
          <w:tcPr>
            <w:cnfStyle w:val="000010000000" w:firstRow="0" w:lastRow="0" w:firstColumn="0" w:lastColumn="0" w:oddVBand="1" w:evenVBand="0" w:oddHBand="0" w:evenHBand="0" w:firstRowFirstColumn="0" w:firstRowLastColumn="0" w:lastRowFirstColumn="0" w:lastRowLastColumn="0"/>
            <w:tcW w:w="810" w:type="dxa"/>
            <w:shd w:val="clear" w:color="auto" w:fill="FFFFFF" w:themeFill="background1"/>
            <w:vAlign w:val="center"/>
          </w:tcPr>
          <w:p w14:paraId="13C4B75B" w14:textId="77777777" w:rsidR="00160FCE" w:rsidRPr="00F550F7" w:rsidRDefault="00160FCE" w:rsidP="00322065">
            <w:pPr>
              <w:pStyle w:val="Default"/>
              <w:jc w:val="right"/>
            </w:pPr>
            <w:r w:rsidRPr="00F550F7">
              <w:t>0.30</w:t>
            </w:r>
          </w:p>
        </w:tc>
        <w:tc>
          <w:tcPr>
            <w:tcW w:w="810" w:type="dxa"/>
            <w:shd w:val="clear" w:color="auto" w:fill="FFFFFF" w:themeFill="background1"/>
            <w:vAlign w:val="center"/>
          </w:tcPr>
          <w:p w14:paraId="7CBAD414" w14:textId="77777777" w:rsidR="00160FCE" w:rsidRPr="00F550F7" w:rsidRDefault="00160FCE" w:rsidP="00322065">
            <w:pPr>
              <w:pStyle w:val="Default"/>
              <w:jc w:val="right"/>
              <w:cnfStyle w:val="000000000000" w:firstRow="0" w:lastRow="0" w:firstColumn="0" w:lastColumn="0" w:oddVBand="0" w:evenVBand="0" w:oddHBand="0" w:evenHBand="0" w:firstRowFirstColumn="0" w:firstRowLastColumn="0" w:lastRowFirstColumn="0" w:lastRowLastColumn="0"/>
            </w:pPr>
            <w:r w:rsidRPr="00F550F7">
              <w:t>0.32</w:t>
            </w:r>
          </w:p>
        </w:tc>
        <w:tc>
          <w:tcPr>
            <w:cnfStyle w:val="000010000000" w:firstRow="0" w:lastRow="0" w:firstColumn="0" w:lastColumn="0" w:oddVBand="1" w:evenVBand="0" w:oddHBand="0" w:evenHBand="0" w:firstRowFirstColumn="0" w:firstRowLastColumn="0" w:lastRowFirstColumn="0" w:lastRowLastColumn="0"/>
            <w:tcW w:w="825" w:type="dxa"/>
            <w:shd w:val="clear" w:color="auto" w:fill="FFFFFF" w:themeFill="background1"/>
            <w:vAlign w:val="center"/>
          </w:tcPr>
          <w:p w14:paraId="2667020C" w14:textId="77777777" w:rsidR="00160FCE" w:rsidRPr="00F550F7" w:rsidRDefault="00160FCE" w:rsidP="00322065">
            <w:pPr>
              <w:pStyle w:val="Default"/>
              <w:jc w:val="right"/>
            </w:pPr>
            <w:r w:rsidRPr="00F550F7">
              <w:t>0.30</w:t>
            </w:r>
          </w:p>
        </w:tc>
      </w:tr>
    </w:tbl>
    <w:p w14:paraId="4994022B" w14:textId="77777777" w:rsidR="00D5262A" w:rsidRDefault="00D5262A" w:rsidP="00B056F2">
      <w:pPr>
        <w:jc w:val="both"/>
        <w:rPr>
          <w:rFonts w:ascii="Times New Roman" w:hAnsi="Times New Roman" w:cs="Times New Roman"/>
          <w:sz w:val="24"/>
          <w:szCs w:val="24"/>
        </w:rPr>
      </w:pPr>
    </w:p>
    <w:p w14:paraId="4E241917" w14:textId="77777777" w:rsidR="00F10674" w:rsidRDefault="00F10674" w:rsidP="00B056F2">
      <w:pPr>
        <w:jc w:val="both"/>
        <w:rPr>
          <w:rFonts w:ascii="Times New Roman" w:hAnsi="Times New Roman" w:cs="Times New Roman"/>
          <w:sz w:val="24"/>
          <w:szCs w:val="24"/>
        </w:rPr>
      </w:pPr>
    </w:p>
    <w:p w14:paraId="59E36FA8" w14:textId="6BE9F433" w:rsidR="00B056F2" w:rsidRDefault="00B056F2" w:rsidP="00B056F2">
      <w:pPr>
        <w:ind w:firstLine="720"/>
        <w:jc w:val="both"/>
        <w:rPr>
          <w:rFonts w:ascii="Times New Roman" w:hAnsi="Times New Roman" w:cs="Times New Roman"/>
          <w:sz w:val="24"/>
          <w:szCs w:val="24"/>
        </w:rPr>
      </w:pPr>
      <w:r w:rsidRPr="00B056F2">
        <w:rPr>
          <w:rFonts w:ascii="Times New Roman" w:hAnsi="Times New Roman" w:cs="Times New Roman"/>
          <w:sz w:val="24"/>
          <w:szCs w:val="24"/>
        </w:rPr>
        <w:t>На сликама 1 и 2 означени су главни извори финансирања и реализатори истраживања: држава, привреда, Европска унија и научноистраживачке организације. Површина кругова сразмерна је висини улагања у истраживање изражено у процентима БДП-а. Стрелице означавај</w:t>
      </w:r>
      <w:r w:rsidR="00F10674">
        <w:rPr>
          <w:rFonts w:ascii="Times New Roman" w:hAnsi="Times New Roman" w:cs="Times New Roman"/>
          <w:sz w:val="24"/>
          <w:szCs w:val="24"/>
        </w:rPr>
        <w:t>у смерове улагања, слика лево</w:t>
      </w:r>
      <w:r w:rsidRPr="00B056F2">
        <w:rPr>
          <w:rFonts w:ascii="Times New Roman" w:hAnsi="Times New Roman" w:cs="Times New Roman"/>
          <w:sz w:val="24"/>
          <w:szCs w:val="24"/>
        </w:rPr>
        <w:t xml:space="preserve"> означава податке о улагањима у Републици Србији, а слика десно у Европској унији. </w:t>
      </w:r>
    </w:p>
    <w:p w14:paraId="094A4510" w14:textId="77777777" w:rsidR="006817EB" w:rsidRPr="00B056F2" w:rsidRDefault="006817EB" w:rsidP="00B056F2">
      <w:pPr>
        <w:ind w:firstLine="720"/>
        <w:jc w:val="both"/>
        <w:rPr>
          <w:rFonts w:ascii="Times New Roman" w:hAnsi="Times New Roman" w:cs="Times New Roman"/>
          <w:sz w:val="24"/>
          <w:szCs w:val="24"/>
        </w:rPr>
        <w:sectPr w:rsidR="006817EB" w:rsidRPr="00B056F2" w:rsidSect="00CD287D">
          <w:headerReference w:type="even" r:id="rId9"/>
          <w:headerReference w:type="default" r:id="rId10"/>
          <w:headerReference w:type="first" r:id="rId11"/>
          <w:pgSz w:w="12240" w:h="15840"/>
          <w:pgMar w:top="1304" w:right="1440" w:bottom="1304" w:left="1440" w:header="720" w:footer="720" w:gutter="0"/>
          <w:pgNumType w:start="1"/>
          <w:cols w:space="720"/>
          <w:titlePg/>
          <w:docGrid w:linePitch="299"/>
        </w:sectPr>
      </w:pPr>
    </w:p>
    <w:p w14:paraId="053F53E1" w14:textId="77777777" w:rsidR="00D5262A" w:rsidRPr="00D5262A" w:rsidRDefault="00B056F2" w:rsidP="00D5262A">
      <w:pPr>
        <w:spacing w:after="160" w:line="259" w:lineRule="auto"/>
        <w:jc w:val="center"/>
        <w:rPr>
          <w:rFonts w:ascii="Times New Roman" w:eastAsia="Calibri" w:hAnsi="Times New Roman" w:cs="Times New Roman"/>
          <w:smallCaps/>
          <w:sz w:val="24"/>
          <w:szCs w:val="24"/>
          <w:u w:color="7F7F7F"/>
        </w:rPr>
      </w:pPr>
      <w:r w:rsidRPr="00D5262A">
        <w:rPr>
          <w:rFonts w:ascii="Times New Roman" w:eastAsia="Calibri" w:hAnsi="Times New Roman" w:cs="Times New Roman"/>
          <w:noProof/>
        </w:rPr>
        <w:drawing>
          <wp:anchor distT="0" distB="0" distL="114300" distR="114300" simplePos="0" relativeHeight="251662336" behindDoc="1" locked="0" layoutInCell="1" allowOverlap="1" wp14:anchorId="17E5E5EB" wp14:editId="69B21CD2">
            <wp:simplePos x="0" y="0"/>
            <wp:positionH relativeFrom="column">
              <wp:posOffset>3832474</wp:posOffset>
            </wp:positionH>
            <wp:positionV relativeFrom="paragraph">
              <wp:posOffset>19050</wp:posOffset>
            </wp:positionV>
            <wp:extent cx="3445200" cy="3181104"/>
            <wp:effectExtent l="19050" t="19050" r="22225" b="19685"/>
            <wp:wrapTight wrapText="bothSides">
              <wp:wrapPolygon edited="0">
                <wp:start x="-119" y="-129"/>
                <wp:lineTo x="-119" y="21604"/>
                <wp:lineTo x="21620" y="21604"/>
                <wp:lineTo x="21620" y="-129"/>
                <wp:lineTo x="-119" y="-129"/>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45200" cy="3181104"/>
                    </a:xfrm>
                    <a:prstGeom prst="rect">
                      <a:avLst/>
                    </a:prstGeom>
                    <a:noFill/>
                    <a:ln cap="sq">
                      <a:solidFill>
                        <a:schemeClr val="accent6"/>
                      </a:solidFill>
                    </a:ln>
                  </pic:spPr>
                </pic:pic>
              </a:graphicData>
            </a:graphic>
          </wp:anchor>
        </w:drawing>
      </w:r>
      <w:r w:rsidRPr="00D5262A">
        <w:rPr>
          <w:rFonts w:ascii="Times New Roman" w:eastAsia="Times New Roman" w:hAnsi="Times New Roman" w:cs="Times New Roman"/>
          <w:noProof/>
          <w:sz w:val="24"/>
          <w:szCs w:val="24"/>
        </w:rPr>
        <w:drawing>
          <wp:anchor distT="0" distB="0" distL="114300" distR="114300" simplePos="0" relativeHeight="251661312" behindDoc="0" locked="0" layoutInCell="1" allowOverlap="1" wp14:anchorId="710883D2" wp14:editId="6EB5FFD4">
            <wp:simplePos x="0" y="0"/>
            <wp:positionH relativeFrom="margin">
              <wp:posOffset>408305</wp:posOffset>
            </wp:positionH>
            <wp:positionV relativeFrom="margin">
              <wp:align>top</wp:align>
            </wp:positionV>
            <wp:extent cx="3443605" cy="3180080"/>
            <wp:effectExtent l="19050" t="19050" r="23495" b="2032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43605" cy="3180080"/>
                    </a:xfrm>
                    <a:prstGeom prst="rect">
                      <a:avLst/>
                    </a:prstGeom>
                    <a:noFill/>
                    <a:ln>
                      <a:solidFill>
                        <a:schemeClr val="accent6"/>
                      </a:solidFill>
                    </a:ln>
                  </pic:spPr>
                </pic:pic>
              </a:graphicData>
            </a:graphic>
          </wp:anchor>
        </w:drawing>
      </w:r>
    </w:p>
    <w:p w14:paraId="69819C07"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p w14:paraId="2C4BA8B6"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p w14:paraId="6D9424BB"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p w14:paraId="6752193C"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p w14:paraId="539F0403"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p w14:paraId="1669D28A"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p w14:paraId="74BEBDBD"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p w14:paraId="5481F20C"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p w14:paraId="182F8FE7"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p w14:paraId="73B046B7" w14:textId="77777777" w:rsidR="00D5262A" w:rsidRPr="00D5262A" w:rsidRDefault="00D5262A" w:rsidP="00D5262A">
      <w:pPr>
        <w:spacing w:after="160" w:line="259" w:lineRule="auto"/>
        <w:jc w:val="center"/>
        <w:rPr>
          <w:rFonts w:ascii="Times New Roman" w:eastAsia="Calibri" w:hAnsi="Times New Roman" w:cs="Times New Roman"/>
          <w:smallCaps/>
          <w:sz w:val="24"/>
          <w:szCs w:val="24"/>
          <w:u w:color="7F7F7F"/>
        </w:rPr>
      </w:pPr>
    </w:p>
    <w:tbl>
      <w:tblPr>
        <w:tblpPr w:leftFromText="180" w:rightFromText="180" w:vertAnchor="text" w:horzAnchor="margin" w:tblpXSpec="center" w:tblpY="48"/>
        <w:tblW w:w="0" w:type="auto"/>
        <w:tblLook w:val="0000" w:firstRow="0" w:lastRow="0" w:firstColumn="0" w:lastColumn="0" w:noHBand="0" w:noVBand="0"/>
      </w:tblPr>
      <w:tblGrid>
        <w:gridCol w:w="5382"/>
        <w:gridCol w:w="6247"/>
      </w:tblGrid>
      <w:tr w:rsidR="00B056F2" w:rsidRPr="00D5262A" w14:paraId="71A1467B" w14:textId="77777777" w:rsidTr="00B056F2">
        <w:trPr>
          <w:trHeight w:val="504"/>
        </w:trPr>
        <w:tc>
          <w:tcPr>
            <w:tcW w:w="5382" w:type="dxa"/>
          </w:tcPr>
          <w:p w14:paraId="4C95C45B" w14:textId="77777777" w:rsidR="00B056F2" w:rsidRPr="00B056F2" w:rsidRDefault="00B056F2" w:rsidP="00B056F2">
            <w:pPr>
              <w:jc w:val="both"/>
              <w:rPr>
                <w:rFonts w:ascii="Times New Roman" w:hAnsi="Times New Roman" w:cs="Times New Roman"/>
                <w:u w:color="7F7F7F"/>
              </w:rPr>
            </w:pPr>
            <w:r w:rsidRPr="00D5262A">
              <w:rPr>
                <w:rFonts w:ascii="Times New Roman" w:hAnsi="Times New Roman" w:cs="Times New Roman"/>
                <w:u w:color="7F7F7F"/>
              </w:rPr>
              <w:t xml:space="preserve">Слика бр.1: </w:t>
            </w:r>
            <w:r>
              <w:rPr>
                <w:rFonts w:ascii="Times New Roman" w:hAnsi="Times New Roman" w:cs="Times New Roman"/>
                <w:u w:color="7F7F7F"/>
              </w:rPr>
              <w:t>Структура токова финансирања</w:t>
            </w:r>
            <w:r w:rsidRPr="00D5262A">
              <w:rPr>
                <w:rFonts w:ascii="Times New Roman" w:hAnsi="Times New Roman" w:cs="Times New Roman"/>
                <w:u w:color="7F7F7F"/>
              </w:rPr>
              <w:t xml:space="preserve"> науке</w:t>
            </w:r>
            <w:r>
              <w:rPr>
                <w:rFonts w:ascii="Times New Roman" w:hAnsi="Times New Roman" w:cs="Times New Roman"/>
                <w:u w:color="7F7F7F"/>
              </w:rPr>
              <w:t xml:space="preserve"> и привреде</w:t>
            </w:r>
            <w:r w:rsidRPr="00D5262A">
              <w:rPr>
                <w:rFonts w:ascii="Times New Roman" w:hAnsi="Times New Roman" w:cs="Times New Roman"/>
                <w:u w:color="7F7F7F"/>
              </w:rPr>
              <w:t xml:space="preserve"> у Републици Србији 2019. године – релативни удели различитих извора.</w:t>
            </w:r>
          </w:p>
        </w:tc>
        <w:tc>
          <w:tcPr>
            <w:tcW w:w="6247" w:type="dxa"/>
          </w:tcPr>
          <w:p w14:paraId="289AA3DD" w14:textId="77777777" w:rsidR="00B056F2" w:rsidRPr="00D5262A" w:rsidRDefault="00B056F2" w:rsidP="00B056F2">
            <w:pPr>
              <w:jc w:val="both"/>
              <w:rPr>
                <w:rFonts w:ascii="Times New Roman" w:hAnsi="Times New Roman" w:cs="Times New Roman"/>
                <w:u w:color="7F7F7F"/>
              </w:rPr>
            </w:pPr>
            <w:r w:rsidRPr="00D5262A">
              <w:rPr>
                <w:rFonts w:ascii="Times New Roman" w:hAnsi="Times New Roman" w:cs="Times New Roman"/>
                <w:u w:color="7F7F7F"/>
              </w:rPr>
              <w:t xml:space="preserve">Слика бр.2: </w:t>
            </w:r>
            <w:r>
              <w:rPr>
                <w:rFonts w:ascii="Times New Roman" w:hAnsi="Times New Roman" w:cs="Times New Roman"/>
                <w:u w:color="7F7F7F"/>
              </w:rPr>
              <w:t xml:space="preserve"> Структура токова финансирања</w:t>
            </w:r>
            <w:r w:rsidRPr="00D5262A">
              <w:rPr>
                <w:rFonts w:ascii="Times New Roman" w:hAnsi="Times New Roman" w:cs="Times New Roman"/>
                <w:u w:color="7F7F7F"/>
              </w:rPr>
              <w:t xml:space="preserve"> науке</w:t>
            </w:r>
            <w:r>
              <w:rPr>
                <w:rFonts w:ascii="Times New Roman" w:hAnsi="Times New Roman" w:cs="Times New Roman"/>
                <w:u w:color="7F7F7F"/>
              </w:rPr>
              <w:t xml:space="preserve"> и привреде</w:t>
            </w:r>
            <w:r w:rsidRPr="00D5262A">
              <w:rPr>
                <w:rFonts w:ascii="Times New Roman" w:hAnsi="Times New Roman" w:cs="Times New Roman"/>
                <w:u w:color="7F7F7F"/>
              </w:rPr>
              <w:t xml:space="preserve"> у Европској унији 2019. године – релативни удели различитих извора. </w:t>
            </w:r>
            <w:r>
              <w:rPr>
                <w:rStyle w:val="FootnoteReference"/>
                <w:rFonts w:ascii="Times New Roman" w:hAnsi="Times New Roman" w:cs="Times New Roman"/>
                <w:u w:color="7F7F7F"/>
              </w:rPr>
              <w:footnoteReference w:id="3"/>
            </w:r>
          </w:p>
          <w:p w14:paraId="4F8D0FBB" w14:textId="77777777" w:rsidR="00B056F2" w:rsidRPr="00D5262A" w:rsidRDefault="00B056F2" w:rsidP="00B056F2">
            <w:pPr>
              <w:jc w:val="both"/>
              <w:rPr>
                <w:rFonts w:ascii="Times New Roman" w:hAnsi="Times New Roman" w:cs="Times New Roman"/>
                <w:u w:color="7F7F7F"/>
              </w:rPr>
            </w:pPr>
          </w:p>
        </w:tc>
      </w:tr>
    </w:tbl>
    <w:p w14:paraId="5319DCCF" w14:textId="77777777" w:rsidR="00D5262A" w:rsidRPr="00D5262A" w:rsidRDefault="00D5262A" w:rsidP="00B056F2">
      <w:pPr>
        <w:spacing w:after="160" w:line="259" w:lineRule="auto"/>
        <w:rPr>
          <w:rFonts w:ascii="Times New Roman" w:eastAsia="Calibri" w:hAnsi="Times New Roman" w:cs="Times New Roman"/>
          <w:smallCaps/>
          <w:sz w:val="24"/>
          <w:szCs w:val="24"/>
          <w:u w:color="7F7F7F"/>
        </w:rPr>
      </w:pPr>
    </w:p>
    <w:p w14:paraId="2238E26B" w14:textId="77777777" w:rsidR="00F11C29" w:rsidRDefault="00F11C29">
      <w:pPr>
        <w:rPr>
          <w:rFonts w:ascii="Times New Roman" w:eastAsia="Calibri" w:hAnsi="Times New Roman" w:cs="Times New Roman"/>
          <w:smallCaps/>
          <w:sz w:val="24"/>
          <w:szCs w:val="24"/>
          <w:u w:color="7F7F7F"/>
        </w:rPr>
      </w:pPr>
    </w:p>
    <w:p w14:paraId="7B52E7F4" w14:textId="77777777" w:rsidR="00B056F2" w:rsidRDefault="00B056F2">
      <w:pPr>
        <w:rPr>
          <w:rFonts w:ascii="Times New Roman" w:hAnsi="Times New Roman" w:cs="Times New Roman"/>
          <w:sz w:val="24"/>
          <w:szCs w:val="24"/>
        </w:rPr>
      </w:pPr>
    </w:p>
    <w:p w14:paraId="3699679D" w14:textId="77777777" w:rsidR="00D5262A" w:rsidRDefault="00B056F2" w:rsidP="00B056F2">
      <w:pPr>
        <w:ind w:firstLine="720"/>
        <w:jc w:val="both"/>
        <w:rPr>
          <w:rFonts w:ascii="Times New Roman" w:hAnsi="Times New Roman" w:cs="Times New Roman"/>
          <w:sz w:val="24"/>
          <w:szCs w:val="24"/>
        </w:rPr>
      </w:pPr>
      <w:r w:rsidRPr="00B056F2">
        <w:rPr>
          <w:rFonts w:ascii="Times New Roman" w:hAnsi="Times New Roman" w:cs="Times New Roman"/>
          <w:sz w:val="24"/>
          <w:szCs w:val="24"/>
        </w:rPr>
        <w:t xml:space="preserve">Поређењем ове две слике закључујемо да су улагања државе у истраживања, као и ефикасност коришћења средстава Европске уније кроз међународне пројекте у којима учествују научноистраживачке организације и привреда, на осетно мањем, али још упоредивом нивоу. </w:t>
      </w:r>
      <w:r w:rsidR="00F10674">
        <w:rPr>
          <w:rFonts w:ascii="Times New Roman" w:hAnsi="Times New Roman" w:cs="Times New Roman"/>
          <w:sz w:val="24"/>
          <w:szCs w:val="24"/>
        </w:rPr>
        <w:t xml:space="preserve">Постоје механизми финансирања иновација и у науци и у привреди али нису довољно развијени. </w:t>
      </w:r>
      <w:r w:rsidR="008D6B60">
        <w:rPr>
          <w:rFonts w:ascii="Times New Roman" w:hAnsi="Times New Roman" w:cs="Times New Roman"/>
          <w:sz w:val="24"/>
          <w:szCs w:val="24"/>
        </w:rPr>
        <w:t>У складу са описаним, п</w:t>
      </w:r>
      <w:r w:rsidR="00F10674">
        <w:rPr>
          <w:rFonts w:ascii="Times New Roman" w:hAnsi="Times New Roman" w:cs="Times New Roman"/>
          <w:sz w:val="24"/>
          <w:szCs w:val="24"/>
        </w:rPr>
        <w:t xml:space="preserve">репознате су потребе за снажнијом сарадњом науке и привреде, као и потребе за системским уређењем државне подршке развоју сарадње науке и привреде и оснаживањем иновационе делатности кроз улагања. </w:t>
      </w:r>
      <w:r w:rsidR="00D5262A">
        <w:rPr>
          <w:rFonts w:ascii="Times New Roman" w:hAnsi="Times New Roman" w:cs="Times New Roman"/>
          <w:sz w:val="24"/>
          <w:szCs w:val="24"/>
        </w:rPr>
        <w:br w:type="page"/>
      </w:r>
    </w:p>
    <w:p w14:paraId="3628C222" w14:textId="77777777" w:rsidR="00D5262A" w:rsidRDefault="00D5262A">
      <w:pPr>
        <w:numPr>
          <w:ilvl w:val="0"/>
          <w:numId w:val="1"/>
        </w:numPr>
        <w:jc w:val="both"/>
        <w:rPr>
          <w:rFonts w:ascii="Times New Roman" w:hAnsi="Times New Roman" w:cs="Times New Roman"/>
          <w:b/>
          <w:sz w:val="24"/>
          <w:szCs w:val="24"/>
        </w:rPr>
        <w:sectPr w:rsidR="00D5262A" w:rsidSect="00CD287D">
          <w:pgSz w:w="15840" w:h="12240" w:orient="landscape"/>
          <w:pgMar w:top="1440" w:right="1440" w:bottom="1440" w:left="1440" w:header="720" w:footer="720" w:gutter="0"/>
          <w:cols w:space="720"/>
          <w:titlePg/>
          <w:docGrid w:linePitch="299"/>
        </w:sectPr>
      </w:pPr>
    </w:p>
    <w:p w14:paraId="54AC72DC" w14:textId="7DBA7A75" w:rsidR="008C03BE" w:rsidRPr="0071338B" w:rsidRDefault="004A2E90">
      <w:pPr>
        <w:numPr>
          <w:ilvl w:val="0"/>
          <w:numId w:val="1"/>
        </w:numPr>
        <w:jc w:val="both"/>
        <w:rPr>
          <w:rFonts w:ascii="Times New Roman" w:hAnsi="Times New Roman" w:cs="Times New Roman"/>
          <w:b/>
          <w:sz w:val="24"/>
          <w:szCs w:val="24"/>
        </w:rPr>
      </w:pPr>
      <w:r w:rsidRPr="0071338B">
        <w:rPr>
          <w:rFonts w:ascii="Times New Roman" w:hAnsi="Times New Roman" w:cs="Times New Roman"/>
          <w:b/>
          <w:sz w:val="24"/>
          <w:szCs w:val="24"/>
        </w:rPr>
        <w:t>Да ли</w:t>
      </w:r>
      <w:r w:rsidR="00282610">
        <w:rPr>
          <w:rFonts w:ascii="Times New Roman" w:hAnsi="Times New Roman" w:cs="Times New Roman"/>
          <w:b/>
          <w:sz w:val="24"/>
          <w:szCs w:val="24"/>
          <w:lang w:val="sr-Cyrl-RS"/>
        </w:rPr>
        <w:t xml:space="preserve"> </w:t>
      </w:r>
      <w:r w:rsidR="00D823CC" w:rsidRPr="0071338B">
        <w:rPr>
          <w:rFonts w:ascii="Times New Roman" w:hAnsi="Times New Roman" w:cs="Times New Roman"/>
          <w:b/>
          <w:sz w:val="24"/>
          <w:szCs w:val="24"/>
        </w:rPr>
        <w:t>с</w:t>
      </w:r>
      <w:r w:rsidRPr="0071338B">
        <w:rPr>
          <w:rFonts w:ascii="Times New Roman" w:hAnsi="Times New Roman" w:cs="Times New Roman"/>
          <w:b/>
          <w:sz w:val="24"/>
          <w:szCs w:val="24"/>
        </w:rPr>
        <w:t xml:space="preserve">е у предметној области спроводи или се спроводио документ јавне политике или пропис? </w:t>
      </w:r>
    </w:p>
    <w:p w14:paraId="76BF39F6" w14:textId="77777777" w:rsidR="006C7E42" w:rsidRPr="00F550F7" w:rsidRDefault="006C7E42" w:rsidP="00344A0E">
      <w:pPr>
        <w:jc w:val="both"/>
        <w:rPr>
          <w:rFonts w:ascii="Times New Roman" w:hAnsi="Times New Roman" w:cs="Times New Roman"/>
          <w:b/>
          <w:sz w:val="24"/>
          <w:szCs w:val="24"/>
        </w:rPr>
      </w:pPr>
    </w:p>
    <w:p w14:paraId="211F7C9E" w14:textId="17F72734" w:rsidR="000C7511" w:rsidRPr="00F550F7" w:rsidRDefault="000C7511" w:rsidP="00344A0E">
      <w:pPr>
        <w:ind w:firstLine="720"/>
        <w:jc w:val="both"/>
        <w:rPr>
          <w:rFonts w:ascii="Times New Roman" w:hAnsi="Times New Roman" w:cs="Times New Roman"/>
          <w:sz w:val="24"/>
          <w:szCs w:val="24"/>
        </w:rPr>
      </w:pPr>
      <w:r w:rsidRPr="00F550F7">
        <w:rPr>
          <w:rFonts w:ascii="Times New Roman" w:hAnsi="Times New Roman" w:cs="Times New Roman"/>
          <w:sz w:val="24"/>
          <w:szCs w:val="24"/>
        </w:rPr>
        <w:t>Предметна област регулисана је важећим Законом о иновационој делатности („Службени гласник РС”, бр. 110/05, 18/10 и 55/13), а</w:t>
      </w:r>
      <w:r w:rsidR="0059557C">
        <w:rPr>
          <w:rFonts w:ascii="Times New Roman" w:hAnsi="Times New Roman" w:cs="Times New Roman"/>
          <w:sz w:val="24"/>
          <w:szCs w:val="24"/>
          <w:lang w:val="sr-Cyrl-RS"/>
        </w:rPr>
        <w:t xml:space="preserve"> </w:t>
      </w:r>
      <w:r w:rsidR="00F2705C" w:rsidRPr="00F550F7">
        <w:rPr>
          <w:rFonts w:ascii="Times New Roman" w:hAnsi="Times New Roman" w:cs="Times New Roman"/>
          <w:sz w:val="24"/>
          <w:szCs w:val="24"/>
        </w:rPr>
        <w:t>документ јавне политике који се делом односи на ову област јесте</w:t>
      </w:r>
      <w:r w:rsidRPr="00F550F7">
        <w:rPr>
          <w:rFonts w:ascii="Times New Roman" w:hAnsi="Times New Roman" w:cs="Times New Roman"/>
          <w:sz w:val="24"/>
          <w:szCs w:val="24"/>
        </w:rPr>
        <w:t xml:space="preserve"> Стратегија научног и технолошког развоја Републике Србије за период од 2021. до</w:t>
      </w:r>
      <w:r w:rsidR="0059557C">
        <w:rPr>
          <w:rFonts w:ascii="Times New Roman" w:hAnsi="Times New Roman" w:cs="Times New Roman"/>
          <w:sz w:val="24"/>
          <w:szCs w:val="24"/>
          <w:lang w:val="sr-Cyrl-RS"/>
        </w:rPr>
        <w:t xml:space="preserve"> </w:t>
      </w:r>
      <w:r w:rsidRPr="00F550F7">
        <w:rPr>
          <w:rFonts w:ascii="Times New Roman" w:hAnsi="Times New Roman" w:cs="Times New Roman"/>
          <w:sz w:val="24"/>
          <w:szCs w:val="24"/>
        </w:rPr>
        <w:t>2025. године, са мотом „Моћ знања” („</w:t>
      </w:r>
      <w:r w:rsidR="00034C2E">
        <w:rPr>
          <w:rFonts w:ascii="Times New Roman" w:hAnsi="Times New Roman" w:cs="Times New Roman"/>
          <w:sz w:val="24"/>
          <w:szCs w:val="24"/>
        </w:rPr>
        <w:t>Службени гласник РС”, број 10/</w:t>
      </w:r>
      <w:r w:rsidRPr="00F550F7">
        <w:rPr>
          <w:rFonts w:ascii="Times New Roman" w:hAnsi="Times New Roman" w:cs="Times New Roman"/>
          <w:sz w:val="24"/>
          <w:szCs w:val="24"/>
        </w:rPr>
        <w:t>21)</w:t>
      </w:r>
      <w:r w:rsidR="00F2705C" w:rsidRPr="00F550F7">
        <w:rPr>
          <w:rFonts w:ascii="Times New Roman" w:hAnsi="Times New Roman" w:cs="Times New Roman"/>
          <w:sz w:val="24"/>
          <w:szCs w:val="24"/>
        </w:rPr>
        <w:t>.</w:t>
      </w:r>
    </w:p>
    <w:p w14:paraId="54002383" w14:textId="77777777" w:rsidR="00B1456D" w:rsidRDefault="00344A0E" w:rsidP="00B13C96">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Закон о иновационој делатности („Службени гласник РС”, бр. 110/05, 18/10 и 55/13) је оквир за успостављање организација за пружање инфраструктурне и стручне подршке иновационој делатности, односно повезивање иновационих организација са једне стране и привредних субјеката са друге стране. </w:t>
      </w:r>
    </w:p>
    <w:p w14:paraId="308B1D22" w14:textId="2789293F" w:rsidR="00144BA4" w:rsidRDefault="00344A0E" w:rsidP="00B13C96">
      <w:pPr>
        <w:ind w:firstLine="720"/>
        <w:jc w:val="both"/>
        <w:rPr>
          <w:rFonts w:ascii="Times New Roman" w:hAnsi="Times New Roman" w:cs="Times New Roman"/>
          <w:sz w:val="24"/>
          <w:szCs w:val="24"/>
          <w:lang w:val="sr-Cyrl-RS"/>
        </w:rPr>
      </w:pPr>
      <w:r w:rsidRPr="00F550F7">
        <w:rPr>
          <w:rFonts w:ascii="Times New Roman" w:hAnsi="Times New Roman" w:cs="Times New Roman"/>
          <w:sz w:val="24"/>
          <w:szCs w:val="24"/>
        </w:rPr>
        <w:t>Законом о иновационој делатности основан је Фонд за иновациону делатност, као државна организација, специјализована за пружање подршке иновационој делатности и управљање финансијским средствима за подстицање иновација, а све у циљу унапређења веза између науке, технологије и привреде кроз подржавање иновативног предузетништва у раној фази развоја, повезивање научноистраживачких организација и приватних предузећа ради развоја и комерцијализације иновација, кроз подршку новим производима, технологијама и услугама да изађу на тржиште, као и кроз дугорочну подршку државе иновативном предузетништву и то све у сарадњи са међународним финансијским институцијама, организацијама, донаторима и приватним сектором.</w:t>
      </w:r>
      <w:r w:rsidR="0059557C">
        <w:rPr>
          <w:rFonts w:ascii="Times New Roman" w:hAnsi="Times New Roman" w:cs="Times New Roman"/>
          <w:sz w:val="24"/>
          <w:szCs w:val="24"/>
          <w:lang w:val="sr-Cyrl-RS"/>
        </w:rPr>
        <w:t xml:space="preserve"> </w:t>
      </w:r>
    </w:p>
    <w:p w14:paraId="22AF9142" w14:textId="45A1B7C0" w:rsidR="006F3EB1" w:rsidRDefault="00B1456D" w:rsidP="00B1456D">
      <w:pPr>
        <w:ind w:firstLine="720"/>
        <w:jc w:val="both"/>
        <w:rPr>
          <w:rFonts w:ascii="Times New Roman" w:hAnsi="Times New Roman" w:cs="Times New Roman"/>
          <w:sz w:val="24"/>
          <w:szCs w:val="24"/>
        </w:rPr>
      </w:pPr>
      <w:r>
        <w:rPr>
          <w:rFonts w:ascii="Times New Roman" w:hAnsi="Times New Roman" w:cs="Times New Roman"/>
          <w:sz w:val="24"/>
          <w:szCs w:val="24"/>
        </w:rPr>
        <w:t xml:space="preserve">Примарна улога </w:t>
      </w:r>
      <w:r w:rsidRPr="00F550F7">
        <w:rPr>
          <w:rFonts w:ascii="Times New Roman" w:hAnsi="Times New Roman" w:cs="Times New Roman"/>
          <w:sz w:val="24"/>
          <w:szCs w:val="24"/>
        </w:rPr>
        <w:t xml:space="preserve">Фонда </w:t>
      </w:r>
      <w:r>
        <w:rPr>
          <w:rFonts w:ascii="Times New Roman" w:hAnsi="Times New Roman" w:cs="Times New Roman"/>
          <w:sz w:val="24"/>
          <w:szCs w:val="24"/>
        </w:rPr>
        <w:t xml:space="preserve">за иновациону делатност </w:t>
      </w:r>
      <w:r w:rsidRPr="00F550F7">
        <w:rPr>
          <w:rFonts w:ascii="Times New Roman" w:hAnsi="Times New Roman" w:cs="Times New Roman"/>
          <w:sz w:val="24"/>
          <w:szCs w:val="24"/>
        </w:rPr>
        <w:t>је повезивање и унапређивање веза између науке и привреде, подржавање иновативног предузетништва, нарочито у раној фази развоја, ради развоја нових производа и технологија и њиховог пласирања на тржиштима, и то све у сарадњи са међународним финансијским институцијама, организацијама, донаторима и приватним сектором.</w:t>
      </w:r>
      <w:r>
        <w:rPr>
          <w:rFonts w:ascii="Times New Roman" w:hAnsi="Times New Roman" w:cs="Times New Roman"/>
          <w:sz w:val="24"/>
          <w:szCs w:val="24"/>
          <w:lang w:val="sr-Cyrl-RS"/>
        </w:rPr>
        <w:t xml:space="preserve"> </w:t>
      </w:r>
      <w:r w:rsidRPr="00F550F7">
        <w:rPr>
          <w:rFonts w:ascii="Times New Roman" w:hAnsi="Times New Roman" w:cs="Times New Roman"/>
          <w:sz w:val="24"/>
          <w:szCs w:val="24"/>
        </w:rPr>
        <w:t xml:space="preserve">Од 2011. године, када је почео са оперативним радом, Фонд је успоставио механизме подршке и настоји да иновацијама одговори на потребе привреде и науке у области развоја. Пресудан подстицај за почетак оперативног рада и успостављање Фондових програма финансирања дале су Европска унија и Светска банка, будући да су кроз претприступне фондове Европске уније креирани и реализовани пилот-програми. Након своје пилот-фазе, захваљујући </w:t>
      </w:r>
      <w:r w:rsidR="006F3EB1">
        <w:rPr>
          <w:rFonts w:ascii="Times New Roman" w:hAnsi="Times New Roman" w:cs="Times New Roman"/>
          <w:sz w:val="24"/>
          <w:szCs w:val="24"/>
          <w:lang w:val="sr-Cyrl-RS"/>
        </w:rPr>
        <w:t xml:space="preserve">најпре </w:t>
      </w:r>
      <w:r w:rsidRPr="00F550F7">
        <w:rPr>
          <w:rFonts w:ascii="Times New Roman" w:hAnsi="Times New Roman" w:cs="Times New Roman"/>
          <w:sz w:val="24"/>
          <w:szCs w:val="24"/>
        </w:rPr>
        <w:t>средствима из националног буџета</w:t>
      </w:r>
      <w:r>
        <w:rPr>
          <w:rFonts w:ascii="Times New Roman" w:hAnsi="Times New Roman" w:cs="Times New Roman"/>
          <w:sz w:val="24"/>
          <w:szCs w:val="24"/>
          <w:lang w:val="sr-Cyrl-RS"/>
        </w:rPr>
        <w:t xml:space="preserve"> (кроз Пројекат за унапређење конкурентности и запошљавања)</w:t>
      </w:r>
      <w:r w:rsidRPr="00F550F7">
        <w:rPr>
          <w:rFonts w:ascii="Times New Roman" w:hAnsi="Times New Roman" w:cs="Times New Roman"/>
          <w:sz w:val="24"/>
          <w:szCs w:val="24"/>
        </w:rPr>
        <w:t xml:space="preserve">, програми су постали стално доступни механизми подршке Фонда. За програме Фонда средства се обезбеђују и из претприступних фондова Европске уније, као и из зајмова Светске банке. </w:t>
      </w:r>
    </w:p>
    <w:p w14:paraId="6813290C" w14:textId="537F095A" w:rsidR="00DF61B3" w:rsidRDefault="00DF61B3" w:rsidP="00B1456D">
      <w:pPr>
        <w:ind w:firstLine="720"/>
        <w:jc w:val="both"/>
        <w:rPr>
          <w:rFonts w:ascii="Times New Roman" w:hAnsi="Times New Roman" w:cs="Times New Roman"/>
          <w:sz w:val="24"/>
          <w:szCs w:val="24"/>
        </w:rPr>
      </w:pPr>
    </w:p>
    <w:p w14:paraId="4B969C0F" w14:textId="6BEDC789" w:rsidR="002B79B7" w:rsidRDefault="002B79B7" w:rsidP="00B1456D">
      <w:pPr>
        <w:ind w:firstLine="720"/>
        <w:jc w:val="both"/>
        <w:rPr>
          <w:rFonts w:ascii="Times New Roman" w:hAnsi="Times New Roman" w:cs="Times New Roman"/>
          <w:sz w:val="24"/>
          <w:szCs w:val="24"/>
        </w:rPr>
      </w:pPr>
    </w:p>
    <w:p w14:paraId="1C0CB5AD" w14:textId="2EA27EB2" w:rsidR="002B79B7" w:rsidRDefault="002B79B7" w:rsidP="00B1456D">
      <w:pPr>
        <w:ind w:firstLine="720"/>
        <w:jc w:val="both"/>
        <w:rPr>
          <w:rFonts w:ascii="Times New Roman" w:hAnsi="Times New Roman" w:cs="Times New Roman"/>
          <w:sz w:val="24"/>
          <w:szCs w:val="24"/>
        </w:rPr>
      </w:pPr>
    </w:p>
    <w:p w14:paraId="2AE34C21" w14:textId="6CEC632E" w:rsidR="002B79B7" w:rsidRDefault="002B79B7" w:rsidP="00B1456D">
      <w:pPr>
        <w:ind w:firstLine="720"/>
        <w:jc w:val="both"/>
        <w:rPr>
          <w:rFonts w:ascii="Times New Roman" w:hAnsi="Times New Roman" w:cs="Times New Roman"/>
          <w:sz w:val="24"/>
          <w:szCs w:val="24"/>
        </w:rPr>
      </w:pPr>
    </w:p>
    <w:p w14:paraId="43A5C9B5" w14:textId="4A37F11B" w:rsidR="002B79B7" w:rsidRDefault="002B79B7" w:rsidP="00B1456D">
      <w:pPr>
        <w:ind w:firstLine="720"/>
        <w:jc w:val="both"/>
        <w:rPr>
          <w:rFonts w:ascii="Times New Roman" w:hAnsi="Times New Roman" w:cs="Times New Roman"/>
          <w:sz w:val="24"/>
          <w:szCs w:val="24"/>
        </w:rPr>
      </w:pPr>
    </w:p>
    <w:p w14:paraId="5F29762B" w14:textId="77777777" w:rsidR="002B79B7" w:rsidRDefault="002B79B7" w:rsidP="00B1456D">
      <w:pPr>
        <w:ind w:firstLine="720"/>
        <w:jc w:val="both"/>
        <w:rPr>
          <w:rFonts w:ascii="Times New Roman" w:hAnsi="Times New Roman" w:cs="Times New Roman"/>
          <w:sz w:val="24"/>
          <w:szCs w:val="24"/>
        </w:rPr>
      </w:pPr>
    </w:p>
    <w:p w14:paraId="0D422332" w14:textId="3BA0489D" w:rsidR="00DF61B3" w:rsidRPr="00D31210" w:rsidRDefault="00034C2E" w:rsidP="00D31210">
      <w:pPr>
        <w:jc w:val="center"/>
        <w:rPr>
          <w:rFonts w:ascii="Times New Roman" w:hAnsi="Times New Roman" w:cs="Times New Roman"/>
          <w:sz w:val="24"/>
          <w:szCs w:val="24"/>
        </w:rPr>
      </w:pPr>
      <w:r>
        <w:rPr>
          <w:rFonts w:ascii="Times New Roman" w:hAnsi="Times New Roman" w:cs="Times New Roman"/>
          <w:sz w:val="24"/>
          <w:szCs w:val="24"/>
        </w:rPr>
        <w:t>Табела 2</w:t>
      </w:r>
      <w:r w:rsidR="00DF61B3" w:rsidRPr="00D31210">
        <w:rPr>
          <w:rFonts w:ascii="Times New Roman" w:hAnsi="Times New Roman" w:cs="Times New Roman"/>
          <w:sz w:val="24"/>
          <w:szCs w:val="24"/>
        </w:rPr>
        <w:t>: Буџет Фонда за иновациону делатност по годинама</w:t>
      </w:r>
    </w:p>
    <w:p w14:paraId="46502FAF" w14:textId="77777777" w:rsidR="00DF61B3" w:rsidRDefault="00DF61B3" w:rsidP="00B1456D">
      <w:pPr>
        <w:ind w:firstLine="720"/>
        <w:jc w:val="both"/>
        <w:rPr>
          <w:rFonts w:ascii="Times New Roman" w:hAnsi="Times New Roman" w:cs="Times New Roman"/>
          <w:sz w:val="24"/>
          <w:szCs w:val="24"/>
        </w:rPr>
      </w:pPr>
    </w:p>
    <w:tbl>
      <w:tblPr>
        <w:tblStyle w:val="GridTable4-Accent61"/>
        <w:tblW w:w="9683" w:type="dxa"/>
        <w:tblLook w:val="04A0" w:firstRow="1" w:lastRow="0" w:firstColumn="1" w:lastColumn="0" w:noHBand="0" w:noVBand="1"/>
      </w:tblPr>
      <w:tblGrid>
        <w:gridCol w:w="2153"/>
        <w:gridCol w:w="3465"/>
        <w:gridCol w:w="4065"/>
      </w:tblGrid>
      <w:tr w:rsidR="00DF61B3" w:rsidRPr="00DF61B3" w14:paraId="3A01A73D" w14:textId="77777777" w:rsidTr="00D31210">
        <w:trPr>
          <w:cnfStyle w:val="100000000000" w:firstRow="1" w:lastRow="0" w:firstColumn="0" w:lastColumn="0" w:oddVBand="0" w:evenVBand="0" w:oddHBand="0"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0" w:type="dxa"/>
          </w:tcPr>
          <w:p w14:paraId="2FC3A62D" w14:textId="77777777"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Година</w:t>
            </w:r>
          </w:p>
        </w:tc>
        <w:tc>
          <w:tcPr>
            <w:tcW w:w="0" w:type="dxa"/>
          </w:tcPr>
          <w:p w14:paraId="7FCAD553" w14:textId="77777777" w:rsidR="00DF61B3" w:rsidRPr="00D31210" w:rsidRDefault="00DF61B3" w:rsidP="001A368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Приходи из националног буџета (РСД)</w:t>
            </w:r>
          </w:p>
        </w:tc>
        <w:tc>
          <w:tcPr>
            <w:tcW w:w="0" w:type="dxa"/>
          </w:tcPr>
          <w:p w14:paraId="2366CE36" w14:textId="77777777" w:rsidR="00DF61B3" w:rsidRPr="00D31210" w:rsidRDefault="00DF61B3" w:rsidP="001A3680">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Приходи из ИПА средстава и зајам Светске банке (ЕУР)</w:t>
            </w:r>
          </w:p>
        </w:tc>
      </w:tr>
      <w:tr w:rsidR="00DF61B3" w:rsidRPr="00DF61B3" w14:paraId="06147C89" w14:textId="77777777" w:rsidTr="00D31210">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0" w:type="dxa"/>
          </w:tcPr>
          <w:p w14:paraId="6C799CC9" w14:textId="77777777"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2011.</w:t>
            </w:r>
          </w:p>
        </w:tc>
        <w:tc>
          <w:tcPr>
            <w:tcW w:w="0" w:type="dxa"/>
          </w:tcPr>
          <w:p w14:paraId="1080ABC1" w14:textId="77777777" w:rsidR="00DF61B3" w:rsidRPr="00D31210" w:rsidRDefault="00DF61B3" w:rsidP="001A368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w:t>
            </w:r>
          </w:p>
        </w:tc>
        <w:tc>
          <w:tcPr>
            <w:tcW w:w="0" w:type="dxa"/>
            <w:vMerge w:val="restart"/>
          </w:tcPr>
          <w:p w14:paraId="3349D1C6" w14:textId="77777777" w:rsidR="00DF61B3" w:rsidRPr="00D31210" w:rsidRDefault="00DF61B3" w:rsidP="00DF61B3">
            <w:pPr>
              <w:pStyle w:val="ListParagraph"/>
              <w:numPr>
                <w:ilvl w:val="0"/>
                <w:numId w:val="11"/>
              </w:numPr>
              <w:tabs>
                <w:tab w:val="left" w:pos="254"/>
              </w:tabs>
              <w:ind w:left="-16" w:firstLine="16"/>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D31210">
              <w:rPr>
                <w:rFonts w:ascii="Times New Roman" w:hAnsi="Times New Roman" w:cs="Times New Roman"/>
                <w:b/>
                <w:bCs/>
                <w:sz w:val="20"/>
                <w:szCs w:val="20"/>
              </w:rPr>
              <w:t xml:space="preserve">7,1 </w:t>
            </w:r>
            <w:r w:rsidRPr="00D31210">
              <w:rPr>
                <w:rFonts w:ascii="Times New Roman" w:hAnsi="Times New Roman" w:cs="Times New Roman"/>
                <w:b/>
                <w:bCs/>
                <w:sz w:val="20"/>
                <w:szCs w:val="20"/>
                <w:lang w:val="sr-Cyrl-RS"/>
              </w:rPr>
              <w:t>мил. евра</w:t>
            </w:r>
            <w:r w:rsidRPr="00D31210">
              <w:rPr>
                <w:rFonts w:ascii="Times New Roman" w:hAnsi="Times New Roman" w:cs="Times New Roman"/>
                <w:sz w:val="20"/>
                <w:szCs w:val="20"/>
                <w:lang w:val="sr-Cyrl-RS"/>
              </w:rPr>
              <w:t xml:space="preserve"> (ИПА 2011 </w:t>
            </w:r>
            <w:r w:rsidRPr="00D31210">
              <w:rPr>
                <w:rFonts w:ascii="Times New Roman" w:hAnsi="Times New Roman" w:cs="Times New Roman"/>
                <w:i/>
                <w:sz w:val="20"/>
                <w:szCs w:val="20"/>
                <w:lang w:val="sr-Cyrl-RS"/>
              </w:rPr>
              <w:t>Пројекат подршке иновацијама</w:t>
            </w:r>
            <w:r w:rsidRPr="00D31210">
              <w:rPr>
                <w:rFonts w:ascii="Times New Roman" w:hAnsi="Times New Roman" w:cs="Times New Roman"/>
                <w:iCs/>
                <w:sz w:val="20"/>
                <w:szCs w:val="20"/>
                <w:lang w:val="sr-Cyrl-RS"/>
              </w:rPr>
              <w:t xml:space="preserve"> у Србији</w:t>
            </w:r>
            <w:r w:rsidRPr="00D31210">
              <w:rPr>
                <w:rFonts w:ascii="Times New Roman" w:hAnsi="Times New Roman" w:cs="Times New Roman"/>
                <w:sz w:val="20"/>
                <w:szCs w:val="20"/>
                <w:lang w:val="sr-Cyrl-RS"/>
              </w:rPr>
              <w:t>,</w:t>
            </w:r>
            <w:r w:rsidRPr="00D31210">
              <w:rPr>
                <w:rFonts w:ascii="Times New Roman" w:hAnsi="Times New Roman" w:cs="Times New Roman"/>
                <w:iCs/>
                <w:sz w:val="20"/>
                <w:szCs w:val="20"/>
                <w:lang w:val="sr-Cyrl-RS"/>
              </w:rPr>
              <w:t xml:space="preserve"> </w:t>
            </w:r>
            <w:r w:rsidRPr="00D31210">
              <w:rPr>
                <w:rFonts w:ascii="Times New Roman" w:hAnsi="Times New Roman" w:cs="Times New Roman"/>
                <w:sz w:val="20"/>
                <w:szCs w:val="20"/>
                <w:lang w:val="sr-Cyrl-RS"/>
              </w:rPr>
              <w:t xml:space="preserve">укупна вредност 8,4 милиона евра, </w:t>
            </w:r>
            <w:r w:rsidRPr="00D31210">
              <w:rPr>
                <w:rFonts w:ascii="Times New Roman" w:hAnsi="Times New Roman" w:cs="Times New Roman"/>
                <w:b/>
                <w:bCs/>
                <w:sz w:val="20"/>
                <w:szCs w:val="20"/>
                <w:lang w:val="sr-Cyrl-RS"/>
              </w:rPr>
              <w:t>2011-2015</w:t>
            </w:r>
            <w:r w:rsidRPr="00D31210">
              <w:rPr>
                <w:rFonts w:ascii="Times New Roman" w:hAnsi="Times New Roman" w:cs="Times New Roman"/>
                <w:sz w:val="20"/>
                <w:szCs w:val="20"/>
                <w:lang w:val="sr-Cyrl-RS"/>
              </w:rPr>
              <w:t>)</w:t>
            </w:r>
          </w:p>
          <w:p w14:paraId="3201576C" w14:textId="253970D0" w:rsidR="00DF61B3" w:rsidRPr="00D31210" w:rsidRDefault="00DF61B3" w:rsidP="00DF61B3">
            <w:pPr>
              <w:pStyle w:val="ListParagraph"/>
              <w:numPr>
                <w:ilvl w:val="0"/>
                <w:numId w:val="11"/>
              </w:numPr>
              <w:tabs>
                <w:tab w:val="left" w:pos="254"/>
              </w:tabs>
              <w:ind w:left="-16" w:firstLine="16"/>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D31210">
              <w:rPr>
                <w:rFonts w:ascii="Times New Roman" w:hAnsi="Times New Roman" w:cs="Times New Roman"/>
                <w:b/>
                <w:bCs/>
                <w:sz w:val="20"/>
                <w:szCs w:val="20"/>
                <w:lang w:val="sr-Cyrl-RS"/>
              </w:rPr>
              <w:t>3,4 мил. евра</w:t>
            </w:r>
            <w:r w:rsidRPr="00D31210">
              <w:rPr>
                <w:rFonts w:ascii="Times New Roman" w:hAnsi="Times New Roman" w:cs="Times New Roman"/>
                <w:sz w:val="20"/>
                <w:szCs w:val="20"/>
                <w:lang w:val="sr-Cyrl-RS"/>
              </w:rPr>
              <w:t xml:space="preserve"> (ИПА 2013 Директан грант </w:t>
            </w:r>
            <w:r>
              <w:rPr>
                <w:rFonts w:ascii="Times New Roman" w:hAnsi="Times New Roman" w:cs="Times New Roman"/>
                <w:sz w:val="20"/>
                <w:szCs w:val="20"/>
                <w:lang w:val="sr-Cyrl-RS"/>
              </w:rPr>
              <w:t xml:space="preserve">- </w:t>
            </w:r>
            <w:r w:rsidRPr="00D31210">
              <w:rPr>
                <w:rFonts w:ascii="Times New Roman" w:hAnsi="Times New Roman" w:cs="Times New Roman"/>
                <w:i/>
                <w:iCs/>
                <w:sz w:val="20"/>
                <w:szCs w:val="20"/>
                <w:lang w:val="sr-Cyrl-RS"/>
              </w:rPr>
              <w:t>Стварање свеобухватног система за истраживање и развој</w:t>
            </w:r>
            <w:r w:rsidRPr="00D31210">
              <w:rPr>
                <w:rFonts w:ascii="Times New Roman" w:hAnsi="Times New Roman" w:cs="Times New Roman"/>
                <w:sz w:val="20"/>
                <w:szCs w:val="20"/>
                <w:lang w:val="sr-Cyrl-RS"/>
              </w:rPr>
              <w:t xml:space="preserve">, 2,4 мил. евра из ЕУ и 1 мил. евра из буџета РС, </w:t>
            </w:r>
            <w:r w:rsidRPr="00D31210">
              <w:rPr>
                <w:rFonts w:ascii="Times New Roman" w:hAnsi="Times New Roman" w:cs="Times New Roman"/>
                <w:b/>
                <w:bCs/>
                <w:sz w:val="20"/>
                <w:szCs w:val="20"/>
                <w:lang w:val="sr-Cyrl-RS"/>
              </w:rPr>
              <w:t>2016-2019</w:t>
            </w:r>
            <w:r w:rsidRPr="00D31210">
              <w:rPr>
                <w:rFonts w:ascii="Times New Roman" w:hAnsi="Times New Roman" w:cs="Times New Roman"/>
                <w:sz w:val="20"/>
                <w:szCs w:val="20"/>
                <w:lang w:val="sr-Cyrl-RS"/>
              </w:rPr>
              <w:t>)</w:t>
            </w:r>
          </w:p>
          <w:p w14:paraId="78839070" w14:textId="77777777" w:rsidR="00DF61B3" w:rsidRPr="00D31210" w:rsidRDefault="00DF61B3" w:rsidP="00DF61B3">
            <w:pPr>
              <w:pStyle w:val="ListParagraph"/>
              <w:numPr>
                <w:ilvl w:val="0"/>
                <w:numId w:val="11"/>
              </w:numPr>
              <w:tabs>
                <w:tab w:val="left" w:pos="254"/>
              </w:tabs>
              <w:ind w:left="-16" w:firstLine="16"/>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D31210">
              <w:rPr>
                <w:rFonts w:ascii="Times New Roman" w:hAnsi="Times New Roman" w:cs="Times New Roman"/>
                <w:b/>
                <w:bCs/>
                <w:sz w:val="20"/>
                <w:szCs w:val="20"/>
                <w:lang w:val="sr-Cyrl-RS"/>
              </w:rPr>
              <w:t>1,4 мил. евра</w:t>
            </w:r>
            <w:r w:rsidRPr="00D31210">
              <w:rPr>
                <w:rFonts w:ascii="Times New Roman" w:hAnsi="Times New Roman" w:cs="Times New Roman"/>
                <w:sz w:val="20"/>
                <w:szCs w:val="20"/>
                <w:lang w:val="sr-Cyrl-RS"/>
              </w:rPr>
              <w:t xml:space="preserve"> (ИПА 2013 </w:t>
            </w:r>
            <w:r w:rsidRPr="00D31210">
              <w:rPr>
                <w:rFonts w:ascii="Times New Roman" w:hAnsi="Times New Roman" w:cs="Times New Roman"/>
                <w:i/>
                <w:iCs/>
                <w:sz w:val="20"/>
                <w:szCs w:val="20"/>
                <w:lang w:val="sr-Cyrl-RS"/>
              </w:rPr>
              <w:t>Пројекат подршке истраживању, иновацијама и трансферу технологија у Србији</w:t>
            </w:r>
            <w:r w:rsidRPr="00D31210">
              <w:rPr>
                <w:rFonts w:ascii="Times New Roman" w:hAnsi="Times New Roman" w:cs="Times New Roman"/>
                <w:sz w:val="20"/>
                <w:szCs w:val="20"/>
                <w:lang w:val="sr-Cyrl-RS"/>
              </w:rPr>
              <w:t xml:space="preserve">, укупна вредност пројекта 2,5 мил.евра, </w:t>
            </w:r>
            <w:r w:rsidRPr="00D31210">
              <w:rPr>
                <w:rFonts w:ascii="Times New Roman" w:hAnsi="Times New Roman" w:cs="Times New Roman"/>
                <w:b/>
                <w:bCs/>
                <w:sz w:val="20"/>
                <w:szCs w:val="20"/>
                <w:lang w:val="sr-Cyrl-RS"/>
              </w:rPr>
              <w:t>2016-2019</w:t>
            </w:r>
            <w:r w:rsidRPr="00D31210">
              <w:rPr>
                <w:rFonts w:ascii="Times New Roman" w:hAnsi="Times New Roman" w:cs="Times New Roman"/>
                <w:sz w:val="20"/>
                <w:szCs w:val="20"/>
                <w:lang w:val="sr-Cyrl-RS"/>
              </w:rPr>
              <w:t>)</w:t>
            </w:r>
          </w:p>
          <w:p w14:paraId="6A492075" w14:textId="77777777" w:rsidR="00DF61B3" w:rsidRPr="00D31210" w:rsidRDefault="00DF61B3" w:rsidP="00DF61B3">
            <w:pPr>
              <w:pStyle w:val="ListParagraph"/>
              <w:numPr>
                <w:ilvl w:val="0"/>
                <w:numId w:val="11"/>
              </w:numPr>
              <w:tabs>
                <w:tab w:val="left" w:pos="254"/>
              </w:tabs>
              <w:ind w:left="-16" w:firstLine="16"/>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D31210">
              <w:rPr>
                <w:rFonts w:ascii="Times New Roman" w:hAnsi="Times New Roman" w:cs="Times New Roman"/>
                <w:b/>
                <w:bCs/>
                <w:sz w:val="20"/>
                <w:szCs w:val="20"/>
                <w:lang w:val="sr-Cyrl-RS"/>
              </w:rPr>
              <w:t>4,5 мил.евра</w:t>
            </w:r>
            <w:r w:rsidRPr="00D31210">
              <w:rPr>
                <w:rFonts w:ascii="Times New Roman" w:hAnsi="Times New Roman" w:cs="Times New Roman"/>
                <w:sz w:val="20"/>
                <w:szCs w:val="20"/>
                <w:lang w:val="sr-Cyrl-RS"/>
              </w:rPr>
              <w:t xml:space="preserve"> (ИПА 2014 Директан грант - </w:t>
            </w:r>
            <w:r w:rsidRPr="00D31210">
              <w:rPr>
                <w:rFonts w:ascii="Times New Roman" w:hAnsi="Times New Roman" w:cs="Times New Roman"/>
                <w:i/>
                <w:iCs/>
                <w:sz w:val="20"/>
                <w:szCs w:val="20"/>
                <w:lang w:val="sr-Cyrl-RS"/>
              </w:rPr>
              <w:t>Развој нових производа и услуга од стране МСП кроз комерцијализацију истраживања</w:t>
            </w:r>
            <w:r w:rsidRPr="00D31210">
              <w:rPr>
                <w:rFonts w:ascii="Times New Roman" w:hAnsi="Times New Roman" w:cs="Times New Roman"/>
                <w:sz w:val="20"/>
                <w:szCs w:val="20"/>
                <w:lang w:val="sr-Cyrl-RS"/>
              </w:rPr>
              <w:t xml:space="preserve">, 2,5 мил. евра из ЕУ ИПА 2014 и 2 мил. евра из буџета РС, </w:t>
            </w:r>
            <w:r w:rsidRPr="00D31210">
              <w:rPr>
                <w:rFonts w:ascii="Times New Roman" w:hAnsi="Times New Roman" w:cs="Times New Roman"/>
                <w:b/>
                <w:bCs/>
                <w:sz w:val="20"/>
                <w:szCs w:val="20"/>
                <w:lang w:val="sr-Cyrl-RS"/>
              </w:rPr>
              <w:t>2018-2021</w:t>
            </w:r>
            <w:r w:rsidRPr="00D31210">
              <w:rPr>
                <w:rFonts w:ascii="Times New Roman" w:hAnsi="Times New Roman" w:cs="Times New Roman"/>
                <w:sz w:val="20"/>
                <w:szCs w:val="20"/>
                <w:lang w:val="sr-Cyrl-RS"/>
              </w:rPr>
              <w:t>)</w:t>
            </w:r>
          </w:p>
          <w:p w14:paraId="126F0771" w14:textId="77777777" w:rsidR="00DF61B3" w:rsidRPr="00D31210" w:rsidRDefault="00DF61B3" w:rsidP="00DF61B3">
            <w:pPr>
              <w:pStyle w:val="ListParagraph"/>
              <w:numPr>
                <w:ilvl w:val="0"/>
                <w:numId w:val="11"/>
              </w:numPr>
              <w:tabs>
                <w:tab w:val="left" w:pos="254"/>
              </w:tabs>
              <w:ind w:left="-16" w:firstLine="16"/>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lang w:val="sr-Cyrl-RS"/>
              </w:rPr>
            </w:pPr>
            <w:r w:rsidRPr="00D31210">
              <w:rPr>
                <w:rFonts w:ascii="Times New Roman" w:hAnsi="Times New Roman" w:cs="Times New Roman"/>
                <w:b/>
                <w:bCs/>
                <w:sz w:val="20"/>
                <w:szCs w:val="20"/>
                <w:lang w:val="sr-Cyrl-RS"/>
              </w:rPr>
              <w:t xml:space="preserve">7 мил. евра </w:t>
            </w:r>
            <w:r w:rsidRPr="00D31210">
              <w:rPr>
                <w:rFonts w:ascii="Times New Roman" w:hAnsi="Times New Roman" w:cs="Times New Roman"/>
                <w:sz w:val="20"/>
                <w:szCs w:val="20"/>
                <w:lang w:val="sr-Cyrl-RS"/>
              </w:rPr>
              <w:t xml:space="preserve">(зајам Светске банке за реализацију </w:t>
            </w:r>
            <w:r w:rsidRPr="00D31210">
              <w:rPr>
                <w:rFonts w:ascii="Times New Roman" w:hAnsi="Times New Roman" w:cs="Times New Roman"/>
                <w:i/>
                <w:iCs/>
                <w:sz w:val="20"/>
                <w:szCs w:val="20"/>
                <w:lang w:val="sr-Cyrl-RS"/>
              </w:rPr>
              <w:t>Пројекта акцелерације иновација и подстицања раста предузетништва</w:t>
            </w:r>
            <w:r w:rsidRPr="00D31210">
              <w:rPr>
                <w:rFonts w:ascii="Times New Roman" w:hAnsi="Times New Roman" w:cs="Times New Roman"/>
                <w:sz w:val="20"/>
                <w:szCs w:val="20"/>
                <w:lang w:val="sr-Cyrl-RS"/>
              </w:rPr>
              <w:t>)</w:t>
            </w:r>
          </w:p>
          <w:p w14:paraId="487D32D9" w14:textId="0A03395E" w:rsidR="00DF61B3" w:rsidRPr="00D31210" w:rsidRDefault="00DF61B3" w:rsidP="00DF61B3">
            <w:pPr>
              <w:pStyle w:val="ListParagraph"/>
              <w:numPr>
                <w:ilvl w:val="0"/>
                <w:numId w:val="11"/>
              </w:numPr>
              <w:tabs>
                <w:tab w:val="left" w:pos="254"/>
              </w:tabs>
              <w:ind w:left="-16" w:firstLine="16"/>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b/>
                <w:bCs/>
                <w:sz w:val="20"/>
                <w:szCs w:val="20"/>
                <w:lang w:val="sr-Cyrl-RS"/>
              </w:rPr>
              <w:t xml:space="preserve">20 мил. евра </w:t>
            </w:r>
            <w:r w:rsidRPr="00D31210">
              <w:rPr>
                <w:rFonts w:ascii="Times New Roman" w:hAnsi="Times New Roman" w:cs="Times New Roman"/>
                <w:sz w:val="20"/>
                <w:szCs w:val="20"/>
                <w:lang w:val="sr-Cyrl-RS"/>
              </w:rPr>
              <w:t xml:space="preserve">(ИПА 2018 Директан грант – </w:t>
            </w:r>
            <w:r w:rsidRPr="00D31210">
              <w:rPr>
                <w:rFonts w:ascii="Times New Roman" w:hAnsi="Times New Roman" w:cs="Times New Roman"/>
                <w:i/>
                <w:iCs/>
                <w:sz w:val="20"/>
                <w:szCs w:val="20"/>
                <w:lang w:val="sr-Cyrl-RS"/>
              </w:rPr>
              <w:t>Повећање иновационих капацитета и технолошке спремности МСП</w:t>
            </w:r>
            <w:r w:rsidRPr="00D31210">
              <w:rPr>
                <w:rFonts w:ascii="Times New Roman" w:hAnsi="Times New Roman" w:cs="Times New Roman"/>
                <w:sz w:val="20"/>
                <w:szCs w:val="20"/>
                <w:lang w:val="sr-Cyrl-RS"/>
              </w:rPr>
              <w:t xml:space="preserve">, 15 мил. евра из ЕУ и 5 мил. евра из буџета РС, </w:t>
            </w:r>
            <w:r w:rsidRPr="00D31210">
              <w:rPr>
                <w:rFonts w:ascii="Times New Roman" w:hAnsi="Times New Roman" w:cs="Times New Roman"/>
                <w:b/>
                <w:bCs/>
                <w:sz w:val="20"/>
                <w:szCs w:val="20"/>
                <w:lang w:val="sr-Cyrl-RS"/>
              </w:rPr>
              <w:t>2021-2025</w:t>
            </w:r>
            <w:r w:rsidRPr="00D31210">
              <w:rPr>
                <w:rFonts w:ascii="Times New Roman" w:hAnsi="Times New Roman" w:cs="Times New Roman"/>
                <w:sz w:val="20"/>
                <w:szCs w:val="20"/>
                <w:lang w:val="sr-Cyrl-RS"/>
              </w:rPr>
              <w:t>)</w:t>
            </w:r>
          </w:p>
        </w:tc>
      </w:tr>
      <w:tr w:rsidR="00DF61B3" w:rsidRPr="00DF61B3" w14:paraId="33CCCD58" w14:textId="77777777" w:rsidTr="00D31210">
        <w:trPr>
          <w:trHeight w:val="315"/>
        </w:trPr>
        <w:tc>
          <w:tcPr>
            <w:cnfStyle w:val="001000000000" w:firstRow="0" w:lastRow="0" w:firstColumn="1" w:lastColumn="0" w:oddVBand="0" w:evenVBand="0" w:oddHBand="0" w:evenHBand="0" w:firstRowFirstColumn="0" w:firstRowLastColumn="0" w:lastRowFirstColumn="0" w:lastRowLastColumn="0"/>
            <w:tcW w:w="0" w:type="dxa"/>
          </w:tcPr>
          <w:p w14:paraId="5AFA551B" w14:textId="77777777"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2012.</w:t>
            </w:r>
          </w:p>
        </w:tc>
        <w:tc>
          <w:tcPr>
            <w:tcW w:w="0" w:type="dxa"/>
          </w:tcPr>
          <w:p w14:paraId="509FD5A2" w14:textId="77777777" w:rsidR="00DF61B3" w:rsidRPr="00D31210" w:rsidRDefault="00DF61B3" w:rsidP="001A368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75.431.300</w:t>
            </w:r>
          </w:p>
        </w:tc>
        <w:tc>
          <w:tcPr>
            <w:tcW w:w="0" w:type="dxa"/>
            <w:vMerge/>
          </w:tcPr>
          <w:p w14:paraId="1ED3861D" w14:textId="77777777" w:rsidR="00DF61B3" w:rsidRPr="00D31210" w:rsidRDefault="00DF61B3" w:rsidP="001A368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p>
        </w:tc>
      </w:tr>
      <w:tr w:rsidR="00DF61B3" w:rsidRPr="00DF61B3" w14:paraId="01486D5A" w14:textId="77777777" w:rsidTr="00D31210">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0" w:type="dxa"/>
          </w:tcPr>
          <w:p w14:paraId="52EE7565" w14:textId="77777777"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2013.</w:t>
            </w:r>
          </w:p>
        </w:tc>
        <w:tc>
          <w:tcPr>
            <w:tcW w:w="0" w:type="dxa"/>
          </w:tcPr>
          <w:p w14:paraId="211A8806" w14:textId="77777777" w:rsidR="00DF61B3" w:rsidRPr="00D31210" w:rsidRDefault="00DF61B3" w:rsidP="001A368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75.213.300</w:t>
            </w:r>
          </w:p>
        </w:tc>
        <w:tc>
          <w:tcPr>
            <w:tcW w:w="0" w:type="dxa"/>
            <w:vMerge/>
          </w:tcPr>
          <w:p w14:paraId="11E109FA" w14:textId="77777777" w:rsidR="00DF61B3" w:rsidRPr="00D31210" w:rsidRDefault="00DF61B3" w:rsidP="001A368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p>
        </w:tc>
      </w:tr>
      <w:tr w:rsidR="00DF61B3" w:rsidRPr="00DF61B3" w14:paraId="5620AC5D" w14:textId="77777777" w:rsidTr="00D31210">
        <w:trPr>
          <w:trHeight w:val="309"/>
        </w:trPr>
        <w:tc>
          <w:tcPr>
            <w:cnfStyle w:val="001000000000" w:firstRow="0" w:lastRow="0" w:firstColumn="1" w:lastColumn="0" w:oddVBand="0" w:evenVBand="0" w:oddHBand="0" w:evenHBand="0" w:firstRowFirstColumn="0" w:firstRowLastColumn="0" w:lastRowFirstColumn="0" w:lastRowLastColumn="0"/>
            <w:tcW w:w="0" w:type="dxa"/>
          </w:tcPr>
          <w:p w14:paraId="5297CBA5" w14:textId="77777777"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2014.</w:t>
            </w:r>
          </w:p>
        </w:tc>
        <w:tc>
          <w:tcPr>
            <w:tcW w:w="0" w:type="dxa"/>
          </w:tcPr>
          <w:p w14:paraId="246C4A64" w14:textId="77777777" w:rsidR="00DF61B3" w:rsidRPr="00D31210" w:rsidRDefault="00DF61B3" w:rsidP="001A368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72.375.000</w:t>
            </w:r>
          </w:p>
        </w:tc>
        <w:tc>
          <w:tcPr>
            <w:tcW w:w="0" w:type="dxa"/>
            <w:vMerge/>
          </w:tcPr>
          <w:p w14:paraId="696EAE46" w14:textId="77777777" w:rsidR="00DF61B3" w:rsidRPr="00D31210" w:rsidRDefault="00DF61B3" w:rsidP="001A368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p>
        </w:tc>
      </w:tr>
      <w:tr w:rsidR="00DF61B3" w:rsidRPr="00DF61B3" w14:paraId="0B9B892B" w14:textId="77777777" w:rsidTr="00D31210">
        <w:trPr>
          <w:cnfStyle w:val="000000100000" w:firstRow="0" w:lastRow="0" w:firstColumn="0" w:lastColumn="0" w:oddVBand="0" w:evenVBand="0" w:oddHBand="1" w:evenHBand="0" w:firstRowFirstColumn="0" w:firstRowLastColumn="0" w:lastRowFirstColumn="0" w:lastRowLastColumn="0"/>
          <w:trHeight w:val="231"/>
        </w:trPr>
        <w:tc>
          <w:tcPr>
            <w:cnfStyle w:val="001000000000" w:firstRow="0" w:lastRow="0" w:firstColumn="1" w:lastColumn="0" w:oddVBand="0" w:evenVBand="0" w:oddHBand="0" w:evenHBand="0" w:firstRowFirstColumn="0" w:firstRowLastColumn="0" w:lastRowFirstColumn="0" w:lastRowLastColumn="0"/>
            <w:tcW w:w="0" w:type="dxa"/>
          </w:tcPr>
          <w:p w14:paraId="3E814C12" w14:textId="77777777"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2015.</w:t>
            </w:r>
          </w:p>
        </w:tc>
        <w:tc>
          <w:tcPr>
            <w:tcW w:w="0" w:type="dxa"/>
          </w:tcPr>
          <w:p w14:paraId="015011AE" w14:textId="77777777" w:rsidR="00DF61B3" w:rsidRPr="00D31210" w:rsidRDefault="00DF61B3" w:rsidP="001A368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65.000.000</w:t>
            </w:r>
          </w:p>
        </w:tc>
        <w:tc>
          <w:tcPr>
            <w:tcW w:w="0" w:type="dxa"/>
            <w:vMerge/>
          </w:tcPr>
          <w:p w14:paraId="77C2EA18" w14:textId="77777777" w:rsidR="00DF61B3" w:rsidRPr="00D31210" w:rsidRDefault="00DF61B3" w:rsidP="001A368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p>
        </w:tc>
      </w:tr>
      <w:tr w:rsidR="00DF61B3" w:rsidRPr="00DF61B3" w14:paraId="02339A39" w14:textId="77777777" w:rsidTr="00D31210">
        <w:trPr>
          <w:trHeight w:val="249"/>
        </w:trPr>
        <w:tc>
          <w:tcPr>
            <w:cnfStyle w:val="001000000000" w:firstRow="0" w:lastRow="0" w:firstColumn="1" w:lastColumn="0" w:oddVBand="0" w:evenVBand="0" w:oddHBand="0" w:evenHBand="0" w:firstRowFirstColumn="0" w:firstRowLastColumn="0" w:lastRowFirstColumn="0" w:lastRowLastColumn="0"/>
            <w:tcW w:w="0" w:type="dxa"/>
          </w:tcPr>
          <w:p w14:paraId="68E9EB98" w14:textId="77777777"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2016.</w:t>
            </w:r>
          </w:p>
        </w:tc>
        <w:tc>
          <w:tcPr>
            <w:tcW w:w="0" w:type="dxa"/>
          </w:tcPr>
          <w:p w14:paraId="7100102A" w14:textId="77777777" w:rsidR="00DF61B3" w:rsidRPr="00D31210" w:rsidRDefault="00DF61B3" w:rsidP="001A368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68.670.000</w:t>
            </w:r>
          </w:p>
        </w:tc>
        <w:tc>
          <w:tcPr>
            <w:tcW w:w="0" w:type="dxa"/>
            <w:vMerge/>
          </w:tcPr>
          <w:p w14:paraId="2A791551" w14:textId="77777777" w:rsidR="00DF61B3" w:rsidRPr="00D31210" w:rsidRDefault="00DF61B3" w:rsidP="001A368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p>
        </w:tc>
      </w:tr>
      <w:tr w:rsidR="00DF61B3" w:rsidRPr="00DF61B3" w14:paraId="192AEA96" w14:textId="77777777" w:rsidTr="00D31210">
        <w:trPr>
          <w:cnfStyle w:val="000000100000" w:firstRow="0" w:lastRow="0" w:firstColumn="0" w:lastColumn="0" w:oddVBand="0" w:evenVBand="0" w:oddHBand="1" w:evenHBand="0" w:firstRowFirstColumn="0" w:firstRowLastColumn="0" w:lastRowFirstColumn="0" w:lastRowLastColumn="0"/>
          <w:trHeight w:val="257"/>
        </w:trPr>
        <w:tc>
          <w:tcPr>
            <w:cnfStyle w:val="001000000000" w:firstRow="0" w:lastRow="0" w:firstColumn="1" w:lastColumn="0" w:oddVBand="0" w:evenVBand="0" w:oddHBand="0" w:evenHBand="0" w:firstRowFirstColumn="0" w:firstRowLastColumn="0" w:lastRowFirstColumn="0" w:lastRowLastColumn="0"/>
            <w:tcW w:w="0" w:type="dxa"/>
          </w:tcPr>
          <w:p w14:paraId="10B02F5D" w14:textId="05A747EE"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2017.</w:t>
            </w:r>
            <w:r w:rsidR="00A14FB6">
              <w:rPr>
                <w:rFonts w:ascii="Times New Roman" w:hAnsi="Times New Roman" w:cs="Times New Roman"/>
                <w:lang w:val="sr-Cyrl-RS"/>
              </w:rPr>
              <w:t>*</w:t>
            </w:r>
          </w:p>
        </w:tc>
        <w:tc>
          <w:tcPr>
            <w:tcW w:w="0" w:type="dxa"/>
          </w:tcPr>
          <w:p w14:paraId="5215AE2C" w14:textId="77777777" w:rsidR="00DF61B3" w:rsidRPr="00D31210" w:rsidRDefault="00DF61B3" w:rsidP="001A368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537.000.000</w:t>
            </w:r>
          </w:p>
        </w:tc>
        <w:tc>
          <w:tcPr>
            <w:tcW w:w="0" w:type="dxa"/>
            <w:vMerge/>
          </w:tcPr>
          <w:p w14:paraId="24C79EFC" w14:textId="77777777" w:rsidR="00DF61B3" w:rsidRPr="00D31210" w:rsidRDefault="00DF61B3" w:rsidP="001A368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p>
        </w:tc>
      </w:tr>
      <w:tr w:rsidR="00DF61B3" w:rsidRPr="00DF61B3" w14:paraId="4EB87062" w14:textId="77777777" w:rsidTr="00D31210">
        <w:trPr>
          <w:trHeight w:val="335"/>
        </w:trPr>
        <w:tc>
          <w:tcPr>
            <w:cnfStyle w:val="001000000000" w:firstRow="0" w:lastRow="0" w:firstColumn="1" w:lastColumn="0" w:oddVBand="0" w:evenVBand="0" w:oddHBand="0" w:evenHBand="0" w:firstRowFirstColumn="0" w:firstRowLastColumn="0" w:lastRowFirstColumn="0" w:lastRowLastColumn="0"/>
            <w:tcW w:w="0" w:type="dxa"/>
          </w:tcPr>
          <w:p w14:paraId="1E764972" w14:textId="7D7F19B9"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2018.</w:t>
            </w:r>
            <w:r w:rsidR="00A14FB6">
              <w:rPr>
                <w:rFonts w:ascii="Times New Roman" w:hAnsi="Times New Roman" w:cs="Times New Roman"/>
                <w:lang w:val="sr-Cyrl-RS"/>
              </w:rPr>
              <w:t>*</w:t>
            </w:r>
          </w:p>
        </w:tc>
        <w:tc>
          <w:tcPr>
            <w:tcW w:w="0" w:type="dxa"/>
          </w:tcPr>
          <w:p w14:paraId="3AEC62CC" w14:textId="77777777" w:rsidR="00DF61B3" w:rsidRPr="00D31210" w:rsidRDefault="00DF61B3" w:rsidP="001A368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964.046.000</w:t>
            </w:r>
          </w:p>
        </w:tc>
        <w:tc>
          <w:tcPr>
            <w:tcW w:w="0" w:type="dxa"/>
            <w:vMerge/>
          </w:tcPr>
          <w:p w14:paraId="1996F16C" w14:textId="77777777" w:rsidR="00DF61B3" w:rsidRPr="00D31210" w:rsidRDefault="00DF61B3" w:rsidP="001A368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p>
        </w:tc>
      </w:tr>
      <w:tr w:rsidR="00DF61B3" w:rsidRPr="00DF61B3" w14:paraId="37414E9B" w14:textId="77777777" w:rsidTr="00D31210">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0" w:type="dxa"/>
          </w:tcPr>
          <w:p w14:paraId="14BC49A1" w14:textId="100ACB1E"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2019.</w:t>
            </w:r>
            <w:r w:rsidR="00A14FB6">
              <w:rPr>
                <w:rFonts w:ascii="Times New Roman" w:hAnsi="Times New Roman" w:cs="Times New Roman"/>
                <w:lang w:val="sr-Cyrl-RS"/>
              </w:rPr>
              <w:t>*</w:t>
            </w:r>
          </w:p>
        </w:tc>
        <w:tc>
          <w:tcPr>
            <w:tcW w:w="0" w:type="dxa"/>
          </w:tcPr>
          <w:p w14:paraId="166159CB" w14:textId="77777777" w:rsidR="00DF61B3" w:rsidRPr="00D31210" w:rsidRDefault="00DF61B3" w:rsidP="001A368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1.092.000.000</w:t>
            </w:r>
          </w:p>
        </w:tc>
        <w:tc>
          <w:tcPr>
            <w:tcW w:w="0" w:type="dxa"/>
            <w:vMerge/>
          </w:tcPr>
          <w:p w14:paraId="2FBE6BFB" w14:textId="77777777" w:rsidR="00DF61B3" w:rsidRPr="00D31210" w:rsidRDefault="00DF61B3" w:rsidP="001A368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p>
        </w:tc>
      </w:tr>
      <w:tr w:rsidR="00DF61B3" w:rsidRPr="00DF61B3" w14:paraId="49D4AA11" w14:textId="77777777" w:rsidTr="00D31210">
        <w:trPr>
          <w:trHeight w:val="363"/>
        </w:trPr>
        <w:tc>
          <w:tcPr>
            <w:cnfStyle w:val="001000000000" w:firstRow="0" w:lastRow="0" w:firstColumn="1" w:lastColumn="0" w:oddVBand="0" w:evenVBand="0" w:oddHBand="0" w:evenHBand="0" w:firstRowFirstColumn="0" w:firstRowLastColumn="0" w:lastRowFirstColumn="0" w:lastRowLastColumn="0"/>
            <w:tcW w:w="0" w:type="dxa"/>
          </w:tcPr>
          <w:p w14:paraId="5F7162A7" w14:textId="091EE996" w:rsidR="00DF61B3" w:rsidRPr="00D31210" w:rsidRDefault="00DF61B3" w:rsidP="001A3680">
            <w:pPr>
              <w:rPr>
                <w:rFonts w:ascii="Times New Roman" w:hAnsi="Times New Roman" w:cs="Times New Roman"/>
                <w:lang w:val="sr-Cyrl-RS"/>
              </w:rPr>
            </w:pPr>
            <w:r w:rsidRPr="00D31210">
              <w:rPr>
                <w:rFonts w:ascii="Times New Roman" w:hAnsi="Times New Roman" w:cs="Times New Roman"/>
                <w:lang w:val="sr-Cyrl-RS"/>
              </w:rPr>
              <w:t>2020.</w:t>
            </w:r>
            <w:r w:rsidR="00A14FB6">
              <w:rPr>
                <w:rFonts w:ascii="Times New Roman" w:hAnsi="Times New Roman" w:cs="Times New Roman"/>
                <w:lang w:val="sr-Cyrl-RS"/>
              </w:rPr>
              <w:t>*</w:t>
            </w:r>
          </w:p>
        </w:tc>
        <w:tc>
          <w:tcPr>
            <w:tcW w:w="0" w:type="dxa"/>
          </w:tcPr>
          <w:p w14:paraId="1BE29269" w14:textId="77777777" w:rsidR="00DF61B3" w:rsidRPr="00D31210" w:rsidRDefault="00DF61B3" w:rsidP="001A3680">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r w:rsidRPr="00D31210">
              <w:rPr>
                <w:rFonts w:ascii="Times New Roman" w:hAnsi="Times New Roman" w:cs="Times New Roman"/>
                <w:lang w:val="sr-Cyrl-RS"/>
              </w:rPr>
              <w:t>1.160.000.000</w:t>
            </w:r>
          </w:p>
        </w:tc>
        <w:tc>
          <w:tcPr>
            <w:tcW w:w="0" w:type="dxa"/>
            <w:vMerge/>
          </w:tcPr>
          <w:p w14:paraId="5E1795A4" w14:textId="77777777" w:rsidR="00DF61B3" w:rsidRPr="00D31210" w:rsidRDefault="00DF61B3" w:rsidP="001A368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lang w:val="sr-Cyrl-RS"/>
              </w:rPr>
            </w:pPr>
          </w:p>
        </w:tc>
      </w:tr>
      <w:tr w:rsidR="00DF61B3" w:rsidRPr="00DF61B3" w14:paraId="27E4045A" w14:textId="77777777" w:rsidTr="00D31210">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0" w:type="dxa"/>
          </w:tcPr>
          <w:p w14:paraId="23E770A4" w14:textId="324B01B8" w:rsidR="00DF61B3" w:rsidRPr="00DF61B3" w:rsidRDefault="00DF61B3" w:rsidP="001A3680">
            <w:pPr>
              <w:rPr>
                <w:rFonts w:ascii="Times New Roman" w:hAnsi="Times New Roman" w:cs="Times New Roman"/>
                <w:lang w:val="sr-Cyrl-RS"/>
              </w:rPr>
            </w:pPr>
            <w:r>
              <w:rPr>
                <w:rFonts w:ascii="Times New Roman" w:hAnsi="Times New Roman" w:cs="Times New Roman"/>
                <w:lang w:val="sr-Cyrl-RS"/>
              </w:rPr>
              <w:t>2021.</w:t>
            </w:r>
          </w:p>
        </w:tc>
        <w:tc>
          <w:tcPr>
            <w:tcW w:w="0" w:type="dxa"/>
          </w:tcPr>
          <w:p w14:paraId="00D91016" w14:textId="2E6C8D83" w:rsidR="00DF61B3" w:rsidRPr="00DF61B3" w:rsidRDefault="00DF61B3" w:rsidP="001A3680">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r>
              <w:rPr>
                <w:rFonts w:ascii="Times New Roman" w:hAnsi="Times New Roman" w:cs="Times New Roman"/>
                <w:lang w:val="sr-Cyrl-RS"/>
              </w:rPr>
              <w:t>1.260.000.000</w:t>
            </w:r>
          </w:p>
        </w:tc>
        <w:tc>
          <w:tcPr>
            <w:tcW w:w="0" w:type="dxa"/>
            <w:vMerge/>
          </w:tcPr>
          <w:p w14:paraId="224ABA91" w14:textId="77777777" w:rsidR="00DF61B3" w:rsidRPr="00DF61B3" w:rsidRDefault="00DF61B3" w:rsidP="001A368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sr-Cyrl-RS"/>
              </w:rPr>
            </w:pPr>
          </w:p>
        </w:tc>
      </w:tr>
    </w:tbl>
    <w:p w14:paraId="0E9017AB" w14:textId="42CBBD54" w:rsidR="00A14FB6" w:rsidRPr="008B15A7" w:rsidRDefault="00A14FB6" w:rsidP="008B15A7">
      <w:pPr>
        <w:jc w:val="both"/>
        <w:rPr>
          <w:rFonts w:ascii="Times New Roman" w:hAnsi="Times New Roman" w:cs="Times New Roman"/>
          <w:lang w:val="sr-Cyrl-RS"/>
        </w:rPr>
      </w:pPr>
      <w:r w:rsidRPr="00D31210">
        <w:rPr>
          <w:rFonts w:ascii="Times New Roman" w:hAnsi="Times New Roman" w:cs="Times New Roman"/>
          <w:lang w:val="sr-Cyrl-RS"/>
        </w:rPr>
        <w:t>* Средства из националног буџета обезбеђена су</w:t>
      </w:r>
      <w:r>
        <w:rPr>
          <w:rFonts w:ascii="Times New Roman" w:hAnsi="Times New Roman" w:cs="Times New Roman"/>
          <w:lang w:val="sr-Cyrl-RS"/>
        </w:rPr>
        <w:t xml:space="preserve"> по основу Пројекта </w:t>
      </w:r>
      <w:r w:rsidRPr="00A14FB6">
        <w:rPr>
          <w:rFonts w:ascii="Times New Roman" w:hAnsi="Times New Roman" w:cs="Times New Roman"/>
          <w:lang w:val="sr-Cyrl-RS"/>
        </w:rPr>
        <w:t>за унапређење конкурентности и запошљавања</w:t>
      </w:r>
      <w:r>
        <w:rPr>
          <w:rFonts w:ascii="Times New Roman" w:hAnsi="Times New Roman" w:cs="Times New Roman"/>
          <w:lang w:val="sr-Cyrl-RS"/>
        </w:rPr>
        <w:t xml:space="preserve">, за који је потписан Споразум о зајму између Републике Србије и Међународне банке за обнову и развој, којим је предвиђен минимални износ који је потребно да се определи за рад Фонда за иновациону делатност. </w:t>
      </w:r>
    </w:p>
    <w:p w14:paraId="2478B31B" w14:textId="5762D19B" w:rsidR="00DF61B3" w:rsidRPr="008B15A7" w:rsidRDefault="00B1456D" w:rsidP="008B15A7">
      <w:pPr>
        <w:ind w:firstLine="720"/>
        <w:jc w:val="both"/>
        <w:rPr>
          <w:rFonts w:ascii="Times New Roman" w:hAnsi="Times New Roman" w:cs="Times New Roman"/>
          <w:sz w:val="24"/>
          <w:szCs w:val="24"/>
          <w:lang w:val="sr-Cyrl-RS"/>
        </w:rPr>
      </w:pPr>
      <w:r w:rsidRPr="00F550F7">
        <w:rPr>
          <w:rFonts w:ascii="Times New Roman" w:hAnsi="Times New Roman" w:cs="Times New Roman"/>
          <w:sz w:val="24"/>
          <w:szCs w:val="24"/>
        </w:rPr>
        <w:t>Сва средства, из свих расположивих извора финансирања, кроз програме се додељују транспарентно, објективно и непристрасно, уз примену принципа објективности и одговорности, међународно признатих стандарда добре праксе и јавности у раду и доношењу одлука.</w:t>
      </w:r>
      <w:r w:rsidR="00342F9E">
        <w:rPr>
          <w:rFonts w:ascii="Times New Roman" w:hAnsi="Times New Roman" w:cs="Times New Roman"/>
          <w:sz w:val="24"/>
          <w:szCs w:val="24"/>
          <w:lang w:val="sr-Cyrl-RS"/>
        </w:rPr>
        <w:t xml:space="preserve"> Критеријуми за доделу средстава детаљно су описани у приручницима за реализацију програма, као и у смерницама за процену пројеката, за сваки програм поједначно, а који су доступни на интернет страници Фонда за иновациону делатност. Начелно, критеријуми се односе на квалификацију менаџмента и кључног особља за реализацију пројекта, иновативности производа/услуге/технологија, тржишне потражње и потецијала за комерцијализацију, потенцијала за остваривање прихода, коришћења средстава и адекватности буџета пројекта. За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оцењивање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предлога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пројеката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и</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доношење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одлуке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о</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финансирању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оквиру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Програма раног развоја, Програма суфинансирања иновација, Програма сарадње науке и привреде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Фонд</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је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увео</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институцију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Експертске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комисије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састављена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од</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независних</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професионалаца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из</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приватног</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сектора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чиме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осигурава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да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додељене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субвенције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заслужне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Чланови</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Експертске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комисије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бирају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транспарентно</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спровођењем</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компететивног</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поступка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Рад</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Експертске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комисије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потпомогнута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је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и</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радом</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стручних</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рецензената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који</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за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сваки</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пројекат</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који</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испуњава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административне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услове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припремају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стручну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техничку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процену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сваки</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пројекат</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обрађују</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два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рецензента</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из</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области</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из</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које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је</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поднети</w:t>
      </w:r>
      <w:r w:rsidR="00342F9E" w:rsidRPr="00342F9E">
        <w:rPr>
          <w:rFonts w:ascii="Times New Roman" w:hAnsi="Times New Roman" w:cs="Times New Roman"/>
          <w:sz w:val="24"/>
          <w:szCs w:val="24"/>
          <w:lang w:val="sr-Cyrl-RS"/>
        </w:rPr>
        <w:t xml:space="preserve"> </w:t>
      </w:r>
      <w:r w:rsidR="00342F9E">
        <w:rPr>
          <w:rFonts w:ascii="Times New Roman" w:hAnsi="Times New Roman" w:cs="Times New Roman"/>
          <w:sz w:val="24"/>
          <w:szCs w:val="24"/>
          <w:lang w:val="sr-Cyrl-RS"/>
        </w:rPr>
        <w:t>пројекат</w:t>
      </w:r>
      <w:r w:rsidR="00342F9E" w:rsidRPr="00342F9E">
        <w:rPr>
          <w:rFonts w:ascii="Times New Roman" w:hAnsi="Times New Roman" w:cs="Times New Roman"/>
          <w:sz w:val="24"/>
          <w:szCs w:val="24"/>
          <w:lang w:val="sr-Cyrl-RS"/>
        </w:rPr>
        <w:t>).</w:t>
      </w:r>
    </w:p>
    <w:p w14:paraId="288F7CAD" w14:textId="3A2A97D4" w:rsidR="00DF61B3" w:rsidRDefault="00DF61B3" w:rsidP="00DF61B3">
      <w:pPr>
        <w:ind w:firstLine="720"/>
        <w:jc w:val="both"/>
        <w:rPr>
          <w:rFonts w:ascii="Times New Roman" w:hAnsi="Times New Roman" w:cs="Times New Roman"/>
          <w:sz w:val="24"/>
          <w:szCs w:val="24"/>
        </w:rPr>
      </w:pPr>
      <w:r w:rsidRPr="00F550F7">
        <w:rPr>
          <w:rFonts w:ascii="Times New Roman" w:hAnsi="Times New Roman" w:cs="Times New Roman"/>
          <w:sz w:val="24"/>
          <w:szCs w:val="24"/>
        </w:rPr>
        <w:t>Досадашњи програми Фонда за иновациону делатност су: Програм раног развоја, Програм суфинансирања иновација, Програм сарадње науке и привреде, Програм трансфера технологије, Иновациони ваучери</w:t>
      </w:r>
      <w:r>
        <w:rPr>
          <w:rFonts w:ascii="Times New Roman" w:hAnsi="Times New Roman" w:cs="Times New Roman"/>
          <w:sz w:val="24"/>
          <w:szCs w:val="24"/>
          <w:lang w:val="sr-Cyrl-RS"/>
        </w:rPr>
        <w:t xml:space="preserve"> и </w:t>
      </w:r>
      <w:r w:rsidRPr="00F550F7">
        <w:rPr>
          <w:rFonts w:ascii="Times New Roman" w:hAnsi="Times New Roman" w:cs="Times New Roman"/>
          <w:sz w:val="24"/>
          <w:szCs w:val="24"/>
        </w:rPr>
        <w:t xml:space="preserve">Програм акцелерације </w:t>
      </w:r>
      <w:r>
        <w:rPr>
          <w:rFonts w:ascii="Times New Roman" w:hAnsi="Times New Roman" w:cs="Times New Roman"/>
          <w:sz w:val="24"/>
          <w:szCs w:val="24"/>
          <w:lang w:val="sr-Cyrl-RS"/>
        </w:rPr>
        <w:t>„Катапулт</w:t>
      </w:r>
      <w:r w:rsidR="00034C2E">
        <w:rPr>
          <w:rFonts w:ascii="Times New Roman" w:hAnsi="Times New Roman" w:cs="Times New Roman"/>
          <w:sz w:val="24"/>
          <w:szCs w:val="24"/>
        </w:rPr>
        <w:t>”</w:t>
      </w:r>
      <w:r w:rsidRPr="00F550F7">
        <w:rPr>
          <w:rFonts w:ascii="Times New Roman" w:hAnsi="Times New Roman" w:cs="Times New Roman"/>
          <w:sz w:val="24"/>
          <w:szCs w:val="24"/>
        </w:rPr>
        <w:t xml:space="preserve">. </w:t>
      </w:r>
    </w:p>
    <w:p w14:paraId="23AED04B" w14:textId="77777777" w:rsidR="00DF61B3" w:rsidRPr="00F550F7" w:rsidRDefault="00DF61B3" w:rsidP="00DF61B3">
      <w:pPr>
        <w:ind w:firstLine="720"/>
        <w:jc w:val="both"/>
        <w:rPr>
          <w:rFonts w:ascii="Times New Roman" w:hAnsi="Times New Roman" w:cs="Times New Roman"/>
          <w:sz w:val="24"/>
          <w:szCs w:val="24"/>
        </w:rPr>
      </w:pPr>
    </w:p>
    <w:p w14:paraId="04797FC0" w14:textId="0926B98A" w:rsidR="00DF61B3" w:rsidRPr="00F550F7" w:rsidRDefault="00034C2E" w:rsidP="00DF61B3">
      <w:pPr>
        <w:ind w:firstLine="720"/>
        <w:jc w:val="center"/>
        <w:rPr>
          <w:rFonts w:ascii="Times New Roman" w:hAnsi="Times New Roman" w:cs="Times New Roman"/>
          <w:sz w:val="24"/>
          <w:szCs w:val="24"/>
        </w:rPr>
      </w:pPr>
      <w:r>
        <w:rPr>
          <w:rFonts w:ascii="Times New Roman" w:hAnsi="Times New Roman" w:cs="Times New Roman"/>
          <w:sz w:val="24"/>
          <w:szCs w:val="24"/>
        </w:rPr>
        <w:t>Табела 3</w:t>
      </w:r>
      <w:r w:rsidR="00DF61B3">
        <w:rPr>
          <w:rFonts w:ascii="Times New Roman" w:hAnsi="Times New Roman" w:cs="Times New Roman"/>
          <w:sz w:val="24"/>
          <w:szCs w:val="24"/>
        </w:rPr>
        <w:t>: Програми Фонда за иновациону делатност</w:t>
      </w:r>
    </w:p>
    <w:tbl>
      <w:tblPr>
        <w:tblStyle w:val="GridTable4-Accent61"/>
        <w:tblW w:w="9375" w:type="dxa"/>
        <w:tblLayout w:type="fixed"/>
        <w:tblLook w:val="0420" w:firstRow="1" w:lastRow="0" w:firstColumn="0" w:lastColumn="0" w:noHBand="0" w:noVBand="1"/>
      </w:tblPr>
      <w:tblGrid>
        <w:gridCol w:w="1641"/>
        <w:gridCol w:w="1641"/>
        <w:gridCol w:w="2498"/>
        <w:gridCol w:w="3595"/>
      </w:tblGrid>
      <w:tr w:rsidR="00DF61B3" w:rsidRPr="00F550F7" w14:paraId="1FC5E4F0" w14:textId="77777777" w:rsidTr="00F75719">
        <w:trPr>
          <w:cnfStyle w:val="100000000000" w:firstRow="1" w:lastRow="0" w:firstColumn="0" w:lastColumn="0" w:oddVBand="0" w:evenVBand="0" w:oddHBand="0" w:evenHBand="0" w:firstRowFirstColumn="0" w:firstRowLastColumn="0" w:lastRowFirstColumn="0" w:lastRowLastColumn="0"/>
          <w:trHeight w:val="559"/>
        </w:trPr>
        <w:tc>
          <w:tcPr>
            <w:tcW w:w="3282" w:type="dxa"/>
            <w:gridSpan w:val="2"/>
            <w:vAlign w:val="center"/>
            <w:hideMark/>
          </w:tcPr>
          <w:p w14:paraId="4426AC8F" w14:textId="77777777" w:rsidR="00DF61B3" w:rsidRPr="00F75719" w:rsidRDefault="00DF61B3" w:rsidP="00F75719">
            <w:pPr>
              <w:spacing w:after="160" w:line="259" w:lineRule="auto"/>
              <w:jc w:val="center"/>
              <w:rPr>
                <w:rFonts w:ascii="Times New Roman" w:hAnsi="Times New Roman" w:cs="Times New Roman"/>
                <w:sz w:val="24"/>
                <w:szCs w:val="24"/>
              </w:rPr>
            </w:pPr>
            <w:r w:rsidRPr="00F75719">
              <w:rPr>
                <w:rFonts w:ascii="Times New Roman" w:hAnsi="Times New Roman" w:cs="Times New Roman"/>
                <w:sz w:val="24"/>
                <w:szCs w:val="24"/>
              </w:rPr>
              <w:t>НАЗИВ ПРОГРАМА</w:t>
            </w:r>
          </w:p>
        </w:tc>
        <w:tc>
          <w:tcPr>
            <w:tcW w:w="2498" w:type="dxa"/>
            <w:vAlign w:val="center"/>
            <w:hideMark/>
          </w:tcPr>
          <w:p w14:paraId="1AB6D28D" w14:textId="77777777" w:rsidR="00DF61B3" w:rsidRPr="00F75719" w:rsidRDefault="00DF61B3" w:rsidP="00F75719">
            <w:pPr>
              <w:spacing w:after="160" w:line="259" w:lineRule="auto"/>
              <w:jc w:val="center"/>
              <w:rPr>
                <w:rFonts w:ascii="Times New Roman" w:hAnsi="Times New Roman" w:cs="Times New Roman"/>
                <w:sz w:val="24"/>
                <w:szCs w:val="24"/>
              </w:rPr>
            </w:pPr>
            <w:r w:rsidRPr="00F75719">
              <w:rPr>
                <w:rFonts w:ascii="Times New Roman" w:hAnsi="Times New Roman" w:cs="Times New Roman"/>
                <w:sz w:val="24"/>
                <w:szCs w:val="24"/>
              </w:rPr>
              <w:t>ЦИЉНА ГРУПА</w:t>
            </w:r>
          </w:p>
        </w:tc>
        <w:tc>
          <w:tcPr>
            <w:tcW w:w="3595" w:type="dxa"/>
            <w:vAlign w:val="center"/>
            <w:hideMark/>
          </w:tcPr>
          <w:p w14:paraId="72B83493" w14:textId="77777777" w:rsidR="00DF61B3" w:rsidRPr="00F75719" w:rsidRDefault="00DF61B3" w:rsidP="00F75719">
            <w:pPr>
              <w:spacing w:after="160" w:line="259" w:lineRule="auto"/>
              <w:jc w:val="center"/>
              <w:rPr>
                <w:rFonts w:ascii="Times New Roman" w:hAnsi="Times New Roman" w:cs="Times New Roman"/>
                <w:sz w:val="24"/>
                <w:szCs w:val="24"/>
              </w:rPr>
            </w:pPr>
            <w:r w:rsidRPr="00F75719">
              <w:rPr>
                <w:rFonts w:ascii="Times New Roman" w:hAnsi="Times New Roman" w:cs="Times New Roman"/>
                <w:sz w:val="24"/>
                <w:szCs w:val="24"/>
              </w:rPr>
              <w:t>ВИСИНА СРЕДСТАВА</w:t>
            </w:r>
          </w:p>
        </w:tc>
      </w:tr>
      <w:tr w:rsidR="00DF61B3" w:rsidRPr="00F550F7" w14:paraId="3442C5CF" w14:textId="77777777" w:rsidTr="001A3680">
        <w:trPr>
          <w:cnfStyle w:val="000000100000" w:firstRow="0" w:lastRow="0" w:firstColumn="0" w:lastColumn="0" w:oddVBand="0" w:evenVBand="0" w:oddHBand="1" w:evenHBand="0" w:firstRowFirstColumn="0" w:firstRowLastColumn="0" w:lastRowFirstColumn="0" w:lastRowLastColumn="0"/>
          <w:trHeight w:val="643"/>
        </w:trPr>
        <w:tc>
          <w:tcPr>
            <w:tcW w:w="3282" w:type="dxa"/>
            <w:gridSpan w:val="2"/>
            <w:hideMark/>
          </w:tcPr>
          <w:p w14:paraId="05EC96A5" w14:textId="77777777" w:rsidR="00DF61B3" w:rsidRPr="0059557C" w:rsidRDefault="00034C2E" w:rsidP="001A3680">
            <w:pPr>
              <w:spacing w:after="160" w:line="259" w:lineRule="auto"/>
              <w:jc w:val="center"/>
              <w:rPr>
                <w:rFonts w:ascii="Times New Roman" w:hAnsi="Times New Roman" w:cs="Times New Roman"/>
                <w:b/>
                <w:sz w:val="24"/>
                <w:szCs w:val="24"/>
              </w:rPr>
            </w:pPr>
            <w:hyperlink r:id="rId14" w:history="1">
              <w:r w:rsidR="00DF61B3" w:rsidRPr="00C9529E">
                <w:rPr>
                  <w:rFonts w:ascii="Times New Roman" w:hAnsi="Times New Roman" w:cs="Times New Roman"/>
                  <w:b/>
                  <w:sz w:val="24"/>
                  <w:szCs w:val="24"/>
                </w:rPr>
                <w:t>Програм раног развоја</w:t>
              </w:r>
            </w:hyperlink>
          </w:p>
        </w:tc>
        <w:tc>
          <w:tcPr>
            <w:tcW w:w="2498" w:type="dxa"/>
            <w:hideMark/>
          </w:tcPr>
          <w:p w14:paraId="605BE80B"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 xml:space="preserve">Микро и мала предузећа до 5 године пословања </w:t>
            </w:r>
            <w:r>
              <w:rPr>
                <w:rFonts w:ascii="Times New Roman" w:hAnsi="Times New Roman" w:cs="Times New Roman"/>
                <w:sz w:val="24"/>
                <w:szCs w:val="24"/>
                <w:lang w:val="sr-Cyrl-RS"/>
              </w:rPr>
              <w:t>и тимови</w:t>
            </w:r>
            <w:r w:rsidRPr="00F550F7">
              <w:rPr>
                <w:rFonts w:ascii="Times New Roman" w:hAnsi="Times New Roman" w:cs="Times New Roman"/>
                <w:sz w:val="24"/>
                <w:szCs w:val="24"/>
              </w:rPr>
              <w:t xml:space="preserve"> </w:t>
            </w:r>
          </w:p>
        </w:tc>
        <w:tc>
          <w:tcPr>
            <w:tcW w:w="3595" w:type="dxa"/>
            <w:hideMark/>
          </w:tcPr>
          <w:p w14:paraId="40E1DF5D"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 xml:space="preserve">До 80.000 евра/ до 70% вредности пројекта кофинансирање од стране Фонда </w:t>
            </w:r>
          </w:p>
        </w:tc>
      </w:tr>
      <w:tr w:rsidR="00DF61B3" w:rsidRPr="00F550F7" w14:paraId="34053A36" w14:textId="77777777" w:rsidTr="001A3680">
        <w:trPr>
          <w:trHeight w:val="779"/>
        </w:trPr>
        <w:tc>
          <w:tcPr>
            <w:tcW w:w="3282" w:type="dxa"/>
            <w:gridSpan w:val="2"/>
            <w:hideMark/>
          </w:tcPr>
          <w:p w14:paraId="00AB5392" w14:textId="77777777" w:rsidR="00DF61B3" w:rsidRPr="0059557C" w:rsidRDefault="00034C2E" w:rsidP="001A3680">
            <w:pPr>
              <w:spacing w:after="160" w:line="259" w:lineRule="auto"/>
              <w:jc w:val="center"/>
              <w:rPr>
                <w:rFonts w:ascii="Times New Roman" w:hAnsi="Times New Roman" w:cs="Times New Roman"/>
                <w:b/>
                <w:sz w:val="24"/>
                <w:szCs w:val="24"/>
              </w:rPr>
            </w:pPr>
            <w:hyperlink r:id="rId15" w:history="1">
              <w:r w:rsidR="00DF61B3" w:rsidRPr="00C9529E">
                <w:rPr>
                  <w:rFonts w:ascii="Times New Roman" w:hAnsi="Times New Roman" w:cs="Times New Roman"/>
                  <w:b/>
                  <w:sz w:val="24"/>
                  <w:szCs w:val="24"/>
                </w:rPr>
                <w:t>Програм суфинансирања иновација</w:t>
              </w:r>
            </w:hyperlink>
          </w:p>
        </w:tc>
        <w:tc>
          <w:tcPr>
            <w:tcW w:w="2498" w:type="dxa"/>
            <w:hideMark/>
          </w:tcPr>
          <w:p w14:paraId="47B1B273"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Микро, мала и средња предузећа</w:t>
            </w:r>
          </w:p>
        </w:tc>
        <w:tc>
          <w:tcPr>
            <w:tcW w:w="3595" w:type="dxa"/>
            <w:hideMark/>
          </w:tcPr>
          <w:p w14:paraId="0717B847"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До 300.000 евра/ до 60%</w:t>
            </w:r>
            <w:r>
              <w:rPr>
                <w:rFonts w:ascii="Times New Roman" w:hAnsi="Times New Roman" w:cs="Times New Roman"/>
                <w:sz w:val="24"/>
                <w:szCs w:val="24"/>
                <w:lang w:val="sr-Cyrl-RS"/>
              </w:rPr>
              <w:t>, односно 70%</w:t>
            </w:r>
            <w:r w:rsidRPr="00F550F7">
              <w:rPr>
                <w:rFonts w:ascii="Times New Roman" w:hAnsi="Times New Roman" w:cs="Times New Roman"/>
                <w:sz w:val="24"/>
                <w:szCs w:val="24"/>
              </w:rPr>
              <w:t xml:space="preserve"> вредности пројекта</w:t>
            </w:r>
            <w:r>
              <w:rPr>
                <w:rFonts w:ascii="Times New Roman" w:hAnsi="Times New Roman" w:cs="Times New Roman"/>
                <w:sz w:val="24"/>
                <w:szCs w:val="24"/>
                <w:lang w:val="sr-Cyrl-RS"/>
              </w:rPr>
              <w:t>, у зависности од величине предузећа</w:t>
            </w:r>
            <w:r w:rsidRPr="00F550F7">
              <w:rPr>
                <w:rFonts w:ascii="Times New Roman" w:hAnsi="Times New Roman" w:cs="Times New Roman"/>
                <w:sz w:val="24"/>
                <w:szCs w:val="24"/>
              </w:rPr>
              <w:t xml:space="preserve"> кофинансирање од стране Фонда</w:t>
            </w:r>
          </w:p>
        </w:tc>
      </w:tr>
      <w:tr w:rsidR="00DF61B3" w:rsidRPr="00F550F7" w14:paraId="45178C4D" w14:textId="77777777" w:rsidTr="00D31210">
        <w:trPr>
          <w:cnfStyle w:val="000000100000" w:firstRow="0" w:lastRow="0" w:firstColumn="0" w:lastColumn="0" w:oddVBand="0" w:evenVBand="0" w:oddHBand="1" w:evenHBand="0" w:firstRowFirstColumn="0" w:firstRowLastColumn="0" w:lastRowFirstColumn="0" w:lastRowLastColumn="0"/>
          <w:trHeight w:val="1550"/>
        </w:trPr>
        <w:tc>
          <w:tcPr>
            <w:tcW w:w="0" w:type="dxa"/>
            <w:gridSpan w:val="2"/>
            <w:hideMark/>
          </w:tcPr>
          <w:p w14:paraId="4796E8DB" w14:textId="77777777" w:rsidR="00DF61B3" w:rsidRPr="0059557C" w:rsidRDefault="00034C2E" w:rsidP="001A3680">
            <w:pPr>
              <w:spacing w:after="160" w:line="259" w:lineRule="auto"/>
              <w:jc w:val="center"/>
              <w:rPr>
                <w:rFonts w:ascii="Times New Roman" w:hAnsi="Times New Roman" w:cs="Times New Roman"/>
                <w:b/>
                <w:sz w:val="24"/>
                <w:szCs w:val="24"/>
              </w:rPr>
            </w:pPr>
            <w:hyperlink r:id="rId16" w:history="1">
              <w:r w:rsidR="00DF61B3" w:rsidRPr="00C9529E">
                <w:rPr>
                  <w:rFonts w:ascii="Times New Roman" w:hAnsi="Times New Roman" w:cs="Times New Roman"/>
                  <w:b/>
                  <w:sz w:val="24"/>
                  <w:szCs w:val="24"/>
                </w:rPr>
                <w:t>Програм сарадње науке и привреде</w:t>
              </w:r>
            </w:hyperlink>
          </w:p>
        </w:tc>
        <w:tc>
          <w:tcPr>
            <w:tcW w:w="0" w:type="dxa"/>
            <w:hideMark/>
          </w:tcPr>
          <w:p w14:paraId="036FFF17"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Микро, мала и средња предузећа и научноистраживачке организације (у форми конзорцијума)</w:t>
            </w:r>
          </w:p>
        </w:tc>
        <w:tc>
          <w:tcPr>
            <w:tcW w:w="0" w:type="dxa"/>
          </w:tcPr>
          <w:p w14:paraId="796F7CE6" w14:textId="3C0C2A4D" w:rsidR="00DF61B3" w:rsidRPr="00F550F7" w:rsidRDefault="00DF61B3">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 xml:space="preserve">До 300.000 </w:t>
            </w:r>
            <w:r>
              <w:rPr>
                <w:rFonts w:ascii="Times New Roman" w:hAnsi="Times New Roman" w:cs="Times New Roman"/>
                <w:sz w:val="24"/>
                <w:szCs w:val="24"/>
              </w:rPr>
              <w:t xml:space="preserve">евра/ 60% односно </w:t>
            </w:r>
            <w:r w:rsidRPr="00F550F7">
              <w:rPr>
                <w:rFonts w:ascii="Times New Roman" w:hAnsi="Times New Roman" w:cs="Times New Roman"/>
                <w:sz w:val="24"/>
                <w:szCs w:val="24"/>
              </w:rPr>
              <w:t>70% вредности пројекта</w:t>
            </w:r>
            <w:r>
              <w:rPr>
                <w:rFonts w:ascii="Times New Roman" w:hAnsi="Times New Roman" w:cs="Times New Roman"/>
                <w:sz w:val="24"/>
                <w:szCs w:val="24"/>
                <w:lang w:val="sr-Cyrl-RS"/>
              </w:rPr>
              <w:t>, у зависности од величине предузећа,</w:t>
            </w:r>
            <w:r w:rsidRPr="00F550F7">
              <w:rPr>
                <w:rFonts w:ascii="Times New Roman" w:hAnsi="Times New Roman" w:cs="Times New Roman"/>
                <w:sz w:val="24"/>
                <w:szCs w:val="24"/>
              </w:rPr>
              <w:t xml:space="preserve"> кофинансирање од стране Фонда</w:t>
            </w:r>
          </w:p>
        </w:tc>
      </w:tr>
      <w:tr w:rsidR="00DF61B3" w:rsidRPr="00F550F7" w14:paraId="7EB62658" w14:textId="77777777" w:rsidTr="001A3680">
        <w:trPr>
          <w:trHeight w:val="805"/>
        </w:trPr>
        <w:tc>
          <w:tcPr>
            <w:tcW w:w="3282" w:type="dxa"/>
            <w:gridSpan w:val="2"/>
          </w:tcPr>
          <w:p w14:paraId="336E2C7B" w14:textId="77777777" w:rsidR="00DF61B3" w:rsidRPr="00C9529E" w:rsidRDefault="00DF61B3" w:rsidP="001A3680">
            <w:pPr>
              <w:spacing w:after="160" w:line="259" w:lineRule="auto"/>
              <w:jc w:val="center"/>
              <w:rPr>
                <w:lang w:val="sr-Cyrl-RS"/>
              </w:rPr>
            </w:pPr>
            <w:r w:rsidRPr="00C9529E">
              <w:rPr>
                <w:rFonts w:ascii="Times New Roman" w:hAnsi="Times New Roman" w:cs="Times New Roman"/>
                <w:b/>
                <w:sz w:val="24"/>
                <w:szCs w:val="24"/>
              </w:rPr>
              <w:t>Иновациони ваучери</w:t>
            </w:r>
          </w:p>
        </w:tc>
        <w:tc>
          <w:tcPr>
            <w:tcW w:w="2498" w:type="dxa"/>
          </w:tcPr>
          <w:p w14:paraId="24AD419A" w14:textId="77777777" w:rsidR="00DF61B3" w:rsidRPr="00C9529E" w:rsidRDefault="00DF61B3" w:rsidP="001A3680">
            <w:pPr>
              <w:spacing w:after="160" w:line="259" w:lineRule="auto"/>
              <w:rPr>
                <w:rFonts w:ascii="Times New Roman" w:hAnsi="Times New Roman" w:cs="Times New Roman"/>
                <w:sz w:val="24"/>
                <w:szCs w:val="24"/>
                <w:lang w:val="sr-Cyrl-RS"/>
              </w:rPr>
            </w:pPr>
            <w:r>
              <w:rPr>
                <w:rFonts w:ascii="Times New Roman" w:hAnsi="Times New Roman" w:cs="Times New Roman"/>
                <w:sz w:val="24"/>
                <w:szCs w:val="24"/>
                <w:lang w:val="sr-Cyrl-RS"/>
              </w:rPr>
              <w:t>Микро, мала и средња предузећа</w:t>
            </w:r>
          </w:p>
        </w:tc>
        <w:tc>
          <w:tcPr>
            <w:tcW w:w="3595" w:type="dxa"/>
          </w:tcPr>
          <w:p w14:paraId="25BA7F66"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 xml:space="preserve">До 800.000 </w:t>
            </w:r>
            <w:r>
              <w:rPr>
                <w:rFonts w:ascii="Times New Roman" w:hAnsi="Times New Roman" w:cs="Times New Roman"/>
                <w:sz w:val="24"/>
                <w:szCs w:val="24"/>
                <w:lang w:val="sr-Cyrl-RS"/>
              </w:rPr>
              <w:t xml:space="preserve">динара/ </w:t>
            </w:r>
            <w:r w:rsidRPr="00F550F7">
              <w:rPr>
                <w:rFonts w:ascii="Times New Roman" w:hAnsi="Times New Roman" w:cs="Times New Roman"/>
                <w:sz w:val="24"/>
                <w:szCs w:val="24"/>
              </w:rPr>
              <w:t>до 60% вредности услуге кофинансира се од стране Фонда</w:t>
            </w:r>
          </w:p>
        </w:tc>
      </w:tr>
      <w:tr w:rsidR="00DF61B3" w:rsidRPr="00F550F7" w14:paraId="5B91C8B6" w14:textId="77777777" w:rsidTr="001A3680">
        <w:trPr>
          <w:cnfStyle w:val="000000100000" w:firstRow="0" w:lastRow="0" w:firstColumn="0" w:lastColumn="0" w:oddVBand="0" w:evenVBand="0" w:oddHBand="1" w:evenHBand="0" w:firstRowFirstColumn="0" w:firstRowLastColumn="0" w:lastRowFirstColumn="0" w:lastRowLastColumn="0"/>
          <w:trHeight w:val="805"/>
        </w:trPr>
        <w:tc>
          <w:tcPr>
            <w:tcW w:w="3282" w:type="dxa"/>
            <w:gridSpan w:val="2"/>
          </w:tcPr>
          <w:p w14:paraId="21351E9A" w14:textId="77777777" w:rsidR="00DF61B3" w:rsidRPr="00C9529E" w:rsidRDefault="00DF61B3" w:rsidP="001A3680">
            <w:pPr>
              <w:spacing w:after="160" w:line="259" w:lineRule="auto"/>
              <w:jc w:val="center"/>
              <w:rPr>
                <w:rFonts w:ascii="Times New Roman" w:hAnsi="Times New Roman" w:cs="Times New Roman"/>
                <w:b/>
                <w:sz w:val="24"/>
                <w:szCs w:val="24"/>
                <w:lang w:val="sr-Cyrl-RS"/>
              </w:rPr>
            </w:pPr>
            <w:r w:rsidRPr="00C9529E">
              <w:rPr>
                <w:rFonts w:ascii="Times New Roman" w:hAnsi="Times New Roman" w:cs="Times New Roman"/>
                <w:b/>
                <w:sz w:val="24"/>
                <w:szCs w:val="24"/>
                <w:lang w:val="sr-Cyrl-RS"/>
              </w:rPr>
              <w:t>Програм акцелерације „Катапулт“</w:t>
            </w:r>
          </w:p>
        </w:tc>
        <w:tc>
          <w:tcPr>
            <w:tcW w:w="2498" w:type="dxa"/>
            <w:hideMark/>
          </w:tcPr>
          <w:p w14:paraId="0DE3C1F4" w14:textId="77777777" w:rsidR="00DF61B3" w:rsidRPr="00F550F7" w:rsidRDefault="00DF61B3" w:rsidP="001A3680">
            <w:pPr>
              <w:spacing w:after="160" w:line="259" w:lineRule="auto"/>
              <w:rPr>
                <w:rFonts w:ascii="Times New Roman" w:hAnsi="Times New Roman" w:cs="Times New Roman"/>
                <w:sz w:val="24"/>
                <w:szCs w:val="24"/>
              </w:rPr>
            </w:pPr>
            <w:r>
              <w:rPr>
                <w:rFonts w:ascii="Times New Roman" w:hAnsi="Times New Roman" w:cs="Times New Roman"/>
                <w:sz w:val="24"/>
                <w:szCs w:val="24"/>
                <w:lang w:val="sr-Cyrl-RS"/>
              </w:rPr>
              <w:t>Микро, м</w:t>
            </w:r>
            <w:r w:rsidRPr="00F550F7">
              <w:rPr>
                <w:rFonts w:ascii="Times New Roman" w:hAnsi="Times New Roman" w:cs="Times New Roman"/>
                <w:sz w:val="24"/>
                <w:szCs w:val="24"/>
              </w:rPr>
              <w:t>ала и средња предузећа</w:t>
            </w:r>
          </w:p>
        </w:tc>
        <w:tc>
          <w:tcPr>
            <w:tcW w:w="3595" w:type="dxa"/>
            <w:hideMark/>
          </w:tcPr>
          <w:p w14:paraId="75947678" w14:textId="77BBCC75" w:rsidR="00DF61B3" w:rsidRPr="00D31210" w:rsidRDefault="00964DDC" w:rsidP="001A3680">
            <w:pPr>
              <w:spacing w:after="160" w:line="259" w:lineRule="auto"/>
              <w:rPr>
                <w:rFonts w:ascii="Times New Roman" w:hAnsi="Times New Roman" w:cs="Times New Roman"/>
                <w:sz w:val="24"/>
                <w:szCs w:val="24"/>
                <w:lang w:val="sr-Cyrl-RS"/>
              </w:rPr>
            </w:pPr>
            <w:r>
              <w:rPr>
                <w:rFonts w:ascii="Times New Roman" w:hAnsi="Times New Roman" w:cs="Times New Roman"/>
                <w:sz w:val="24"/>
                <w:szCs w:val="24"/>
                <w:lang w:val="sr-Cyrl-RS"/>
              </w:rPr>
              <w:t xml:space="preserve">До 300.000 евра </w:t>
            </w:r>
          </w:p>
        </w:tc>
      </w:tr>
      <w:tr w:rsidR="00DF61B3" w:rsidRPr="00F550F7" w14:paraId="06C5AAD2" w14:textId="77777777" w:rsidTr="001A3680">
        <w:trPr>
          <w:trHeight w:val="710"/>
        </w:trPr>
        <w:tc>
          <w:tcPr>
            <w:tcW w:w="1641" w:type="dxa"/>
            <w:vMerge w:val="restart"/>
            <w:hideMark/>
          </w:tcPr>
          <w:p w14:paraId="02CDD659" w14:textId="77777777" w:rsidR="00DF61B3" w:rsidRPr="00C9529E" w:rsidRDefault="00DF61B3" w:rsidP="001A3680">
            <w:pPr>
              <w:spacing w:after="160" w:line="259" w:lineRule="auto"/>
              <w:jc w:val="center"/>
              <w:rPr>
                <w:rFonts w:ascii="Times New Roman" w:hAnsi="Times New Roman" w:cs="Times New Roman"/>
                <w:b/>
                <w:sz w:val="24"/>
                <w:szCs w:val="24"/>
              </w:rPr>
            </w:pPr>
            <w:r w:rsidRPr="00C9529E">
              <w:rPr>
                <w:rFonts w:ascii="Times New Roman" w:hAnsi="Times New Roman" w:cs="Times New Roman"/>
                <w:b/>
                <w:sz w:val="24"/>
                <w:szCs w:val="24"/>
              </w:rPr>
              <w:t>Програм трансфер технологија</w:t>
            </w:r>
          </w:p>
        </w:tc>
        <w:tc>
          <w:tcPr>
            <w:tcW w:w="1641" w:type="dxa"/>
            <w:hideMark/>
          </w:tcPr>
          <w:p w14:paraId="2DA4BAD9"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Сет услуга за НИО</w:t>
            </w:r>
          </w:p>
        </w:tc>
        <w:tc>
          <w:tcPr>
            <w:tcW w:w="2498" w:type="dxa"/>
          </w:tcPr>
          <w:p w14:paraId="23A0D840" w14:textId="77777777" w:rsidR="00DF61B3" w:rsidRPr="00F550F7" w:rsidRDefault="00DF61B3" w:rsidP="001A3680">
            <w:pPr>
              <w:spacing w:after="160" w:line="259" w:lineRule="auto"/>
              <w:rPr>
                <w:rFonts w:ascii="Times New Roman" w:hAnsi="Times New Roman" w:cs="Times New Roman"/>
                <w:sz w:val="24"/>
                <w:szCs w:val="24"/>
              </w:rPr>
            </w:pPr>
          </w:p>
          <w:p w14:paraId="6C94C951"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НИО</w:t>
            </w:r>
          </w:p>
          <w:p w14:paraId="22FC1FDD" w14:textId="77777777" w:rsidR="00DF61B3" w:rsidRPr="00F550F7" w:rsidRDefault="00DF61B3" w:rsidP="001A3680">
            <w:pPr>
              <w:spacing w:after="160" w:line="259" w:lineRule="auto"/>
              <w:rPr>
                <w:rFonts w:ascii="Times New Roman" w:hAnsi="Times New Roman" w:cs="Times New Roman"/>
                <w:sz w:val="24"/>
                <w:szCs w:val="24"/>
              </w:rPr>
            </w:pPr>
          </w:p>
        </w:tc>
        <w:tc>
          <w:tcPr>
            <w:tcW w:w="3595" w:type="dxa"/>
            <w:hideMark/>
          </w:tcPr>
          <w:p w14:paraId="3D5F2971" w14:textId="77777777" w:rsidR="00DF61B3" w:rsidRPr="00C9529E" w:rsidRDefault="00DF61B3" w:rsidP="001A3680">
            <w:pPr>
              <w:spacing w:after="160" w:line="259" w:lineRule="auto"/>
              <w:rPr>
                <w:rFonts w:ascii="Times New Roman" w:hAnsi="Times New Roman" w:cs="Times New Roman"/>
                <w:sz w:val="24"/>
                <w:szCs w:val="24"/>
                <w:lang w:val="sr-Cyrl-RS"/>
              </w:rPr>
            </w:pPr>
            <w:r w:rsidRPr="00F550F7">
              <w:rPr>
                <w:rFonts w:ascii="Times New Roman" w:hAnsi="Times New Roman" w:cs="Times New Roman"/>
                <w:sz w:val="24"/>
                <w:szCs w:val="24"/>
              </w:rPr>
              <w:t xml:space="preserve">До 50.000 евра/ до 20.000 евра до 100% </w:t>
            </w:r>
            <w:r>
              <w:rPr>
                <w:rFonts w:ascii="Times New Roman" w:hAnsi="Times New Roman" w:cs="Times New Roman"/>
                <w:sz w:val="24"/>
                <w:szCs w:val="24"/>
                <w:lang w:val="sr-Cyrl-RS"/>
              </w:rPr>
              <w:t>вредности пројекта</w:t>
            </w:r>
            <w:r w:rsidRPr="00F550F7">
              <w:rPr>
                <w:rFonts w:ascii="Times New Roman" w:hAnsi="Times New Roman" w:cs="Times New Roman"/>
                <w:sz w:val="24"/>
                <w:szCs w:val="24"/>
              </w:rPr>
              <w:t xml:space="preserve">, за већи износ до 70% </w:t>
            </w:r>
            <w:r>
              <w:rPr>
                <w:rFonts w:ascii="Times New Roman" w:hAnsi="Times New Roman" w:cs="Times New Roman"/>
                <w:sz w:val="24"/>
                <w:szCs w:val="24"/>
                <w:lang w:val="sr-Cyrl-RS"/>
              </w:rPr>
              <w:t>вредности пројекта</w:t>
            </w:r>
          </w:p>
        </w:tc>
      </w:tr>
      <w:tr w:rsidR="00DF61B3" w:rsidRPr="00F550F7" w14:paraId="4AA8A9EB" w14:textId="77777777" w:rsidTr="001A3680">
        <w:trPr>
          <w:cnfStyle w:val="000000100000" w:firstRow="0" w:lastRow="0" w:firstColumn="0" w:lastColumn="0" w:oddVBand="0" w:evenVBand="0" w:oddHBand="1" w:evenHBand="0" w:firstRowFirstColumn="0" w:firstRowLastColumn="0" w:lastRowFirstColumn="0" w:lastRowLastColumn="0"/>
          <w:trHeight w:val="501"/>
        </w:trPr>
        <w:tc>
          <w:tcPr>
            <w:tcW w:w="1641" w:type="dxa"/>
            <w:vMerge/>
            <w:hideMark/>
          </w:tcPr>
          <w:p w14:paraId="6836FACD" w14:textId="77777777" w:rsidR="00DF61B3" w:rsidRPr="00F550F7" w:rsidRDefault="00DF61B3" w:rsidP="001A3680">
            <w:pPr>
              <w:spacing w:after="160" w:line="259" w:lineRule="auto"/>
              <w:rPr>
                <w:rFonts w:ascii="Times New Roman" w:hAnsi="Times New Roman" w:cs="Times New Roman"/>
                <w:sz w:val="24"/>
                <w:szCs w:val="24"/>
              </w:rPr>
            </w:pPr>
          </w:p>
        </w:tc>
        <w:tc>
          <w:tcPr>
            <w:tcW w:w="1641" w:type="dxa"/>
            <w:hideMark/>
          </w:tcPr>
          <w:p w14:paraId="20407360"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Доказ концепта</w:t>
            </w:r>
          </w:p>
        </w:tc>
        <w:tc>
          <w:tcPr>
            <w:tcW w:w="2498" w:type="dxa"/>
            <w:hideMark/>
          </w:tcPr>
          <w:p w14:paraId="6396E8BD" w14:textId="77777777" w:rsidR="00DF61B3" w:rsidRPr="00F550F7" w:rsidRDefault="00DF61B3" w:rsidP="001A3680">
            <w:pPr>
              <w:spacing w:after="160" w:line="259" w:lineRule="auto"/>
              <w:rPr>
                <w:rFonts w:ascii="Times New Roman" w:hAnsi="Times New Roman" w:cs="Times New Roman"/>
                <w:sz w:val="24"/>
                <w:szCs w:val="24"/>
              </w:rPr>
            </w:pPr>
            <w:r w:rsidRPr="00F550F7">
              <w:rPr>
                <w:rFonts w:ascii="Times New Roman" w:hAnsi="Times New Roman" w:cs="Times New Roman"/>
                <w:sz w:val="24"/>
                <w:szCs w:val="24"/>
              </w:rPr>
              <w:t>НИО</w:t>
            </w:r>
          </w:p>
        </w:tc>
        <w:tc>
          <w:tcPr>
            <w:tcW w:w="3595" w:type="dxa"/>
            <w:hideMark/>
          </w:tcPr>
          <w:p w14:paraId="2F6B83B6" w14:textId="77777777" w:rsidR="00DF61B3" w:rsidRPr="00C9529E" w:rsidRDefault="00DF61B3" w:rsidP="001A3680">
            <w:pPr>
              <w:spacing w:after="160" w:line="259" w:lineRule="auto"/>
              <w:rPr>
                <w:rFonts w:ascii="Times New Roman" w:hAnsi="Times New Roman" w:cs="Times New Roman"/>
                <w:sz w:val="24"/>
                <w:szCs w:val="24"/>
                <w:lang w:val="sr-Cyrl-RS"/>
              </w:rPr>
            </w:pPr>
            <w:r w:rsidRPr="00F550F7">
              <w:rPr>
                <w:rFonts w:ascii="Times New Roman" w:hAnsi="Times New Roman" w:cs="Times New Roman"/>
                <w:sz w:val="24"/>
                <w:szCs w:val="24"/>
              </w:rPr>
              <w:t xml:space="preserve">До 20.000 евра/ 100% </w:t>
            </w:r>
            <w:r>
              <w:rPr>
                <w:rFonts w:ascii="Times New Roman" w:hAnsi="Times New Roman" w:cs="Times New Roman"/>
                <w:sz w:val="24"/>
                <w:szCs w:val="24"/>
                <w:lang w:val="sr-Cyrl-RS"/>
              </w:rPr>
              <w:t>вредност пројекта</w:t>
            </w:r>
          </w:p>
        </w:tc>
      </w:tr>
    </w:tbl>
    <w:p w14:paraId="438B7D2E" w14:textId="77777777" w:rsidR="00DF61B3" w:rsidRDefault="00DF61B3" w:rsidP="00DF61B3">
      <w:pPr>
        <w:ind w:firstLine="720"/>
        <w:jc w:val="both"/>
        <w:rPr>
          <w:rFonts w:ascii="Times New Roman" w:hAnsi="Times New Roman" w:cs="Times New Roman"/>
          <w:color w:val="474747"/>
          <w:sz w:val="24"/>
          <w:szCs w:val="24"/>
          <w:shd w:val="clear" w:color="auto" w:fill="FFFFFF"/>
        </w:rPr>
      </w:pPr>
    </w:p>
    <w:p w14:paraId="5ADE402D" w14:textId="77777777" w:rsidR="007D5326" w:rsidRDefault="007D5326" w:rsidP="00B1456D">
      <w:pPr>
        <w:ind w:firstLine="720"/>
        <w:jc w:val="both"/>
        <w:rPr>
          <w:rFonts w:ascii="Times New Roman" w:hAnsi="Times New Roman" w:cs="Times New Roman"/>
          <w:sz w:val="24"/>
          <w:szCs w:val="24"/>
        </w:rPr>
      </w:pPr>
    </w:p>
    <w:p w14:paraId="7C0E327F" w14:textId="7673FDD8" w:rsidR="0028378A" w:rsidRDefault="00B1456D" w:rsidP="00B1456D">
      <w:pPr>
        <w:ind w:firstLine="720"/>
        <w:jc w:val="both"/>
        <w:rPr>
          <w:rFonts w:ascii="Times New Roman" w:hAnsi="Times New Roman" w:cs="Times New Roman"/>
          <w:sz w:val="24"/>
          <w:szCs w:val="24"/>
          <w:lang w:val="sr-Cyrl-RS"/>
        </w:rPr>
      </w:pPr>
      <w:r w:rsidRPr="00F550F7">
        <w:rPr>
          <w:rFonts w:ascii="Times New Roman" w:hAnsi="Times New Roman" w:cs="Times New Roman"/>
          <w:sz w:val="24"/>
          <w:szCs w:val="24"/>
        </w:rPr>
        <w:t>Програм раног развоја намењен је превасходно младим приватним предузећима која развијају технолошку иновацију која има потенцијал на тржишту и која има потенцијал за стварање нове интелектуалне својине. На овај начин се кроз обезбеђивање финансирања развоја иновативних технологија, производа и услуга са тржишном применом омогућава опстанак у критичној фази истраживања и развоја.</w:t>
      </w:r>
      <w:r w:rsidR="00964DDC">
        <w:rPr>
          <w:rFonts w:ascii="Times New Roman" w:hAnsi="Times New Roman" w:cs="Times New Roman"/>
          <w:sz w:val="24"/>
          <w:szCs w:val="24"/>
          <w:lang w:val="sr-Cyrl-RS"/>
        </w:rPr>
        <w:t xml:space="preserve"> </w:t>
      </w:r>
    </w:p>
    <w:p w14:paraId="64474498" w14:textId="77777777" w:rsidR="0028378A" w:rsidRDefault="00B1456D" w:rsidP="00B1456D">
      <w:pPr>
        <w:ind w:firstLine="720"/>
        <w:jc w:val="both"/>
        <w:rPr>
          <w:rFonts w:ascii="Times New Roman" w:hAnsi="Times New Roman" w:cs="Times New Roman"/>
          <w:sz w:val="24"/>
          <w:szCs w:val="24"/>
          <w:lang w:val="sr-Cyrl-RS"/>
        </w:rPr>
      </w:pPr>
      <w:r w:rsidRPr="00F550F7">
        <w:rPr>
          <w:rFonts w:ascii="Times New Roman" w:hAnsi="Times New Roman" w:cs="Times New Roman"/>
          <w:sz w:val="24"/>
          <w:szCs w:val="24"/>
        </w:rPr>
        <w:t>Програм суфинансирања иновација намењен је предузећима којима су потребна знатна финансијска средства за реализацију развојног циклуса технолошких иновација и покривање високих трошкова за пренос истраживања у комерцијално одржив производ.</w:t>
      </w:r>
      <w:r w:rsidR="007D1DA9">
        <w:rPr>
          <w:rFonts w:ascii="Times New Roman" w:hAnsi="Times New Roman" w:cs="Times New Roman"/>
          <w:sz w:val="24"/>
          <w:szCs w:val="24"/>
          <w:lang w:val="sr-Cyrl-RS"/>
        </w:rPr>
        <w:t xml:space="preserve"> </w:t>
      </w:r>
    </w:p>
    <w:p w14:paraId="57708236" w14:textId="77777777" w:rsidR="0028378A" w:rsidRDefault="00B1456D" w:rsidP="00B1456D">
      <w:pPr>
        <w:ind w:firstLine="720"/>
        <w:jc w:val="both"/>
        <w:rPr>
          <w:rFonts w:ascii="Times New Roman" w:hAnsi="Times New Roman" w:cs="Times New Roman"/>
          <w:sz w:val="24"/>
          <w:szCs w:val="24"/>
          <w:lang w:val="sr-Cyrl-RS"/>
        </w:rPr>
      </w:pPr>
      <w:r w:rsidRPr="00F550F7">
        <w:rPr>
          <w:rFonts w:ascii="Times New Roman" w:hAnsi="Times New Roman" w:cs="Times New Roman"/>
          <w:sz w:val="24"/>
          <w:szCs w:val="24"/>
        </w:rPr>
        <w:t>Програм сарадње науке и привреде моделиран је тако да акценат ставља на подстицање предузећа из приватног сектора и научноистраживачких организација из јавног сектора да спроводе заједничке пројекте из области истраживања и развоја са циљем да стварају нове или унапреде постојеће комерцијално исплативе производе и услуге.</w:t>
      </w:r>
      <w:r>
        <w:rPr>
          <w:rFonts w:ascii="Times New Roman" w:hAnsi="Times New Roman" w:cs="Times New Roman"/>
          <w:sz w:val="24"/>
          <w:szCs w:val="24"/>
          <w:lang w:val="sr-Cyrl-RS"/>
        </w:rPr>
        <w:t xml:space="preserve"> </w:t>
      </w:r>
    </w:p>
    <w:p w14:paraId="474525D5" w14:textId="77777777" w:rsidR="0028378A" w:rsidRDefault="00B1456D" w:rsidP="00B1456D">
      <w:pPr>
        <w:ind w:firstLine="720"/>
        <w:jc w:val="both"/>
        <w:rPr>
          <w:rFonts w:ascii="Times New Roman" w:hAnsi="Times New Roman" w:cs="Times New Roman"/>
          <w:sz w:val="24"/>
          <w:szCs w:val="24"/>
          <w:lang w:val="sr-Cyrl-RS"/>
        </w:rPr>
      </w:pPr>
      <w:r w:rsidRPr="00F550F7">
        <w:rPr>
          <w:rFonts w:ascii="Times New Roman" w:hAnsi="Times New Roman" w:cs="Times New Roman"/>
          <w:sz w:val="24"/>
          <w:szCs w:val="24"/>
        </w:rPr>
        <w:t>Иновациони ваучери су намењени предузећима да, користећи услуге научноистраживачког сектора, подигну ниво иновативности својих производа и постану конкурентнији на тржишту.</w:t>
      </w:r>
      <w:r>
        <w:rPr>
          <w:rFonts w:ascii="Times New Roman" w:hAnsi="Times New Roman" w:cs="Times New Roman"/>
          <w:sz w:val="24"/>
          <w:szCs w:val="24"/>
          <w:lang w:val="sr-Cyrl-RS"/>
        </w:rPr>
        <w:t xml:space="preserve"> </w:t>
      </w:r>
    </w:p>
    <w:p w14:paraId="3E28DD62" w14:textId="77777777" w:rsidR="0028378A" w:rsidRDefault="00B1456D" w:rsidP="00B1456D">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Подршка кроз Програм трансфера технологија намењена је истраживачима из НИО и може бити коришћена за израду и тестирање прототипа, заштиту интелектуалне својине, додатни развој проналазака и стручну подршку за различите аспекте комерцијализације. У оквиру овог програма, од 2019. године, доступан је и доказ концепта кроз који се нуди финансијска и пословна подршку за тестирање идеја, хипотеза или претпоставки, које би, ако се покажу технички изводљивим, представљале основу за будуће комерцијалне производе. </w:t>
      </w:r>
    </w:p>
    <w:p w14:paraId="489A50B5" w14:textId="3DBA495B" w:rsidR="0028378A" w:rsidRPr="00322065" w:rsidRDefault="0028378A" w:rsidP="0028378A">
      <w:pPr>
        <w:ind w:firstLine="720"/>
        <w:jc w:val="both"/>
        <w:rPr>
          <w:rFonts w:ascii="Times New Roman" w:hAnsi="Times New Roman" w:cs="Times New Roman"/>
          <w:sz w:val="24"/>
          <w:szCs w:val="24"/>
          <w:shd w:val="clear" w:color="auto" w:fill="FFFFFF"/>
        </w:rPr>
      </w:pPr>
      <w:r w:rsidRPr="00322065">
        <w:rPr>
          <w:rFonts w:ascii="Times New Roman" w:hAnsi="Times New Roman" w:cs="Times New Roman"/>
          <w:sz w:val="24"/>
          <w:szCs w:val="24"/>
          <w:shd w:val="clear" w:color="auto" w:fill="FFFFFF"/>
        </w:rPr>
        <w:t xml:space="preserve">Фонд за иновациону делатност покренуо је </w:t>
      </w:r>
      <w:r>
        <w:rPr>
          <w:rFonts w:ascii="Times New Roman" w:hAnsi="Times New Roman" w:cs="Times New Roman"/>
          <w:sz w:val="24"/>
          <w:szCs w:val="24"/>
          <w:shd w:val="clear" w:color="auto" w:fill="FFFFFF"/>
          <w:lang w:val="sr-Cyrl-RS"/>
        </w:rPr>
        <w:t xml:space="preserve">2021. године </w:t>
      </w:r>
      <w:r w:rsidRPr="00322065">
        <w:rPr>
          <w:rFonts w:ascii="Times New Roman" w:hAnsi="Times New Roman" w:cs="Times New Roman"/>
          <w:sz w:val="24"/>
          <w:szCs w:val="24"/>
          <w:shd w:val="clear" w:color="auto" w:fill="FFFFFF"/>
        </w:rPr>
        <w:t>нови</w:t>
      </w:r>
      <w:r w:rsidR="00034C2E">
        <w:rPr>
          <w:rFonts w:ascii="Times New Roman" w:hAnsi="Times New Roman" w:cs="Times New Roman"/>
          <w:sz w:val="24"/>
          <w:szCs w:val="24"/>
          <w:shd w:val="clear" w:color="auto" w:fill="FFFFFF"/>
        </w:rPr>
        <w:t xml:space="preserve"> програм акцелерације „Катапулт</w:t>
      </w:r>
      <w:r w:rsidR="00034C2E">
        <w:rPr>
          <w:rFonts w:ascii="Times New Roman" w:hAnsi="Times New Roman" w:cs="Times New Roman"/>
          <w:sz w:val="24"/>
          <w:szCs w:val="24"/>
        </w:rPr>
        <w:t>”</w:t>
      </w:r>
      <w:r w:rsidRPr="00322065">
        <w:rPr>
          <w:rFonts w:ascii="Times New Roman" w:hAnsi="Times New Roman" w:cs="Times New Roman"/>
          <w:sz w:val="24"/>
          <w:szCs w:val="24"/>
          <w:shd w:val="clear" w:color="auto" w:fill="FFFFFF"/>
        </w:rPr>
        <w:t xml:space="preserve">, који ће предузећима пружити менторску и финансијску подршку кроз интензивне обуке и повезивање са инвеститорима. </w:t>
      </w:r>
      <w:r w:rsidR="002B79B7" w:rsidRPr="00322065">
        <w:rPr>
          <w:rFonts w:ascii="Times New Roman" w:hAnsi="Times New Roman" w:cs="Times New Roman"/>
          <w:sz w:val="24"/>
          <w:szCs w:val="24"/>
          <w:shd w:val="clear" w:color="auto" w:fill="FFFFFF"/>
        </w:rPr>
        <w:t>„Катапулт“</w:t>
      </w:r>
      <w:r w:rsidRPr="00322065">
        <w:rPr>
          <w:rFonts w:ascii="Times New Roman" w:hAnsi="Times New Roman" w:cs="Times New Roman"/>
          <w:sz w:val="24"/>
          <w:szCs w:val="24"/>
          <w:shd w:val="clear" w:color="auto" w:fill="FFFFFF"/>
        </w:rPr>
        <w:t xml:space="preserve"> жели да помогне иновативним предузећима оријентисаним на раст да се позиционирају на глобалном тржишту, као и да побољшају своје пословне капацитете у развоју помоћу којих ће повећати могућност привлачења приватних инвестиција. Средства за реализацију </w:t>
      </w:r>
      <w:r w:rsidR="00034C2E">
        <w:rPr>
          <w:rFonts w:ascii="Times New Roman" w:hAnsi="Times New Roman" w:cs="Times New Roman"/>
          <w:sz w:val="24"/>
          <w:szCs w:val="24"/>
          <w:shd w:val="clear" w:color="auto" w:fill="FFFFFF"/>
        </w:rPr>
        <w:t>„Катапулт</w:t>
      </w:r>
      <w:r w:rsidR="00034C2E">
        <w:rPr>
          <w:rFonts w:ascii="Times New Roman" w:hAnsi="Times New Roman" w:cs="Times New Roman"/>
          <w:sz w:val="24"/>
          <w:szCs w:val="24"/>
        </w:rPr>
        <w:t>”</w:t>
      </w:r>
      <w:r w:rsidRPr="00322065">
        <w:rPr>
          <w:rFonts w:ascii="Times New Roman" w:hAnsi="Times New Roman" w:cs="Times New Roman"/>
          <w:sz w:val="24"/>
          <w:szCs w:val="24"/>
          <w:shd w:val="clear" w:color="auto" w:fill="FFFFFF"/>
        </w:rPr>
        <w:t xml:space="preserve"> програма у укупном износу од </w:t>
      </w:r>
      <w:r w:rsidRPr="00322065">
        <w:rPr>
          <w:rStyle w:val="Strong"/>
          <w:rFonts w:ascii="Times New Roman" w:hAnsi="Times New Roman" w:cs="Times New Roman"/>
          <w:b w:val="0"/>
          <w:sz w:val="24"/>
          <w:szCs w:val="24"/>
          <w:bdr w:val="none" w:sz="0" w:space="0" w:color="auto" w:frame="1"/>
          <w:shd w:val="clear" w:color="auto" w:fill="FFFFFF"/>
        </w:rPr>
        <w:t>7 милиона евра</w:t>
      </w:r>
      <w:r w:rsidRPr="00322065">
        <w:rPr>
          <w:rFonts w:ascii="Times New Roman" w:hAnsi="Times New Roman" w:cs="Times New Roman"/>
          <w:sz w:val="24"/>
          <w:szCs w:val="24"/>
          <w:shd w:val="clear" w:color="auto" w:fill="FFFFFF"/>
        </w:rPr>
        <w:t> до 2024. године, обезбеђена су на основу споразума о зајму Републике Србије (Министарство просвете, науке и технолошког развоја) и Светске банке кроз </w:t>
      </w:r>
      <w:r w:rsidRPr="008D6B60">
        <w:rPr>
          <w:rStyle w:val="Emphasis"/>
          <w:rFonts w:ascii="Times New Roman" w:hAnsi="Times New Roman" w:cs="Times New Roman"/>
          <w:i w:val="0"/>
          <w:sz w:val="24"/>
          <w:szCs w:val="24"/>
          <w:bdr w:val="none" w:sz="0" w:space="0" w:color="auto" w:frame="1"/>
          <w:shd w:val="clear" w:color="auto" w:fill="FFFFFF"/>
        </w:rPr>
        <w:t>„Пројекат акцелерације иновација и подстицање раста предузетништва у Републици Србији</w:t>
      </w:r>
      <w:r w:rsidR="002B79B7">
        <w:rPr>
          <w:rStyle w:val="Emphasis"/>
          <w:rFonts w:ascii="Times New Roman" w:hAnsi="Times New Roman" w:cs="Times New Roman"/>
          <w:i w:val="0"/>
          <w:sz w:val="24"/>
          <w:szCs w:val="24"/>
          <w:bdr w:val="none" w:sz="0" w:space="0" w:color="auto" w:frame="1"/>
          <w:shd w:val="clear" w:color="auto" w:fill="FFFFFF"/>
          <w:lang w:val="sr-Cyrl-RS"/>
        </w:rPr>
        <w:t>“</w:t>
      </w:r>
      <w:r w:rsidR="005617AE">
        <w:rPr>
          <w:rStyle w:val="Emphasis"/>
          <w:rFonts w:ascii="Times New Roman" w:hAnsi="Times New Roman" w:cs="Times New Roman"/>
          <w:i w:val="0"/>
          <w:sz w:val="24"/>
          <w:szCs w:val="24"/>
          <w:bdr w:val="none" w:sz="0" w:space="0" w:color="auto" w:frame="1"/>
          <w:shd w:val="clear" w:color="auto" w:fill="FFFFFF"/>
          <w:lang w:val="sr-Cyrl-RS"/>
        </w:rPr>
        <w:t xml:space="preserve"> </w:t>
      </w:r>
      <w:r w:rsidRPr="00322065">
        <w:rPr>
          <w:rFonts w:ascii="Times New Roman" w:hAnsi="Times New Roman" w:cs="Times New Roman"/>
          <w:sz w:val="24"/>
          <w:szCs w:val="24"/>
          <w:shd w:val="clear" w:color="auto" w:fill="FFFFFF"/>
        </w:rPr>
        <w:t>који је посвећен јачању иновативног предузетништва и научних истраживања у Србији.</w:t>
      </w:r>
    </w:p>
    <w:p w14:paraId="1790618F" w14:textId="77777777" w:rsidR="0028378A" w:rsidRPr="00014199" w:rsidRDefault="0028378A" w:rsidP="0028378A">
      <w:pPr>
        <w:ind w:firstLine="720"/>
        <w:jc w:val="both"/>
        <w:rPr>
          <w:rFonts w:ascii="Times New Roman" w:hAnsi="Times New Roman" w:cs="Times New Roman"/>
          <w:sz w:val="24"/>
          <w:szCs w:val="24"/>
          <w:shd w:val="clear" w:color="auto" w:fill="FFFFFF"/>
          <w:lang w:val="sr-Cyrl-RS"/>
        </w:rPr>
      </w:pPr>
      <w:r w:rsidRPr="00014199">
        <w:rPr>
          <w:rFonts w:ascii="Times New Roman" w:hAnsi="Times New Roman" w:cs="Times New Roman"/>
          <w:sz w:val="24"/>
          <w:szCs w:val="24"/>
          <w:shd w:val="clear" w:color="auto" w:fill="FFFFFF"/>
          <w:lang w:val="sr-Cyrl-RS"/>
        </w:rPr>
        <w:t xml:space="preserve">Осим наведених програма, Фонд за иновациону делатност је, с обзиром на околности и свакодневни развој ситуације изазване пандемијом корона вируса, реализовао </w:t>
      </w:r>
      <w:r>
        <w:rPr>
          <w:rFonts w:ascii="Times New Roman" w:hAnsi="Times New Roman" w:cs="Times New Roman"/>
          <w:sz w:val="24"/>
          <w:szCs w:val="24"/>
          <w:shd w:val="clear" w:color="auto" w:fill="FFFFFF"/>
          <w:lang w:val="sr-Cyrl-RS"/>
        </w:rPr>
        <w:t xml:space="preserve">у 2020. години </w:t>
      </w:r>
      <w:r w:rsidRPr="00014199">
        <w:rPr>
          <w:rFonts w:ascii="Times New Roman" w:hAnsi="Times New Roman" w:cs="Times New Roman"/>
          <w:sz w:val="24"/>
          <w:szCs w:val="24"/>
          <w:shd w:val="clear" w:color="auto" w:fill="FFFFFF"/>
          <w:lang w:val="sr-Cyrl-RS"/>
        </w:rPr>
        <w:t xml:space="preserve">позив за </w:t>
      </w:r>
      <w:r w:rsidRPr="00F550F7">
        <w:rPr>
          <w:rFonts w:ascii="Times New Roman" w:hAnsi="Times New Roman" w:cs="Times New Roman"/>
          <w:sz w:val="24"/>
          <w:szCs w:val="24"/>
        </w:rPr>
        <w:t>микро, мал</w:t>
      </w:r>
      <w:r>
        <w:rPr>
          <w:rFonts w:ascii="Times New Roman" w:hAnsi="Times New Roman" w:cs="Times New Roman"/>
          <w:sz w:val="24"/>
          <w:szCs w:val="24"/>
          <w:lang w:val="sr-Cyrl-RS"/>
        </w:rPr>
        <w:t>а</w:t>
      </w:r>
      <w:r w:rsidRPr="00F550F7">
        <w:rPr>
          <w:rFonts w:ascii="Times New Roman" w:hAnsi="Times New Roman" w:cs="Times New Roman"/>
          <w:sz w:val="24"/>
          <w:szCs w:val="24"/>
        </w:rPr>
        <w:t xml:space="preserve"> и средњ</w:t>
      </w:r>
      <w:r>
        <w:rPr>
          <w:rFonts w:ascii="Times New Roman" w:hAnsi="Times New Roman" w:cs="Times New Roman"/>
          <w:sz w:val="24"/>
          <w:szCs w:val="24"/>
          <w:lang w:val="sr-Cyrl-RS"/>
        </w:rPr>
        <w:t>а</w:t>
      </w:r>
      <w:r w:rsidRPr="00F550F7">
        <w:rPr>
          <w:rFonts w:ascii="Times New Roman" w:hAnsi="Times New Roman" w:cs="Times New Roman"/>
          <w:sz w:val="24"/>
          <w:szCs w:val="24"/>
        </w:rPr>
        <w:t xml:space="preserve"> предузећ</w:t>
      </w:r>
      <w:r>
        <w:rPr>
          <w:rFonts w:ascii="Times New Roman" w:hAnsi="Times New Roman" w:cs="Times New Roman"/>
          <w:sz w:val="24"/>
          <w:szCs w:val="24"/>
          <w:lang w:val="sr-Cyrl-RS"/>
        </w:rPr>
        <w:t>а</w:t>
      </w:r>
      <w:r w:rsidRPr="00F550F7">
        <w:rPr>
          <w:rFonts w:ascii="Times New Roman" w:hAnsi="Times New Roman" w:cs="Times New Roman"/>
          <w:sz w:val="24"/>
          <w:szCs w:val="24"/>
        </w:rPr>
        <w:t xml:space="preserve"> са већ развијеним прототипима, производима, услугама и технологијама који у кратком временском периоду могу бити доступни за примену у сузбијању последица насталих пандемијом.</w:t>
      </w:r>
      <w:r w:rsidRPr="00014199">
        <w:rPr>
          <w:rFonts w:ascii="Times New Roman" w:hAnsi="Times New Roman" w:cs="Times New Roman"/>
          <w:sz w:val="24"/>
          <w:szCs w:val="24"/>
          <w:shd w:val="clear" w:color="auto" w:fill="FFFFFF"/>
          <w:lang w:val="sr-Cyrl-RS"/>
        </w:rPr>
        <w:t xml:space="preserve"> </w:t>
      </w:r>
      <w:r w:rsidRPr="002E0FC5">
        <w:rPr>
          <w:rFonts w:ascii="Times New Roman" w:hAnsi="Times New Roman" w:cs="Times New Roman"/>
          <w:sz w:val="24"/>
          <w:szCs w:val="24"/>
          <w:shd w:val="clear" w:color="auto" w:fill="FFFFFF"/>
          <w:lang w:val="sr-Cyrl-RS"/>
        </w:rPr>
        <w:t xml:space="preserve">Максимални износ финансирања у оквиру овог јавног позива је </w:t>
      </w:r>
      <w:r>
        <w:rPr>
          <w:rFonts w:ascii="Times New Roman" w:hAnsi="Times New Roman" w:cs="Times New Roman"/>
          <w:sz w:val="24"/>
          <w:szCs w:val="24"/>
          <w:shd w:val="clear" w:color="auto" w:fill="FFFFFF"/>
          <w:lang w:val="sr-Cyrl-RS"/>
        </w:rPr>
        <w:t xml:space="preserve">био </w:t>
      </w:r>
      <w:r w:rsidRPr="002E0FC5">
        <w:rPr>
          <w:rFonts w:ascii="Times New Roman" w:hAnsi="Times New Roman" w:cs="Times New Roman"/>
          <w:sz w:val="24"/>
          <w:szCs w:val="24"/>
          <w:shd w:val="clear" w:color="auto" w:fill="FFFFFF"/>
          <w:lang w:val="sr-Cyrl-RS"/>
        </w:rPr>
        <w:t xml:space="preserve">6 милиона динара по појединачном пројекту, с тим што суфинансирање од стране Фонда </w:t>
      </w:r>
      <w:r>
        <w:rPr>
          <w:rFonts w:ascii="Times New Roman" w:hAnsi="Times New Roman" w:cs="Times New Roman"/>
          <w:sz w:val="24"/>
          <w:szCs w:val="24"/>
          <w:shd w:val="clear" w:color="auto" w:fill="FFFFFF"/>
          <w:lang w:val="sr-Cyrl-RS"/>
        </w:rPr>
        <w:t xml:space="preserve">је износило </w:t>
      </w:r>
      <w:r w:rsidRPr="002E0FC5">
        <w:rPr>
          <w:rFonts w:ascii="Times New Roman" w:hAnsi="Times New Roman" w:cs="Times New Roman"/>
          <w:sz w:val="24"/>
          <w:szCs w:val="24"/>
          <w:shd w:val="clear" w:color="auto" w:fill="FFFFFF"/>
          <w:lang w:val="sr-Cyrl-RS"/>
        </w:rPr>
        <w:t>од 85% укупних трошкова пројекта.</w:t>
      </w:r>
    </w:p>
    <w:p w14:paraId="0042C663" w14:textId="6FA30FD2" w:rsidR="00B1456D" w:rsidRPr="00F550F7" w:rsidRDefault="00B1456D" w:rsidP="00B1456D">
      <w:pPr>
        <w:ind w:firstLine="720"/>
        <w:jc w:val="both"/>
        <w:rPr>
          <w:rFonts w:ascii="Times New Roman" w:hAnsi="Times New Roman" w:cs="Times New Roman"/>
          <w:sz w:val="24"/>
          <w:szCs w:val="24"/>
        </w:rPr>
      </w:pPr>
      <w:r w:rsidRPr="00F550F7">
        <w:rPr>
          <w:rFonts w:ascii="Times New Roman" w:hAnsi="Times New Roman" w:cs="Times New Roman"/>
          <w:sz w:val="24"/>
          <w:szCs w:val="24"/>
        </w:rPr>
        <w:t>Осим наведеног, Фонд у име Републике Србије предузима активности у вези са функционисањем Фонда за иновативна предузећа (</w:t>
      </w:r>
      <w:r w:rsidRPr="00C9529E">
        <w:rPr>
          <w:rFonts w:ascii="Times New Roman" w:hAnsi="Times New Roman" w:cs="Times New Roman"/>
          <w:i/>
          <w:iCs/>
          <w:sz w:val="24"/>
          <w:szCs w:val="24"/>
        </w:rPr>
        <w:t>E</w:t>
      </w:r>
      <w:r w:rsidR="002B79B7">
        <w:rPr>
          <w:rFonts w:ascii="Times New Roman" w:hAnsi="Times New Roman" w:cs="Times New Roman"/>
          <w:i/>
          <w:iCs/>
          <w:sz w:val="24"/>
          <w:szCs w:val="24"/>
        </w:rPr>
        <w:t>NIF</w:t>
      </w:r>
      <w:r w:rsidRPr="00F550F7">
        <w:rPr>
          <w:rFonts w:ascii="Times New Roman" w:hAnsi="Times New Roman" w:cs="Times New Roman"/>
          <w:sz w:val="24"/>
          <w:szCs w:val="24"/>
        </w:rPr>
        <w:t>) у оквиру Програма за развој предузећа и иновација Западног Балкана. Фонд за иновативна предузећа је први фонд ризичног капитала за финансирање иновативних малих и средњих предузећа у почетној фази развоја на Западном Балкану.</w:t>
      </w:r>
    </w:p>
    <w:p w14:paraId="10080E63" w14:textId="77777777" w:rsidR="00144BA4" w:rsidRDefault="00144BA4" w:rsidP="00B13C96">
      <w:pPr>
        <w:ind w:firstLine="720"/>
        <w:jc w:val="both"/>
        <w:rPr>
          <w:rFonts w:ascii="Times New Roman" w:hAnsi="Times New Roman" w:cs="Times New Roman"/>
          <w:sz w:val="24"/>
          <w:szCs w:val="24"/>
          <w:lang w:val="sr-Cyrl-RS"/>
        </w:rPr>
      </w:pPr>
    </w:p>
    <w:p w14:paraId="7D46DFA4" w14:textId="2BD8ABA4" w:rsidR="006C7E42" w:rsidRPr="00D31210" w:rsidRDefault="00034C2E" w:rsidP="00322065">
      <w:pPr>
        <w:ind w:firstLine="720"/>
        <w:jc w:val="center"/>
        <w:rPr>
          <w:rFonts w:ascii="Times New Roman" w:hAnsi="Times New Roman" w:cs="Times New Roman"/>
          <w:sz w:val="24"/>
          <w:szCs w:val="24"/>
          <w:lang w:val="sr-Cyrl-RS"/>
        </w:rPr>
      </w:pPr>
      <w:r>
        <w:rPr>
          <w:rFonts w:ascii="Times New Roman" w:hAnsi="Times New Roman" w:cs="Times New Roman"/>
          <w:sz w:val="24"/>
          <w:szCs w:val="24"/>
        </w:rPr>
        <w:t>Табела 4</w:t>
      </w:r>
      <w:r w:rsidR="00322065">
        <w:rPr>
          <w:rFonts w:ascii="Times New Roman" w:hAnsi="Times New Roman" w:cs="Times New Roman"/>
          <w:sz w:val="24"/>
          <w:szCs w:val="24"/>
        </w:rPr>
        <w:t xml:space="preserve">: </w:t>
      </w:r>
      <w:r w:rsidR="003906EE">
        <w:rPr>
          <w:rFonts w:ascii="Times New Roman" w:hAnsi="Times New Roman" w:cs="Times New Roman"/>
          <w:sz w:val="24"/>
          <w:szCs w:val="24"/>
          <w:lang w:val="sr-Cyrl-RS"/>
        </w:rPr>
        <w:t>Резултати</w:t>
      </w:r>
      <w:r w:rsidR="003906EE">
        <w:rPr>
          <w:rFonts w:ascii="Times New Roman" w:hAnsi="Times New Roman" w:cs="Times New Roman"/>
          <w:sz w:val="24"/>
          <w:szCs w:val="24"/>
        </w:rPr>
        <w:t xml:space="preserve"> </w:t>
      </w:r>
      <w:r w:rsidR="00322065">
        <w:rPr>
          <w:rFonts w:ascii="Times New Roman" w:hAnsi="Times New Roman" w:cs="Times New Roman"/>
          <w:sz w:val="24"/>
          <w:szCs w:val="24"/>
        </w:rPr>
        <w:t>Фонда за иновациону делатност</w:t>
      </w:r>
      <w:r w:rsidR="003906EE">
        <w:rPr>
          <w:rFonts w:ascii="Times New Roman" w:hAnsi="Times New Roman" w:cs="Times New Roman"/>
          <w:sz w:val="24"/>
          <w:szCs w:val="24"/>
          <w:lang w:val="sr-Cyrl-RS"/>
        </w:rPr>
        <w:t xml:space="preserve"> од 2011. до септембра 2021. године</w:t>
      </w:r>
    </w:p>
    <w:tbl>
      <w:tblPr>
        <w:tblStyle w:val="GridTable4-Accent61"/>
        <w:tblW w:w="10989" w:type="dxa"/>
        <w:jc w:val="center"/>
        <w:tblLook w:val="04A0" w:firstRow="1" w:lastRow="0" w:firstColumn="1" w:lastColumn="0" w:noHBand="0" w:noVBand="1"/>
      </w:tblPr>
      <w:tblGrid>
        <w:gridCol w:w="3114"/>
        <w:gridCol w:w="1291"/>
        <w:gridCol w:w="1714"/>
        <w:gridCol w:w="1855"/>
        <w:gridCol w:w="3015"/>
      </w:tblGrid>
      <w:tr w:rsidR="0028378A" w:rsidRPr="00F550F7" w14:paraId="0D09C394" w14:textId="77777777" w:rsidTr="00AC1FF7">
        <w:trPr>
          <w:cnfStyle w:val="100000000000" w:firstRow="1" w:lastRow="0" w:firstColumn="0" w:lastColumn="0" w:oddVBand="0" w:evenVBand="0" w:oddHBand="0" w:evenHBand="0" w:firstRowFirstColumn="0" w:firstRowLastColumn="0" w:lastRowFirstColumn="0" w:lastRowLastColumn="0"/>
          <w:trHeight w:val="645"/>
          <w:jc w:val="center"/>
        </w:trPr>
        <w:tc>
          <w:tcPr>
            <w:cnfStyle w:val="001000000000" w:firstRow="0" w:lastRow="0" w:firstColumn="1" w:lastColumn="0" w:oddVBand="0" w:evenVBand="0" w:oddHBand="0" w:evenHBand="0" w:firstRowFirstColumn="0" w:firstRowLastColumn="0" w:lastRowFirstColumn="0" w:lastRowLastColumn="0"/>
            <w:tcW w:w="3114" w:type="dxa"/>
            <w:vAlign w:val="center"/>
            <w:hideMark/>
          </w:tcPr>
          <w:p w14:paraId="22FE9655" w14:textId="77777777" w:rsidR="000C7511" w:rsidRPr="00AC1FF7" w:rsidRDefault="000C7511" w:rsidP="00AC1FF7">
            <w:pPr>
              <w:jc w:val="center"/>
              <w:rPr>
                <w:rFonts w:ascii="Times New Roman" w:eastAsia="Times New Roman" w:hAnsi="Times New Roman" w:cs="Times New Roman"/>
                <w:b w:val="0"/>
                <w:caps/>
                <w:sz w:val="24"/>
                <w:szCs w:val="24"/>
              </w:rPr>
            </w:pPr>
            <w:r w:rsidRPr="00AC1FF7">
              <w:rPr>
                <w:rFonts w:ascii="Times New Roman" w:eastAsia="Times New Roman" w:hAnsi="Times New Roman" w:cs="Times New Roman"/>
                <w:caps/>
                <w:sz w:val="24"/>
                <w:szCs w:val="24"/>
              </w:rPr>
              <w:t>НАЗИВ ПРОГРАМА</w:t>
            </w:r>
          </w:p>
        </w:tc>
        <w:tc>
          <w:tcPr>
            <w:tcW w:w="0" w:type="dxa"/>
            <w:vAlign w:val="center"/>
            <w:hideMark/>
          </w:tcPr>
          <w:p w14:paraId="1BDA092E" w14:textId="11F516BA" w:rsidR="000C7511" w:rsidRPr="00AC1FF7" w:rsidRDefault="000C7511" w:rsidP="00AC1F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sr-Cyrl-RS"/>
              </w:rPr>
            </w:pPr>
            <w:r w:rsidRPr="00AC1FF7">
              <w:rPr>
                <w:rFonts w:ascii="Times New Roman" w:eastAsia="Times New Roman" w:hAnsi="Times New Roman" w:cs="Times New Roman"/>
                <w:sz w:val="24"/>
                <w:szCs w:val="24"/>
              </w:rPr>
              <w:t xml:space="preserve">Број </w:t>
            </w:r>
            <w:r w:rsidR="0028378A" w:rsidRPr="00AC1FF7">
              <w:rPr>
                <w:rFonts w:ascii="Times New Roman" w:eastAsia="Times New Roman" w:hAnsi="Times New Roman" w:cs="Times New Roman"/>
                <w:sz w:val="24"/>
                <w:szCs w:val="24"/>
                <w:lang w:val="sr-Cyrl-RS"/>
              </w:rPr>
              <w:t xml:space="preserve">поднетих </w:t>
            </w:r>
            <w:r w:rsidRPr="00AC1FF7">
              <w:rPr>
                <w:rFonts w:ascii="Times New Roman" w:eastAsia="Times New Roman" w:hAnsi="Times New Roman" w:cs="Times New Roman"/>
                <w:sz w:val="24"/>
                <w:szCs w:val="24"/>
              </w:rPr>
              <w:t>пријава</w:t>
            </w:r>
            <w:r w:rsidR="0028378A" w:rsidRPr="00AC1FF7">
              <w:rPr>
                <w:rFonts w:ascii="Times New Roman" w:eastAsia="Times New Roman" w:hAnsi="Times New Roman" w:cs="Times New Roman"/>
                <w:sz w:val="24"/>
                <w:szCs w:val="24"/>
                <w:lang w:val="sr-Cyrl-RS"/>
              </w:rPr>
              <w:t xml:space="preserve"> пројеката</w:t>
            </w:r>
          </w:p>
        </w:tc>
        <w:tc>
          <w:tcPr>
            <w:tcW w:w="1714" w:type="dxa"/>
            <w:vAlign w:val="center"/>
            <w:hideMark/>
          </w:tcPr>
          <w:p w14:paraId="169EFC6F" w14:textId="7CE59238" w:rsidR="000C7511" w:rsidRPr="00AC1FF7" w:rsidRDefault="000C7511" w:rsidP="00AC1F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lang w:val="sr-Cyrl-RS"/>
              </w:rPr>
            </w:pPr>
            <w:r w:rsidRPr="00AC1FF7">
              <w:rPr>
                <w:rFonts w:ascii="Times New Roman" w:eastAsia="Times New Roman" w:hAnsi="Times New Roman" w:cs="Times New Roman"/>
                <w:sz w:val="24"/>
                <w:szCs w:val="24"/>
              </w:rPr>
              <w:t>Број пројеката</w:t>
            </w:r>
            <w:r w:rsidR="0028378A" w:rsidRPr="00AC1FF7">
              <w:rPr>
                <w:rFonts w:ascii="Times New Roman" w:eastAsia="Times New Roman" w:hAnsi="Times New Roman" w:cs="Times New Roman"/>
                <w:sz w:val="24"/>
                <w:szCs w:val="24"/>
                <w:lang w:val="sr-Cyrl-RS"/>
              </w:rPr>
              <w:t xml:space="preserve"> одобрених за финансирање</w:t>
            </w:r>
          </w:p>
        </w:tc>
        <w:tc>
          <w:tcPr>
            <w:tcW w:w="1855" w:type="dxa"/>
            <w:vAlign w:val="center"/>
            <w:hideMark/>
          </w:tcPr>
          <w:p w14:paraId="6C46F62E" w14:textId="0A314DCA" w:rsidR="000C7511" w:rsidRPr="00AC1FF7" w:rsidRDefault="000C7511" w:rsidP="00AC1F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AC1FF7">
              <w:rPr>
                <w:rFonts w:ascii="Times New Roman" w:eastAsia="Times New Roman" w:hAnsi="Times New Roman" w:cs="Times New Roman"/>
                <w:sz w:val="24"/>
                <w:szCs w:val="24"/>
              </w:rPr>
              <w:t>Укупна вредност пројеката</w:t>
            </w:r>
            <w:r w:rsidR="0028378A" w:rsidRPr="00AC1FF7">
              <w:rPr>
                <w:rFonts w:ascii="Times New Roman" w:eastAsia="Times New Roman" w:hAnsi="Times New Roman" w:cs="Times New Roman"/>
                <w:sz w:val="24"/>
                <w:szCs w:val="24"/>
                <w:lang w:val="sr-Cyrl-RS"/>
              </w:rPr>
              <w:t xml:space="preserve"> одобрених за финансирање</w:t>
            </w:r>
          </w:p>
          <w:p w14:paraId="795F23F7" w14:textId="77777777" w:rsidR="000C7511" w:rsidRPr="00AC1FF7" w:rsidRDefault="000C7511" w:rsidP="00AC1F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AC1FF7">
              <w:rPr>
                <w:rFonts w:ascii="Times New Roman" w:eastAsia="Times New Roman" w:hAnsi="Times New Roman" w:cs="Times New Roman"/>
                <w:sz w:val="24"/>
                <w:szCs w:val="24"/>
              </w:rPr>
              <w:t>(у €)</w:t>
            </w:r>
          </w:p>
        </w:tc>
        <w:tc>
          <w:tcPr>
            <w:tcW w:w="0" w:type="dxa"/>
            <w:vAlign w:val="center"/>
            <w:hideMark/>
          </w:tcPr>
          <w:p w14:paraId="51F3B23E" w14:textId="1B3E71CC" w:rsidR="000C7511" w:rsidRPr="00AC1FF7" w:rsidRDefault="0028378A" w:rsidP="00AC1FF7">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AC1FF7">
              <w:rPr>
                <w:rFonts w:ascii="Times New Roman" w:eastAsia="Times New Roman" w:hAnsi="Times New Roman" w:cs="Times New Roman"/>
                <w:sz w:val="24"/>
                <w:szCs w:val="24"/>
                <w:lang w:val="sr-Cyrl-RS"/>
              </w:rPr>
              <w:t>Укупан и</w:t>
            </w:r>
            <w:r w:rsidR="000C7511" w:rsidRPr="00AC1FF7">
              <w:rPr>
                <w:rFonts w:ascii="Times New Roman" w:eastAsia="Times New Roman" w:hAnsi="Times New Roman" w:cs="Times New Roman"/>
                <w:sz w:val="24"/>
                <w:szCs w:val="24"/>
              </w:rPr>
              <w:t xml:space="preserve">знос </w:t>
            </w:r>
            <w:r w:rsidRPr="00AC1FF7">
              <w:rPr>
                <w:rFonts w:ascii="Times New Roman" w:eastAsia="Times New Roman" w:hAnsi="Times New Roman" w:cs="Times New Roman"/>
                <w:sz w:val="24"/>
                <w:szCs w:val="24"/>
                <w:lang w:val="sr-Cyrl-RS"/>
              </w:rPr>
              <w:t>суфинансирања од стране Фонда</w:t>
            </w:r>
            <w:r w:rsidR="000C7511" w:rsidRPr="00AC1FF7">
              <w:rPr>
                <w:rFonts w:ascii="Times New Roman" w:eastAsia="Times New Roman" w:hAnsi="Times New Roman" w:cs="Times New Roman"/>
                <w:sz w:val="24"/>
                <w:szCs w:val="24"/>
              </w:rPr>
              <w:t xml:space="preserve"> (у €)</w:t>
            </w:r>
          </w:p>
        </w:tc>
      </w:tr>
      <w:tr w:rsidR="0028378A" w:rsidRPr="00F550F7" w14:paraId="0018A917" w14:textId="77777777" w:rsidTr="00D31210">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114" w:type="dxa"/>
            <w:hideMark/>
          </w:tcPr>
          <w:p w14:paraId="4AA0AA14" w14:textId="30CD90E6" w:rsidR="000C7511" w:rsidRPr="00F550F7" w:rsidRDefault="0028378A" w:rsidP="005550D6">
            <w:pPr>
              <w:rPr>
                <w:rFonts w:ascii="Times New Roman" w:eastAsia="Times New Roman" w:hAnsi="Times New Roman" w:cs="Times New Roman"/>
                <w:caps/>
                <w:sz w:val="24"/>
                <w:szCs w:val="24"/>
              </w:rPr>
            </w:pPr>
            <w:r w:rsidRPr="00F550F7">
              <w:rPr>
                <w:rFonts w:ascii="Times New Roman" w:eastAsia="Times New Roman" w:hAnsi="Times New Roman" w:cs="Times New Roman"/>
                <w:sz w:val="24"/>
                <w:szCs w:val="24"/>
              </w:rPr>
              <w:t>Програм раног развоја</w:t>
            </w:r>
          </w:p>
        </w:tc>
        <w:tc>
          <w:tcPr>
            <w:tcW w:w="0" w:type="dxa"/>
            <w:hideMark/>
          </w:tcPr>
          <w:p w14:paraId="10A9ACA4"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1.421</w:t>
            </w:r>
          </w:p>
        </w:tc>
        <w:tc>
          <w:tcPr>
            <w:tcW w:w="1714" w:type="dxa"/>
            <w:hideMark/>
          </w:tcPr>
          <w:p w14:paraId="5850CE38"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175</w:t>
            </w:r>
          </w:p>
        </w:tc>
        <w:tc>
          <w:tcPr>
            <w:tcW w:w="1855" w:type="dxa"/>
            <w:hideMark/>
          </w:tcPr>
          <w:p w14:paraId="2F040E7D"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17.344.588</w:t>
            </w:r>
          </w:p>
        </w:tc>
        <w:tc>
          <w:tcPr>
            <w:tcW w:w="0" w:type="dxa"/>
            <w:hideMark/>
          </w:tcPr>
          <w:p w14:paraId="49ACAA93"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13.048.446</w:t>
            </w:r>
          </w:p>
        </w:tc>
      </w:tr>
      <w:tr w:rsidR="0028378A" w:rsidRPr="00F550F7" w14:paraId="42A6EA67" w14:textId="77777777" w:rsidTr="00D31210">
        <w:trPr>
          <w:trHeight w:val="222"/>
          <w:jc w:val="center"/>
        </w:trPr>
        <w:tc>
          <w:tcPr>
            <w:cnfStyle w:val="001000000000" w:firstRow="0" w:lastRow="0" w:firstColumn="1" w:lastColumn="0" w:oddVBand="0" w:evenVBand="0" w:oddHBand="0" w:evenHBand="0" w:firstRowFirstColumn="0" w:firstRowLastColumn="0" w:lastRowFirstColumn="0" w:lastRowLastColumn="0"/>
            <w:tcW w:w="3114" w:type="dxa"/>
            <w:hideMark/>
          </w:tcPr>
          <w:p w14:paraId="4D1B891B" w14:textId="031A331F" w:rsidR="000C7511" w:rsidRPr="00F550F7" w:rsidRDefault="0028378A" w:rsidP="005550D6">
            <w:pPr>
              <w:rPr>
                <w:rFonts w:ascii="Times New Roman" w:eastAsia="Times New Roman" w:hAnsi="Times New Roman" w:cs="Times New Roman"/>
                <w:caps/>
                <w:sz w:val="24"/>
                <w:szCs w:val="24"/>
              </w:rPr>
            </w:pPr>
            <w:r w:rsidRPr="00F550F7">
              <w:rPr>
                <w:rFonts w:ascii="Times New Roman" w:eastAsia="Times New Roman" w:hAnsi="Times New Roman" w:cs="Times New Roman"/>
                <w:sz w:val="24"/>
                <w:szCs w:val="24"/>
              </w:rPr>
              <w:t>Програм суфинансирања иновација</w:t>
            </w:r>
          </w:p>
        </w:tc>
        <w:tc>
          <w:tcPr>
            <w:tcW w:w="0" w:type="dxa"/>
            <w:hideMark/>
          </w:tcPr>
          <w:p w14:paraId="3467C207"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435</w:t>
            </w:r>
          </w:p>
        </w:tc>
        <w:tc>
          <w:tcPr>
            <w:tcW w:w="1714" w:type="dxa"/>
            <w:hideMark/>
          </w:tcPr>
          <w:p w14:paraId="0B8B5944"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50</w:t>
            </w:r>
          </w:p>
        </w:tc>
        <w:tc>
          <w:tcPr>
            <w:tcW w:w="1855" w:type="dxa"/>
            <w:hideMark/>
          </w:tcPr>
          <w:p w14:paraId="7BEC4D8E"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19.791.360</w:t>
            </w:r>
          </w:p>
        </w:tc>
        <w:tc>
          <w:tcPr>
            <w:tcW w:w="3015" w:type="dxa"/>
            <w:hideMark/>
          </w:tcPr>
          <w:p w14:paraId="33684835"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12.109.340</w:t>
            </w:r>
          </w:p>
        </w:tc>
      </w:tr>
      <w:tr w:rsidR="0028378A" w:rsidRPr="00F550F7" w14:paraId="79B533AB" w14:textId="77777777" w:rsidTr="00D31210">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114" w:type="dxa"/>
            <w:hideMark/>
          </w:tcPr>
          <w:p w14:paraId="187B4065" w14:textId="57E485A7" w:rsidR="000C7511" w:rsidRPr="00F550F7" w:rsidRDefault="0028378A" w:rsidP="005550D6">
            <w:pPr>
              <w:rPr>
                <w:rFonts w:ascii="Times New Roman" w:eastAsia="Times New Roman" w:hAnsi="Times New Roman" w:cs="Times New Roman"/>
                <w:caps/>
                <w:sz w:val="24"/>
                <w:szCs w:val="24"/>
              </w:rPr>
            </w:pPr>
            <w:r w:rsidRPr="00F550F7">
              <w:rPr>
                <w:rFonts w:ascii="Times New Roman" w:eastAsia="Times New Roman" w:hAnsi="Times New Roman" w:cs="Times New Roman"/>
                <w:sz w:val="24"/>
                <w:szCs w:val="24"/>
              </w:rPr>
              <w:t>Програм сарадње науке и привреде</w:t>
            </w:r>
          </w:p>
        </w:tc>
        <w:tc>
          <w:tcPr>
            <w:tcW w:w="0" w:type="dxa"/>
            <w:hideMark/>
          </w:tcPr>
          <w:p w14:paraId="4B622766"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279</w:t>
            </w:r>
          </w:p>
        </w:tc>
        <w:tc>
          <w:tcPr>
            <w:tcW w:w="1714" w:type="dxa"/>
            <w:hideMark/>
          </w:tcPr>
          <w:p w14:paraId="0F8E638D"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48</w:t>
            </w:r>
          </w:p>
        </w:tc>
        <w:tc>
          <w:tcPr>
            <w:tcW w:w="1855" w:type="dxa"/>
            <w:hideMark/>
          </w:tcPr>
          <w:p w14:paraId="648DD67C"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17.784.473</w:t>
            </w:r>
          </w:p>
        </w:tc>
        <w:tc>
          <w:tcPr>
            <w:tcW w:w="0" w:type="dxa"/>
            <w:hideMark/>
          </w:tcPr>
          <w:p w14:paraId="306A5114"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11.722.269</w:t>
            </w:r>
          </w:p>
        </w:tc>
      </w:tr>
      <w:tr w:rsidR="0028378A" w:rsidRPr="00F550F7" w14:paraId="01932AE4" w14:textId="77777777" w:rsidTr="00D31210">
        <w:trPr>
          <w:trHeight w:val="210"/>
          <w:jc w:val="center"/>
        </w:trPr>
        <w:tc>
          <w:tcPr>
            <w:cnfStyle w:val="001000000000" w:firstRow="0" w:lastRow="0" w:firstColumn="1" w:lastColumn="0" w:oddVBand="0" w:evenVBand="0" w:oddHBand="0" w:evenHBand="0" w:firstRowFirstColumn="0" w:firstRowLastColumn="0" w:lastRowFirstColumn="0" w:lastRowLastColumn="0"/>
            <w:tcW w:w="3114" w:type="dxa"/>
            <w:hideMark/>
          </w:tcPr>
          <w:p w14:paraId="378C2B4C" w14:textId="0BD9CD3A" w:rsidR="000C7511" w:rsidRPr="00F550F7" w:rsidRDefault="0028378A" w:rsidP="005550D6">
            <w:pPr>
              <w:rPr>
                <w:rFonts w:ascii="Times New Roman" w:eastAsia="Times New Roman" w:hAnsi="Times New Roman" w:cs="Times New Roman"/>
                <w:caps/>
                <w:sz w:val="24"/>
                <w:szCs w:val="24"/>
              </w:rPr>
            </w:pPr>
            <w:r w:rsidRPr="00F550F7">
              <w:rPr>
                <w:rFonts w:ascii="Times New Roman" w:eastAsia="Times New Roman" w:hAnsi="Times New Roman" w:cs="Times New Roman"/>
                <w:sz w:val="24"/>
                <w:szCs w:val="24"/>
              </w:rPr>
              <w:t>Иновациони ваучери</w:t>
            </w:r>
          </w:p>
        </w:tc>
        <w:tc>
          <w:tcPr>
            <w:tcW w:w="0" w:type="dxa"/>
            <w:hideMark/>
          </w:tcPr>
          <w:p w14:paraId="1765C5F9"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973</w:t>
            </w:r>
          </w:p>
        </w:tc>
        <w:tc>
          <w:tcPr>
            <w:tcW w:w="1714" w:type="dxa"/>
            <w:hideMark/>
          </w:tcPr>
          <w:p w14:paraId="3668A03F"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843</w:t>
            </w:r>
          </w:p>
        </w:tc>
        <w:tc>
          <w:tcPr>
            <w:tcW w:w="1855" w:type="dxa"/>
            <w:hideMark/>
          </w:tcPr>
          <w:p w14:paraId="66D872F7"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5.746.735</w:t>
            </w:r>
          </w:p>
        </w:tc>
        <w:tc>
          <w:tcPr>
            <w:tcW w:w="3015" w:type="dxa"/>
            <w:hideMark/>
          </w:tcPr>
          <w:p w14:paraId="18BF6505"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4.100.471</w:t>
            </w:r>
          </w:p>
        </w:tc>
      </w:tr>
      <w:tr w:rsidR="0028378A" w:rsidRPr="00F550F7" w14:paraId="0C291F5C" w14:textId="77777777" w:rsidTr="00D31210">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114" w:type="dxa"/>
            <w:hideMark/>
          </w:tcPr>
          <w:p w14:paraId="05E1178B" w14:textId="2EC07703" w:rsidR="000C7511" w:rsidRPr="00F550F7" w:rsidRDefault="0028378A" w:rsidP="005550D6">
            <w:pPr>
              <w:rPr>
                <w:rFonts w:ascii="Times New Roman" w:eastAsia="Times New Roman" w:hAnsi="Times New Roman" w:cs="Times New Roman"/>
                <w:caps/>
                <w:sz w:val="24"/>
                <w:szCs w:val="24"/>
              </w:rPr>
            </w:pPr>
            <w:r w:rsidRPr="00F550F7">
              <w:rPr>
                <w:rFonts w:ascii="Times New Roman" w:eastAsia="Times New Roman" w:hAnsi="Times New Roman" w:cs="Times New Roman"/>
                <w:sz w:val="24"/>
                <w:szCs w:val="24"/>
              </w:rPr>
              <w:t>Програм трансфера технологије</w:t>
            </w:r>
          </w:p>
        </w:tc>
        <w:tc>
          <w:tcPr>
            <w:tcW w:w="0" w:type="dxa"/>
            <w:hideMark/>
          </w:tcPr>
          <w:p w14:paraId="2750D124"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36</w:t>
            </w:r>
          </w:p>
        </w:tc>
        <w:tc>
          <w:tcPr>
            <w:tcW w:w="1714" w:type="dxa"/>
            <w:hideMark/>
          </w:tcPr>
          <w:p w14:paraId="62742667"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27</w:t>
            </w:r>
          </w:p>
        </w:tc>
        <w:tc>
          <w:tcPr>
            <w:tcW w:w="1855" w:type="dxa"/>
            <w:hideMark/>
          </w:tcPr>
          <w:p w14:paraId="1CF2338B"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580.350</w:t>
            </w:r>
          </w:p>
        </w:tc>
        <w:tc>
          <w:tcPr>
            <w:tcW w:w="0" w:type="dxa"/>
            <w:hideMark/>
          </w:tcPr>
          <w:p w14:paraId="12B02FDE"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580.350</w:t>
            </w:r>
          </w:p>
        </w:tc>
      </w:tr>
      <w:tr w:rsidR="0028378A" w:rsidRPr="00F550F7" w14:paraId="4C61C813" w14:textId="77777777" w:rsidTr="00D31210">
        <w:trPr>
          <w:trHeight w:val="222"/>
          <w:jc w:val="center"/>
        </w:trPr>
        <w:tc>
          <w:tcPr>
            <w:cnfStyle w:val="001000000000" w:firstRow="0" w:lastRow="0" w:firstColumn="1" w:lastColumn="0" w:oddVBand="0" w:evenVBand="0" w:oddHBand="0" w:evenHBand="0" w:firstRowFirstColumn="0" w:firstRowLastColumn="0" w:lastRowFirstColumn="0" w:lastRowLastColumn="0"/>
            <w:tcW w:w="3114" w:type="dxa"/>
            <w:hideMark/>
          </w:tcPr>
          <w:p w14:paraId="20A4B962" w14:textId="7C2EDF2F" w:rsidR="000C7511" w:rsidRPr="00F550F7" w:rsidRDefault="0028378A" w:rsidP="005550D6">
            <w:pPr>
              <w:rPr>
                <w:rFonts w:ascii="Times New Roman" w:eastAsia="Times New Roman" w:hAnsi="Times New Roman" w:cs="Times New Roman"/>
                <w:caps/>
                <w:sz w:val="24"/>
                <w:szCs w:val="24"/>
              </w:rPr>
            </w:pPr>
            <w:r w:rsidRPr="00F550F7">
              <w:rPr>
                <w:rFonts w:ascii="Times New Roman" w:eastAsia="Times New Roman" w:hAnsi="Times New Roman" w:cs="Times New Roman"/>
                <w:sz w:val="24"/>
                <w:szCs w:val="24"/>
              </w:rPr>
              <w:t>Доказ концепта</w:t>
            </w:r>
          </w:p>
        </w:tc>
        <w:tc>
          <w:tcPr>
            <w:tcW w:w="0" w:type="dxa"/>
            <w:hideMark/>
          </w:tcPr>
          <w:p w14:paraId="6A68977A"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521</w:t>
            </w:r>
          </w:p>
        </w:tc>
        <w:tc>
          <w:tcPr>
            <w:tcW w:w="1714" w:type="dxa"/>
            <w:hideMark/>
          </w:tcPr>
          <w:p w14:paraId="498809F9"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93</w:t>
            </w:r>
          </w:p>
        </w:tc>
        <w:tc>
          <w:tcPr>
            <w:tcW w:w="1855" w:type="dxa"/>
            <w:hideMark/>
          </w:tcPr>
          <w:p w14:paraId="02F36975"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1.752.077</w:t>
            </w:r>
          </w:p>
        </w:tc>
        <w:tc>
          <w:tcPr>
            <w:tcW w:w="3015" w:type="dxa"/>
            <w:hideMark/>
          </w:tcPr>
          <w:p w14:paraId="4F21525E"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1.752.077</w:t>
            </w:r>
          </w:p>
        </w:tc>
      </w:tr>
      <w:tr w:rsidR="0028378A" w:rsidRPr="00F550F7" w14:paraId="7AD1DB02" w14:textId="77777777" w:rsidTr="00D31210">
        <w:trPr>
          <w:cnfStyle w:val="000000100000" w:firstRow="0" w:lastRow="0" w:firstColumn="0" w:lastColumn="0" w:oddVBand="0" w:evenVBand="0" w:oddHBand="1" w:evenHBand="0" w:firstRowFirstColumn="0" w:firstRowLastColumn="0" w:lastRowFirstColumn="0" w:lastRowLastColumn="0"/>
          <w:trHeight w:val="222"/>
          <w:jc w:val="center"/>
        </w:trPr>
        <w:tc>
          <w:tcPr>
            <w:cnfStyle w:val="001000000000" w:firstRow="0" w:lastRow="0" w:firstColumn="1" w:lastColumn="0" w:oddVBand="0" w:evenVBand="0" w:oddHBand="0" w:evenHBand="0" w:firstRowFirstColumn="0" w:firstRowLastColumn="0" w:lastRowFirstColumn="0" w:lastRowLastColumn="0"/>
            <w:tcW w:w="3114" w:type="dxa"/>
            <w:hideMark/>
          </w:tcPr>
          <w:p w14:paraId="5E456F45" w14:textId="5F2A6AE7" w:rsidR="000C7511" w:rsidRPr="00F550F7" w:rsidRDefault="00342F9E" w:rsidP="005550D6">
            <w:pPr>
              <w:rPr>
                <w:rFonts w:ascii="Times New Roman" w:eastAsia="Times New Roman" w:hAnsi="Times New Roman" w:cs="Times New Roman"/>
                <w:caps/>
                <w:sz w:val="24"/>
                <w:szCs w:val="24"/>
              </w:rPr>
            </w:pPr>
            <w:r>
              <w:rPr>
                <w:rFonts w:ascii="Times New Roman" w:eastAsia="Times New Roman" w:hAnsi="Times New Roman" w:cs="Times New Roman"/>
                <w:sz w:val="24"/>
                <w:szCs w:val="24"/>
              </w:rPr>
              <w:t>Цовид</w:t>
            </w:r>
            <w:r w:rsidR="0028378A" w:rsidRPr="00F550F7">
              <w:rPr>
                <w:rFonts w:ascii="Times New Roman" w:eastAsia="Times New Roman" w:hAnsi="Times New Roman" w:cs="Times New Roman"/>
                <w:sz w:val="24"/>
                <w:szCs w:val="24"/>
              </w:rPr>
              <w:t>-19</w:t>
            </w:r>
          </w:p>
        </w:tc>
        <w:tc>
          <w:tcPr>
            <w:tcW w:w="0" w:type="dxa"/>
            <w:hideMark/>
          </w:tcPr>
          <w:p w14:paraId="28CA9943"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229</w:t>
            </w:r>
          </w:p>
        </w:tc>
        <w:tc>
          <w:tcPr>
            <w:tcW w:w="1714" w:type="dxa"/>
            <w:hideMark/>
          </w:tcPr>
          <w:p w14:paraId="7F666817"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12</w:t>
            </w:r>
          </w:p>
        </w:tc>
        <w:tc>
          <w:tcPr>
            <w:tcW w:w="1855" w:type="dxa"/>
            <w:hideMark/>
          </w:tcPr>
          <w:p w14:paraId="16B448DF"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552.793</w:t>
            </w:r>
          </w:p>
        </w:tc>
        <w:tc>
          <w:tcPr>
            <w:tcW w:w="0" w:type="dxa"/>
            <w:hideMark/>
          </w:tcPr>
          <w:p w14:paraId="1D5C5912" w14:textId="77777777" w:rsidR="000C7511" w:rsidRPr="00F550F7" w:rsidRDefault="000C7511" w:rsidP="005550D6">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sz w:val="24"/>
                <w:szCs w:val="24"/>
              </w:rPr>
              <w:t>468.907</w:t>
            </w:r>
          </w:p>
        </w:tc>
      </w:tr>
      <w:tr w:rsidR="0028378A" w:rsidRPr="00F550F7" w14:paraId="3D95C4D4" w14:textId="77777777" w:rsidTr="00D31210">
        <w:trPr>
          <w:trHeight w:val="210"/>
          <w:jc w:val="center"/>
        </w:trPr>
        <w:tc>
          <w:tcPr>
            <w:cnfStyle w:val="001000000000" w:firstRow="0" w:lastRow="0" w:firstColumn="1" w:lastColumn="0" w:oddVBand="0" w:evenVBand="0" w:oddHBand="0" w:evenHBand="0" w:firstRowFirstColumn="0" w:firstRowLastColumn="0" w:lastRowFirstColumn="0" w:lastRowLastColumn="0"/>
            <w:tcW w:w="3114" w:type="dxa"/>
            <w:hideMark/>
          </w:tcPr>
          <w:p w14:paraId="5FCBC2E7" w14:textId="77777777" w:rsidR="000C7511" w:rsidRPr="00F550F7" w:rsidRDefault="000C7511" w:rsidP="005550D6">
            <w:pPr>
              <w:rPr>
                <w:rFonts w:ascii="Times New Roman" w:eastAsia="Times New Roman" w:hAnsi="Times New Roman" w:cs="Times New Roman"/>
                <w:b w:val="0"/>
                <w:caps/>
                <w:sz w:val="24"/>
                <w:szCs w:val="24"/>
              </w:rPr>
            </w:pPr>
            <w:r w:rsidRPr="00F550F7">
              <w:rPr>
                <w:rFonts w:ascii="Times New Roman" w:eastAsia="Times New Roman" w:hAnsi="Times New Roman" w:cs="Times New Roman"/>
                <w:caps/>
                <w:sz w:val="24"/>
                <w:szCs w:val="24"/>
              </w:rPr>
              <w:t>УКУПНО</w:t>
            </w:r>
          </w:p>
        </w:tc>
        <w:tc>
          <w:tcPr>
            <w:tcW w:w="0" w:type="dxa"/>
            <w:hideMark/>
          </w:tcPr>
          <w:p w14:paraId="2700F668"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b/>
                <w:bCs/>
                <w:sz w:val="24"/>
                <w:szCs w:val="24"/>
              </w:rPr>
              <w:t>3.894</w:t>
            </w:r>
          </w:p>
        </w:tc>
        <w:tc>
          <w:tcPr>
            <w:tcW w:w="1714" w:type="dxa"/>
            <w:hideMark/>
          </w:tcPr>
          <w:p w14:paraId="6AF9A921"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b/>
                <w:bCs/>
                <w:sz w:val="24"/>
                <w:szCs w:val="24"/>
              </w:rPr>
              <w:t>1.248</w:t>
            </w:r>
          </w:p>
        </w:tc>
        <w:tc>
          <w:tcPr>
            <w:tcW w:w="1855" w:type="dxa"/>
            <w:hideMark/>
          </w:tcPr>
          <w:p w14:paraId="06DA3D6B"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b/>
                <w:bCs/>
                <w:sz w:val="24"/>
                <w:szCs w:val="24"/>
              </w:rPr>
              <w:t>63.552.376</w:t>
            </w:r>
          </w:p>
        </w:tc>
        <w:tc>
          <w:tcPr>
            <w:tcW w:w="3015" w:type="dxa"/>
            <w:hideMark/>
          </w:tcPr>
          <w:p w14:paraId="7D72F108" w14:textId="77777777" w:rsidR="000C7511" w:rsidRPr="00F550F7" w:rsidRDefault="000C7511" w:rsidP="005550D6">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r w:rsidRPr="00F550F7">
              <w:rPr>
                <w:rFonts w:ascii="Times New Roman" w:eastAsia="Times New Roman" w:hAnsi="Times New Roman" w:cs="Times New Roman"/>
                <w:b/>
                <w:bCs/>
                <w:sz w:val="24"/>
                <w:szCs w:val="24"/>
              </w:rPr>
              <w:t>43.781.860</w:t>
            </w:r>
          </w:p>
        </w:tc>
      </w:tr>
    </w:tbl>
    <w:p w14:paraId="4D2FCB24" w14:textId="77777777" w:rsidR="008645B4" w:rsidRDefault="008645B4" w:rsidP="00C47E1A">
      <w:pPr>
        <w:ind w:left="720"/>
        <w:jc w:val="both"/>
        <w:rPr>
          <w:rFonts w:ascii="Times New Roman" w:hAnsi="Times New Roman" w:cs="Times New Roman"/>
          <w:b/>
          <w:sz w:val="24"/>
          <w:szCs w:val="24"/>
        </w:rPr>
      </w:pPr>
    </w:p>
    <w:p w14:paraId="437ADDB6" w14:textId="6D237719" w:rsidR="00CC128C" w:rsidRDefault="00CC128C" w:rsidP="008D6B60">
      <w:pPr>
        <w:ind w:firstLine="720"/>
        <w:jc w:val="both"/>
        <w:rPr>
          <w:rFonts w:ascii="Times New Roman" w:hAnsi="Times New Roman" w:cs="Times New Roman"/>
          <w:sz w:val="24"/>
          <w:szCs w:val="24"/>
        </w:rPr>
      </w:pPr>
      <w:r w:rsidRPr="00CC128C">
        <w:rPr>
          <w:rFonts w:ascii="Times New Roman" w:hAnsi="Times New Roman" w:cs="Times New Roman"/>
          <w:sz w:val="24"/>
          <w:szCs w:val="24"/>
        </w:rPr>
        <w:t>У периоду од оснивања па до данас, Фонд за иновациону делатност је финансирао укупно 1</w:t>
      </w:r>
      <w:r w:rsidR="00B1456D">
        <w:rPr>
          <w:rFonts w:ascii="Times New Roman" w:hAnsi="Times New Roman" w:cs="Times New Roman"/>
          <w:sz w:val="24"/>
          <w:szCs w:val="24"/>
          <w:lang w:val="sr-Cyrl-RS"/>
        </w:rPr>
        <w:t>.</w:t>
      </w:r>
      <w:r w:rsidRPr="00CC128C">
        <w:rPr>
          <w:rFonts w:ascii="Times New Roman" w:hAnsi="Times New Roman" w:cs="Times New Roman"/>
          <w:sz w:val="24"/>
          <w:szCs w:val="24"/>
        </w:rPr>
        <w:t>248 пројекта, у оквиру програма чија је структура дата у Табели</w:t>
      </w:r>
      <w:r w:rsidR="00034C2E">
        <w:rPr>
          <w:rFonts w:ascii="Times New Roman" w:hAnsi="Times New Roman" w:cs="Times New Roman"/>
          <w:sz w:val="24"/>
          <w:szCs w:val="24"/>
        </w:rPr>
        <w:t xml:space="preserve"> 4</w:t>
      </w:r>
      <w:r w:rsidRPr="00CC128C">
        <w:rPr>
          <w:rFonts w:ascii="Times New Roman" w:hAnsi="Times New Roman" w:cs="Times New Roman"/>
          <w:sz w:val="24"/>
          <w:szCs w:val="24"/>
        </w:rPr>
        <w:t>, при чему улагање Фонда износи 43</w:t>
      </w:r>
      <w:r w:rsidR="00B1456D">
        <w:rPr>
          <w:rFonts w:ascii="Times New Roman" w:hAnsi="Times New Roman" w:cs="Times New Roman"/>
          <w:sz w:val="24"/>
          <w:szCs w:val="24"/>
          <w:lang w:val="sr-Cyrl-RS"/>
        </w:rPr>
        <w:t>,</w:t>
      </w:r>
      <w:r w:rsidRPr="00CC128C">
        <w:rPr>
          <w:rFonts w:ascii="Times New Roman" w:hAnsi="Times New Roman" w:cs="Times New Roman"/>
          <w:sz w:val="24"/>
          <w:szCs w:val="24"/>
        </w:rPr>
        <w:t>7 милиона евра.</w:t>
      </w:r>
    </w:p>
    <w:p w14:paraId="5B986CB4" w14:textId="23E55C36" w:rsidR="00CC128C" w:rsidRDefault="00CC128C" w:rsidP="008D6B60">
      <w:pPr>
        <w:ind w:firstLine="720"/>
        <w:jc w:val="both"/>
        <w:rPr>
          <w:rFonts w:ascii="Times New Roman" w:hAnsi="Times New Roman" w:cs="Times New Roman"/>
          <w:sz w:val="24"/>
          <w:szCs w:val="24"/>
        </w:rPr>
      </w:pPr>
    </w:p>
    <w:p w14:paraId="7872C02C" w14:textId="627EAD67" w:rsidR="002B79B7" w:rsidRPr="00C4657D" w:rsidRDefault="002E14F8" w:rsidP="00C4657D">
      <w:pPr>
        <w:ind w:firstLine="720"/>
        <w:jc w:val="both"/>
        <w:rPr>
          <w:rFonts w:ascii="Times New Roman" w:hAnsi="Times New Roman" w:cs="Times New Roman"/>
          <w:sz w:val="24"/>
          <w:szCs w:val="24"/>
        </w:rPr>
      </w:pPr>
      <w:r>
        <w:rPr>
          <w:rFonts w:ascii="Times New Roman" w:hAnsi="Times New Roman" w:cs="Times New Roman"/>
          <w:sz w:val="24"/>
          <w:szCs w:val="24"/>
          <w:lang w:val="sr-Cyrl-RS"/>
        </w:rPr>
        <w:t>Фонд за иновациону делатност је успоставио систем мониторинга и евалуације, према коме прати резултате подржаних пројеката кроз успоствљене програме. Кроз систем мониторинга и евалуације, Фонд за иновациону делатност је дефинисао а</w:t>
      </w:r>
      <w:r w:rsidRPr="00C61247">
        <w:rPr>
          <w:rFonts w:ascii="Times New Roman" w:hAnsi="Times New Roman" w:cs="Times New Roman"/>
          <w:sz w:val="24"/>
          <w:szCs w:val="24"/>
          <w:lang w:val="sr-Cyrl-RS"/>
        </w:rPr>
        <w:t>лат</w:t>
      </w:r>
      <w:r>
        <w:rPr>
          <w:rFonts w:ascii="Times New Roman" w:hAnsi="Times New Roman" w:cs="Times New Roman"/>
          <w:sz w:val="24"/>
          <w:szCs w:val="24"/>
          <w:lang w:val="sr-Cyrl-RS"/>
        </w:rPr>
        <w:t>е</w:t>
      </w:r>
      <w:r w:rsidRPr="00C61247">
        <w:rPr>
          <w:rFonts w:ascii="Times New Roman" w:hAnsi="Times New Roman" w:cs="Times New Roman"/>
          <w:sz w:val="24"/>
          <w:szCs w:val="24"/>
          <w:lang w:val="sr-Cyrl-RS"/>
        </w:rPr>
        <w:t xml:space="preserve"> за прикупљање података о улазима и рез</w:t>
      </w:r>
      <w:r>
        <w:rPr>
          <w:rFonts w:ascii="Times New Roman" w:hAnsi="Times New Roman" w:cs="Times New Roman"/>
          <w:sz w:val="24"/>
          <w:szCs w:val="24"/>
          <w:lang w:val="sr-Cyrl-RS"/>
        </w:rPr>
        <w:t>у</w:t>
      </w:r>
      <w:r w:rsidRPr="00C61247">
        <w:rPr>
          <w:rFonts w:ascii="Times New Roman" w:hAnsi="Times New Roman" w:cs="Times New Roman"/>
          <w:sz w:val="24"/>
          <w:szCs w:val="24"/>
          <w:lang w:val="sr-Cyrl-RS"/>
        </w:rPr>
        <w:t xml:space="preserve">лтатима </w:t>
      </w:r>
      <w:r>
        <w:rPr>
          <w:rFonts w:ascii="Times New Roman" w:hAnsi="Times New Roman" w:cs="Times New Roman"/>
          <w:sz w:val="24"/>
          <w:szCs w:val="24"/>
          <w:lang w:val="sr-Cyrl-RS"/>
        </w:rPr>
        <w:t xml:space="preserve">и то су </w:t>
      </w:r>
      <w:r w:rsidRPr="00C61247">
        <w:rPr>
          <w:rFonts w:ascii="Times New Roman" w:hAnsi="Times New Roman" w:cs="Times New Roman"/>
          <w:sz w:val="24"/>
          <w:szCs w:val="24"/>
          <w:lang w:val="sr-Cyrl-RS"/>
        </w:rPr>
        <w:t xml:space="preserve">портал за </w:t>
      </w:r>
      <w:r>
        <w:rPr>
          <w:rFonts w:ascii="Times New Roman" w:hAnsi="Times New Roman" w:cs="Times New Roman"/>
          <w:sz w:val="24"/>
          <w:szCs w:val="24"/>
          <w:lang w:val="sr-Cyrl-RS"/>
        </w:rPr>
        <w:t xml:space="preserve">подношење </w:t>
      </w:r>
      <w:r w:rsidRPr="00C61247">
        <w:rPr>
          <w:rFonts w:ascii="Times New Roman" w:hAnsi="Times New Roman" w:cs="Times New Roman"/>
          <w:sz w:val="24"/>
          <w:szCs w:val="24"/>
          <w:lang w:val="sr-Cyrl-RS"/>
        </w:rPr>
        <w:t>пријав</w:t>
      </w:r>
      <w:r>
        <w:rPr>
          <w:rFonts w:ascii="Times New Roman" w:hAnsi="Times New Roman" w:cs="Times New Roman"/>
          <w:sz w:val="24"/>
          <w:szCs w:val="24"/>
          <w:lang w:val="sr-Cyrl-RS"/>
        </w:rPr>
        <w:t>а пројеката, извештаји корисника средстава</w:t>
      </w:r>
      <w:r w:rsidRPr="00C61247">
        <w:rPr>
          <w:rFonts w:ascii="Times New Roman" w:hAnsi="Times New Roman" w:cs="Times New Roman"/>
          <w:sz w:val="24"/>
          <w:szCs w:val="24"/>
          <w:lang w:val="sr-Cyrl-RS"/>
        </w:rPr>
        <w:t xml:space="preserve">, званични регистри (Агенција за привредне регистре – Регистар привредних друштава и Регистар финансијских извештаја) и анкете. </w:t>
      </w:r>
      <w:r>
        <w:rPr>
          <w:rFonts w:ascii="Times New Roman" w:hAnsi="Times New Roman" w:cs="Times New Roman"/>
          <w:sz w:val="24"/>
          <w:szCs w:val="24"/>
          <w:lang w:val="sr-Cyrl-RS"/>
        </w:rPr>
        <w:t>Иначе</w:t>
      </w:r>
      <w:r w:rsidRPr="00C61247">
        <w:rPr>
          <w:rFonts w:ascii="Times New Roman" w:hAnsi="Times New Roman" w:cs="Times New Roman"/>
          <w:sz w:val="24"/>
          <w:szCs w:val="24"/>
          <w:lang w:val="sr-Cyrl-RS"/>
        </w:rPr>
        <w:t xml:space="preserve">, корисници средстава су у обавези пет година након </w:t>
      </w:r>
      <w:r>
        <w:rPr>
          <w:rFonts w:ascii="Times New Roman" w:hAnsi="Times New Roman" w:cs="Times New Roman"/>
          <w:sz w:val="24"/>
          <w:szCs w:val="24"/>
          <w:lang w:val="sr-Cyrl-RS"/>
        </w:rPr>
        <w:t>завршетка</w:t>
      </w:r>
      <w:r w:rsidRPr="00C61247">
        <w:rPr>
          <w:rFonts w:ascii="Times New Roman" w:hAnsi="Times New Roman" w:cs="Times New Roman"/>
          <w:sz w:val="24"/>
          <w:szCs w:val="24"/>
          <w:lang w:val="sr-Cyrl-RS"/>
        </w:rPr>
        <w:t xml:space="preserve"> финансирања пројекта да достављају информације</w:t>
      </w:r>
      <w:r>
        <w:rPr>
          <w:rFonts w:ascii="Times New Roman" w:hAnsi="Times New Roman" w:cs="Times New Roman"/>
          <w:sz w:val="24"/>
          <w:szCs w:val="24"/>
          <w:lang w:val="sr-Cyrl-RS"/>
        </w:rPr>
        <w:t xml:space="preserve"> о резултатима реализованог пројекта. У Табели </w:t>
      </w:r>
      <w:r w:rsidR="00A81DA8">
        <w:rPr>
          <w:rFonts w:ascii="Times New Roman" w:hAnsi="Times New Roman" w:cs="Times New Roman"/>
          <w:sz w:val="24"/>
          <w:szCs w:val="24"/>
          <w:lang w:val="sr-Cyrl-RS"/>
        </w:rPr>
        <w:t>5</w:t>
      </w:r>
      <w:r>
        <w:rPr>
          <w:rFonts w:ascii="Times New Roman" w:hAnsi="Times New Roman" w:cs="Times New Roman"/>
          <w:sz w:val="24"/>
          <w:szCs w:val="24"/>
          <w:lang w:val="sr-Cyrl-RS"/>
        </w:rPr>
        <w:t xml:space="preserve"> представљени су основни резултати пројеката које је Фонд финансирао у протеклом периоду, закључно са 31. децембром 2020. године. </w:t>
      </w:r>
    </w:p>
    <w:p w14:paraId="625909AB" w14:textId="77777777" w:rsidR="002B79B7" w:rsidRDefault="002B79B7" w:rsidP="002E14F8">
      <w:pPr>
        <w:ind w:firstLine="720"/>
        <w:jc w:val="both"/>
        <w:rPr>
          <w:rFonts w:ascii="Times New Roman" w:hAnsi="Times New Roman" w:cs="Times New Roman"/>
          <w:sz w:val="24"/>
          <w:szCs w:val="24"/>
          <w:lang w:val="sr-Cyrl-RS"/>
        </w:rPr>
      </w:pPr>
    </w:p>
    <w:p w14:paraId="31C7BE38" w14:textId="05BCEC22" w:rsidR="002E14F8" w:rsidRPr="000A2989" w:rsidRDefault="00034C2E" w:rsidP="002E14F8">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Табела 5</w:t>
      </w:r>
      <w:r w:rsidR="002E14F8">
        <w:rPr>
          <w:rFonts w:ascii="Times New Roman" w:hAnsi="Times New Roman" w:cs="Times New Roman"/>
          <w:sz w:val="24"/>
          <w:szCs w:val="24"/>
          <w:lang w:val="sr-Cyrl-RS"/>
        </w:rPr>
        <w:t>. Преглед остварених резултата финансираних пројеката по програмима (закључно са 30.12.2020. године)</w:t>
      </w:r>
      <w:r w:rsidR="003906EE">
        <w:rPr>
          <w:rFonts w:ascii="Times New Roman" w:hAnsi="Times New Roman" w:cs="Times New Roman"/>
          <w:sz w:val="24"/>
          <w:szCs w:val="24"/>
          <w:lang w:val="sr-Cyrl-RS"/>
        </w:rPr>
        <w:t>*</w:t>
      </w:r>
    </w:p>
    <w:tbl>
      <w:tblPr>
        <w:tblStyle w:val="GridTable4-Accent61"/>
        <w:tblW w:w="11210" w:type="dxa"/>
        <w:tblInd w:w="-714" w:type="dxa"/>
        <w:tblLook w:val="04A0" w:firstRow="1" w:lastRow="0" w:firstColumn="1" w:lastColumn="0" w:noHBand="0" w:noVBand="1"/>
      </w:tblPr>
      <w:tblGrid>
        <w:gridCol w:w="1664"/>
        <w:gridCol w:w="1773"/>
        <w:gridCol w:w="1695"/>
        <w:gridCol w:w="2008"/>
        <w:gridCol w:w="2111"/>
        <w:gridCol w:w="1959"/>
      </w:tblGrid>
      <w:tr w:rsidR="002E14F8" w:rsidRPr="002E14F8" w14:paraId="431D48B9" w14:textId="77777777" w:rsidTr="0014140C">
        <w:trPr>
          <w:cnfStyle w:val="100000000000" w:firstRow="1" w:lastRow="0" w:firstColumn="0" w:lastColumn="0" w:oddVBand="0" w:evenVBand="0" w:oddHBand="0"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0" w:type="dxa"/>
            <w:noWrap/>
            <w:vAlign w:val="center"/>
            <w:hideMark/>
          </w:tcPr>
          <w:p w14:paraId="0D089B0D" w14:textId="1607E3E6" w:rsidR="002E14F8" w:rsidRPr="0014140C" w:rsidRDefault="002E14F8" w:rsidP="0014140C">
            <w:pPr>
              <w:jc w:val="center"/>
              <w:rPr>
                <w:rFonts w:ascii="Times New Roman" w:eastAsia="Times New Roman" w:hAnsi="Times New Roman" w:cs="Times New Roman"/>
                <w:bCs w:val="0"/>
                <w:sz w:val="20"/>
                <w:szCs w:val="20"/>
                <w:lang w:val="sr-Latn-RS" w:eastAsia="sr-Latn-RS"/>
              </w:rPr>
            </w:pPr>
            <w:r w:rsidRPr="0014140C">
              <w:rPr>
                <w:rFonts w:ascii="Times New Roman" w:eastAsia="Times New Roman" w:hAnsi="Times New Roman" w:cs="Times New Roman"/>
                <w:sz w:val="20"/>
                <w:szCs w:val="20"/>
                <w:lang w:val="sr-Cyrl-RS" w:eastAsia="sr-Latn-RS"/>
              </w:rPr>
              <w:t>ПРОГРАМ</w:t>
            </w:r>
          </w:p>
        </w:tc>
        <w:tc>
          <w:tcPr>
            <w:tcW w:w="0" w:type="dxa"/>
            <w:vAlign w:val="center"/>
          </w:tcPr>
          <w:p w14:paraId="1E310336" w14:textId="0E2E5D84" w:rsidR="002E14F8" w:rsidRPr="0014140C" w:rsidRDefault="002E14F8" w:rsidP="0014140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Latn-RS" w:eastAsia="sr-Latn-RS"/>
              </w:rPr>
            </w:pPr>
            <w:r w:rsidRPr="0014140C">
              <w:rPr>
                <w:rFonts w:ascii="Times New Roman" w:eastAsia="Times New Roman" w:hAnsi="Times New Roman" w:cs="Times New Roman"/>
                <w:sz w:val="20"/>
                <w:szCs w:val="20"/>
                <w:lang w:val="sr-Cyrl-RS" w:eastAsia="sr-Latn-RS"/>
              </w:rPr>
              <w:t>Број корисника средстава који су развили производе/услуге</w:t>
            </w:r>
          </w:p>
        </w:tc>
        <w:tc>
          <w:tcPr>
            <w:tcW w:w="1695" w:type="dxa"/>
            <w:vAlign w:val="center"/>
            <w:hideMark/>
          </w:tcPr>
          <w:p w14:paraId="5954FF04" w14:textId="1464318B" w:rsidR="002E14F8" w:rsidRPr="0014140C" w:rsidRDefault="002E14F8" w:rsidP="0014140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eastAsia="sr-Latn-RS"/>
              </w:rPr>
            </w:pPr>
            <w:r w:rsidRPr="0014140C">
              <w:rPr>
                <w:rFonts w:ascii="Times New Roman" w:eastAsia="Times New Roman" w:hAnsi="Times New Roman" w:cs="Times New Roman"/>
                <w:sz w:val="20"/>
                <w:szCs w:val="20"/>
                <w:lang w:val="sr-Cyrl-RS" w:eastAsia="sr-Latn-RS"/>
              </w:rPr>
              <w:t>Број развијених производа/слуга</w:t>
            </w:r>
          </w:p>
        </w:tc>
        <w:tc>
          <w:tcPr>
            <w:tcW w:w="0" w:type="dxa"/>
            <w:vAlign w:val="center"/>
          </w:tcPr>
          <w:p w14:paraId="2CC81279" w14:textId="0BDCD7FC" w:rsidR="002E14F8" w:rsidRPr="0014140C" w:rsidRDefault="002E14F8" w:rsidP="0014140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Cyrl-RS" w:eastAsia="sr-Latn-RS"/>
              </w:rPr>
            </w:pPr>
            <w:r w:rsidRPr="0014140C">
              <w:rPr>
                <w:rFonts w:ascii="Times New Roman" w:eastAsia="Times New Roman" w:hAnsi="Times New Roman" w:cs="Times New Roman"/>
                <w:sz w:val="20"/>
                <w:szCs w:val="20"/>
                <w:lang w:val="sr-Cyrl-RS" w:eastAsia="sr-Latn-RS"/>
              </w:rPr>
              <w:t>Број корисника средстава који су комерцијализовали производе</w:t>
            </w:r>
          </w:p>
        </w:tc>
        <w:tc>
          <w:tcPr>
            <w:tcW w:w="0" w:type="dxa"/>
            <w:vAlign w:val="center"/>
            <w:hideMark/>
          </w:tcPr>
          <w:p w14:paraId="12797384" w14:textId="23C65092" w:rsidR="002E14F8" w:rsidRPr="0014140C" w:rsidRDefault="002E14F8" w:rsidP="0014140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Latn-RS" w:eastAsia="sr-Latn-RS"/>
              </w:rPr>
            </w:pPr>
            <w:r w:rsidRPr="0014140C">
              <w:rPr>
                <w:rFonts w:ascii="Times New Roman" w:eastAsia="Times New Roman" w:hAnsi="Times New Roman" w:cs="Times New Roman"/>
                <w:sz w:val="20"/>
                <w:szCs w:val="20"/>
                <w:lang w:val="sr-Cyrl-RS" w:eastAsia="sr-Latn-RS"/>
              </w:rPr>
              <w:t>Број комерцијализованих производа</w:t>
            </w:r>
          </w:p>
        </w:tc>
        <w:tc>
          <w:tcPr>
            <w:tcW w:w="0" w:type="dxa"/>
            <w:vAlign w:val="center"/>
          </w:tcPr>
          <w:p w14:paraId="58515456" w14:textId="05D6C3BE" w:rsidR="002E14F8" w:rsidRPr="0014140C" w:rsidRDefault="002E14F8" w:rsidP="0014140C">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0"/>
                <w:szCs w:val="20"/>
                <w:lang w:val="sr-Latn-RS" w:eastAsia="sr-Latn-RS"/>
              </w:rPr>
            </w:pPr>
            <w:r w:rsidRPr="0014140C">
              <w:rPr>
                <w:rFonts w:ascii="Times New Roman" w:eastAsia="Times New Roman" w:hAnsi="Times New Roman" w:cs="Times New Roman"/>
                <w:sz w:val="20"/>
                <w:szCs w:val="20"/>
                <w:lang w:val="sr-Cyrl-RS" w:eastAsia="sr-Latn-RS"/>
              </w:rPr>
              <w:t xml:space="preserve">Укупно остварени приход од комерцијализације </w:t>
            </w:r>
            <w:r w:rsidRPr="0014140C">
              <w:rPr>
                <w:rFonts w:ascii="Times New Roman" w:eastAsia="Times New Roman" w:hAnsi="Times New Roman" w:cs="Times New Roman"/>
                <w:sz w:val="20"/>
                <w:szCs w:val="20"/>
                <w:lang w:val="sr-Latn-RS" w:eastAsia="sr-Latn-RS"/>
              </w:rPr>
              <w:t>(</w:t>
            </w:r>
            <w:r w:rsidRPr="0014140C">
              <w:rPr>
                <w:rFonts w:ascii="Times New Roman" w:eastAsia="Times New Roman" w:hAnsi="Times New Roman" w:cs="Times New Roman"/>
                <w:sz w:val="20"/>
                <w:szCs w:val="20"/>
                <w:lang w:val="sr-Cyrl-RS" w:eastAsia="sr-Latn-RS"/>
              </w:rPr>
              <w:t>ЕУР</w:t>
            </w:r>
            <w:r w:rsidRPr="0014140C">
              <w:rPr>
                <w:rFonts w:ascii="Times New Roman" w:eastAsia="Times New Roman" w:hAnsi="Times New Roman" w:cs="Times New Roman"/>
                <w:sz w:val="20"/>
                <w:szCs w:val="20"/>
                <w:lang w:val="sr-Latn-RS" w:eastAsia="sr-Latn-RS"/>
              </w:rPr>
              <w:t>)</w:t>
            </w:r>
          </w:p>
        </w:tc>
      </w:tr>
      <w:tr w:rsidR="002E14F8" w:rsidRPr="002E14F8" w14:paraId="1A82EB9D" w14:textId="77777777" w:rsidTr="00D31210">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0" w:type="dxa"/>
            <w:noWrap/>
            <w:vAlign w:val="center"/>
          </w:tcPr>
          <w:p w14:paraId="0E7927E4" w14:textId="30AE1586" w:rsidR="002E14F8" w:rsidRDefault="002E14F8">
            <w:pPr>
              <w:rPr>
                <w:rFonts w:ascii="Times New Roman" w:eastAsia="Times New Roman" w:hAnsi="Times New Roman" w:cs="Times New Roman"/>
                <w:sz w:val="20"/>
                <w:szCs w:val="20"/>
                <w:lang w:val="sr-Cyrl-RS" w:eastAsia="sr-Latn-RS"/>
              </w:rPr>
            </w:pPr>
            <w:r>
              <w:rPr>
                <w:rFonts w:ascii="Times New Roman" w:eastAsia="Times New Roman" w:hAnsi="Times New Roman" w:cs="Times New Roman"/>
                <w:sz w:val="20"/>
                <w:szCs w:val="20"/>
                <w:lang w:val="sr-Cyrl-RS" w:eastAsia="sr-Latn-RS"/>
              </w:rPr>
              <w:t>Програм раног развоја</w:t>
            </w:r>
          </w:p>
        </w:tc>
        <w:tc>
          <w:tcPr>
            <w:tcW w:w="0" w:type="dxa"/>
            <w:vAlign w:val="center"/>
          </w:tcPr>
          <w:p w14:paraId="58FC0D0D" w14:textId="3A98811D" w:rsidR="002E14F8" w:rsidRPr="00D31210" w:rsidRDefault="002E14F8" w:rsidP="0014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108</w:t>
            </w:r>
          </w:p>
        </w:tc>
        <w:tc>
          <w:tcPr>
            <w:tcW w:w="0" w:type="dxa"/>
            <w:vAlign w:val="center"/>
          </w:tcPr>
          <w:p w14:paraId="588D808A" w14:textId="7FDF65A0" w:rsidR="002E14F8" w:rsidRPr="00D31210" w:rsidRDefault="002E14F8" w:rsidP="0014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173</w:t>
            </w:r>
          </w:p>
        </w:tc>
        <w:tc>
          <w:tcPr>
            <w:tcW w:w="2008" w:type="dxa"/>
            <w:vAlign w:val="center"/>
          </w:tcPr>
          <w:p w14:paraId="47891FA6" w14:textId="234DEAAE" w:rsidR="002E14F8" w:rsidRPr="00D31210" w:rsidRDefault="002E14F8" w:rsidP="0014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42</w:t>
            </w:r>
          </w:p>
        </w:tc>
        <w:tc>
          <w:tcPr>
            <w:tcW w:w="0" w:type="dxa"/>
            <w:vAlign w:val="center"/>
          </w:tcPr>
          <w:p w14:paraId="72900442" w14:textId="12ABBEC5" w:rsidR="002E14F8" w:rsidRPr="00D31210" w:rsidRDefault="002E14F8" w:rsidP="0014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61</w:t>
            </w:r>
          </w:p>
        </w:tc>
        <w:tc>
          <w:tcPr>
            <w:tcW w:w="0" w:type="dxa"/>
            <w:vAlign w:val="center"/>
          </w:tcPr>
          <w:p w14:paraId="1A0059D4" w14:textId="5BAB0599" w:rsidR="002E14F8" w:rsidRPr="00D31210" w:rsidRDefault="002E14F8" w:rsidP="0014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2.229.940</w:t>
            </w:r>
          </w:p>
        </w:tc>
      </w:tr>
      <w:tr w:rsidR="002E14F8" w:rsidRPr="002E14F8" w14:paraId="438B4F74" w14:textId="77777777" w:rsidTr="00D31210">
        <w:trPr>
          <w:trHeight w:val="546"/>
        </w:trPr>
        <w:tc>
          <w:tcPr>
            <w:cnfStyle w:val="001000000000" w:firstRow="0" w:lastRow="0" w:firstColumn="1" w:lastColumn="0" w:oddVBand="0" w:evenVBand="0" w:oddHBand="0" w:evenHBand="0" w:firstRowFirstColumn="0" w:firstRowLastColumn="0" w:lastRowFirstColumn="0" w:lastRowLastColumn="0"/>
            <w:tcW w:w="0" w:type="dxa"/>
            <w:noWrap/>
          </w:tcPr>
          <w:p w14:paraId="1DF8DFB9" w14:textId="23EA76B8" w:rsidR="002E14F8" w:rsidRDefault="002E14F8" w:rsidP="001A3680">
            <w:pPr>
              <w:rPr>
                <w:rFonts w:ascii="Times New Roman" w:eastAsia="Times New Roman" w:hAnsi="Times New Roman" w:cs="Times New Roman"/>
                <w:sz w:val="20"/>
                <w:szCs w:val="20"/>
                <w:lang w:val="sr-Cyrl-RS" w:eastAsia="sr-Latn-RS"/>
              </w:rPr>
            </w:pPr>
            <w:r>
              <w:rPr>
                <w:rFonts w:ascii="Times New Roman" w:eastAsia="Times New Roman" w:hAnsi="Times New Roman" w:cs="Times New Roman"/>
                <w:sz w:val="20"/>
                <w:szCs w:val="20"/>
                <w:lang w:val="sr-Cyrl-RS" w:eastAsia="sr-Latn-RS"/>
              </w:rPr>
              <w:t>Програм суфинансирања иновација</w:t>
            </w:r>
          </w:p>
        </w:tc>
        <w:tc>
          <w:tcPr>
            <w:tcW w:w="0" w:type="dxa"/>
            <w:vAlign w:val="center"/>
          </w:tcPr>
          <w:p w14:paraId="6FAB7BAB" w14:textId="4C1C0F63" w:rsidR="002E14F8" w:rsidRPr="00D31210" w:rsidRDefault="002E14F8" w:rsidP="0014140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26</w:t>
            </w:r>
          </w:p>
        </w:tc>
        <w:tc>
          <w:tcPr>
            <w:tcW w:w="0" w:type="dxa"/>
            <w:vAlign w:val="center"/>
          </w:tcPr>
          <w:p w14:paraId="20B4498E" w14:textId="3C54733B" w:rsidR="002E14F8" w:rsidRPr="00D31210" w:rsidRDefault="002E14F8" w:rsidP="0014140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51</w:t>
            </w:r>
          </w:p>
        </w:tc>
        <w:tc>
          <w:tcPr>
            <w:tcW w:w="2008" w:type="dxa"/>
            <w:vAlign w:val="center"/>
          </w:tcPr>
          <w:p w14:paraId="3F769EEF" w14:textId="2C79FDDD" w:rsidR="002E14F8" w:rsidRPr="00D31210" w:rsidRDefault="002E14F8" w:rsidP="0014140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16</w:t>
            </w:r>
          </w:p>
        </w:tc>
        <w:tc>
          <w:tcPr>
            <w:tcW w:w="0" w:type="dxa"/>
            <w:vAlign w:val="center"/>
          </w:tcPr>
          <w:p w14:paraId="44BC0234" w14:textId="0B8A2149" w:rsidR="002E14F8" w:rsidRPr="00D31210" w:rsidRDefault="002E14F8" w:rsidP="0014140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36</w:t>
            </w:r>
          </w:p>
        </w:tc>
        <w:tc>
          <w:tcPr>
            <w:tcW w:w="0" w:type="dxa"/>
            <w:vAlign w:val="center"/>
          </w:tcPr>
          <w:p w14:paraId="7BAD5463" w14:textId="58CB1A80" w:rsidR="002E14F8" w:rsidRPr="00D31210" w:rsidRDefault="002E14F8" w:rsidP="0014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2.490.104</w:t>
            </w:r>
          </w:p>
        </w:tc>
      </w:tr>
      <w:tr w:rsidR="002E14F8" w:rsidRPr="002E14F8" w14:paraId="7F8E712F" w14:textId="77777777" w:rsidTr="00D31210">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0" w:type="dxa"/>
            <w:noWrap/>
          </w:tcPr>
          <w:p w14:paraId="6FF04014" w14:textId="21DF686E" w:rsidR="002E14F8" w:rsidRDefault="002E14F8" w:rsidP="001A3680">
            <w:pPr>
              <w:rPr>
                <w:rFonts w:ascii="Times New Roman" w:eastAsia="Times New Roman" w:hAnsi="Times New Roman" w:cs="Times New Roman"/>
                <w:sz w:val="20"/>
                <w:szCs w:val="20"/>
                <w:lang w:val="sr-Cyrl-RS" w:eastAsia="sr-Latn-RS"/>
              </w:rPr>
            </w:pPr>
            <w:r>
              <w:rPr>
                <w:rFonts w:ascii="Times New Roman" w:eastAsia="Times New Roman" w:hAnsi="Times New Roman" w:cs="Times New Roman"/>
                <w:sz w:val="20"/>
                <w:szCs w:val="20"/>
                <w:lang w:val="sr-Cyrl-RS" w:eastAsia="sr-Latn-RS"/>
              </w:rPr>
              <w:t>Програм сарадње науке и привреде</w:t>
            </w:r>
          </w:p>
        </w:tc>
        <w:tc>
          <w:tcPr>
            <w:tcW w:w="0" w:type="dxa"/>
            <w:vAlign w:val="center"/>
          </w:tcPr>
          <w:p w14:paraId="6ED7241E" w14:textId="76C5654D" w:rsidR="002E14F8" w:rsidRPr="00D31210" w:rsidRDefault="002E14F8" w:rsidP="0014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24</w:t>
            </w:r>
          </w:p>
        </w:tc>
        <w:tc>
          <w:tcPr>
            <w:tcW w:w="0" w:type="dxa"/>
            <w:vAlign w:val="center"/>
          </w:tcPr>
          <w:p w14:paraId="4E917F9E" w14:textId="6C945B49" w:rsidR="002E14F8" w:rsidRPr="00D31210" w:rsidRDefault="002E14F8" w:rsidP="0014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70</w:t>
            </w:r>
          </w:p>
        </w:tc>
        <w:tc>
          <w:tcPr>
            <w:tcW w:w="2008" w:type="dxa"/>
            <w:vAlign w:val="center"/>
          </w:tcPr>
          <w:p w14:paraId="3ED9BFD1" w14:textId="2AC6A92B" w:rsidR="002E14F8" w:rsidRPr="00D31210" w:rsidRDefault="002E14F8" w:rsidP="0014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12</w:t>
            </w:r>
          </w:p>
        </w:tc>
        <w:tc>
          <w:tcPr>
            <w:tcW w:w="0" w:type="dxa"/>
            <w:vAlign w:val="center"/>
          </w:tcPr>
          <w:p w14:paraId="42A09296" w14:textId="2405A76F" w:rsidR="002E14F8" w:rsidRPr="00D31210" w:rsidRDefault="002E14F8" w:rsidP="0014140C">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26</w:t>
            </w:r>
          </w:p>
        </w:tc>
        <w:tc>
          <w:tcPr>
            <w:tcW w:w="0" w:type="dxa"/>
            <w:vAlign w:val="center"/>
          </w:tcPr>
          <w:p w14:paraId="25246048" w14:textId="5D2F6A04" w:rsidR="002E14F8" w:rsidRPr="00D31210" w:rsidRDefault="002E14F8" w:rsidP="0014140C">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Cs/>
                <w:sz w:val="20"/>
                <w:szCs w:val="20"/>
                <w:lang w:val="sr-Cyrl-RS" w:eastAsia="sr-Latn-RS"/>
              </w:rPr>
            </w:pPr>
            <w:r w:rsidRPr="00D31210">
              <w:rPr>
                <w:rFonts w:ascii="Times New Roman" w:eastAsia="Times New Roman" w:hAnsi="Times New Roman" w:cs="Times New Roman"/>
                <w:bCs/>
                <w:sz w:val="20"/>
                <w:szCs w:val="20"/>
                <w:lang w:val="sr-Cyrl-RS" w:eastAsia="sr-Latn-RS"/>
              </w:rPr>
              <w:t>7.224.300</w:t>
            </w:r>
          </w:p>
        </w:tc>
      </w:tr>
      <w:tr w:rsidR="002E14F8" w:rsidRPr="002E14F8" w14:paraId="7A77E4C4" w14:textId="77777777" w:rsidTr="00D31210">
        <w:trPr>
          <w:trHeight w:val="309"/>
        </w:trPr>
        <w:tc>
          <w:tcPr>
            <w:cnfStyle w:val="001000000000" w:firstRow="0" w:lastRow="0" w:firstColumn="1" w:lastColumn="0" w:oddVBand="0" w:evenVBand="0" w:oddHBand="0" w:evenHBand="0" w:firstRowFirstColumn="0" w:firstRowLastColumn="0" w:lastRowFirstColumn="0" w:lastRowLastColumn="0"/>
            <w:tcW w:w="0" w:type="dxa"/>
            <w:noWrap/>
          </w:tcPr>
          <w:p w14:paraId="51E46988" w14:textId="10E3C7AC" w:rsidR="002E14F8" w:rsidRDefault="002E14F8" w:rsidP="001A3680">
            <w:pPr>
              <w:rPr>
                <w:rFonts w:ascii="Times New Roman" w:eastAsia="Times New Roman" w:hAnsi="Times New Roman" w:cs="Times New Roman"/>
                <w:sz w:val="20"/>
                <w:szCs w:val="20"/>
                <w:lang w:val="sr-Cyrl-RS" w:eastAsia="sr-Latn-RS"/>
              </w:rPr>
            </w:pPr>
            <w:r>
              <w:rPr>
                <w:rFonts w:ascii="Times New Roman" w:eastAsia="Times New Roman" w:hAnsi="Times New Roman" w:cs="Times New Roman"/>
                <w:sz w:val="20"/>
                <w:szCs w:val="20"/>
                <w:lang w:val="sr-Cyrl-RS" w:eastAsia="sr-Latn-RS"/>
              </w:rPr>
              <w:t>УКУПНО</w:t>
            </w:r>
          </w:p>
        </w:tc>
        <w:tc>
          <w:tcPr>
            <w:tcW w:w="0" w:type="dxa"/>
          </w:tcPr>
          <w:p w14:paraId="42B160B2" w14:textId="65BA7946" w:rsidR="002E14F8" w:rsidRPr="002E14F8" w:rsidRDefault="001D39A5" w:rsidP="0014140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lang w:val="sr-Cyrl-RS" w:eastAsia="sr-Latn-RS"/>
              </w:rPr>
            </w:pPr>
            <w:r>
              <w:rPr>
                <w:rFonts w:ascii="Times New Roman" w:eastAsia="Times New Roman" w:hAnsi="Times New Roman" w:cs="Times New Roman"/>
                <w:b/>
                <w:sz w:val="20"/>
                <w:szCs w:val="20"/>
                <w:lang w:val="sr-Cyrl-RS" w:eastAsia="sr-Latn-RS"/>
              </w:rPr>
              <w:t>158</w:t>
            </w:r>
          </w:p>
        </w:tc>
        <w:tc>
          <w:tcPr>
            <w:tcW w:w="0" w:type="dxa"/>
          </w:tcPr>
          <w:p w14:paraId="29D761C9" w14:textId="6ABB7613" w:rsidR="002E14F8" w:rsidRPr="002E14F8" w:rsidRDefault="001D39A5" w:rsidP="0014140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lang w:val="sr-Cyrl-RS" w:eastAsia="sr-Latn-RS"/>
              </w:rPr>
            </w:pPr>
            <w:r>
              <w:rPr>
                <w:rFonts w:ascii="Times New Roman" w:eastAsia="Times New Roman" w:hAnsi="Times New Roman" w:cs="Times New Roman"/>
                <w:b/>
                <w:sz w:val="20"/>
                <w:szCs w:val="20"/>
                <w:lang w:val="sr-Cyrl-RS" w:eastAsia="sr-Latn-RS"/>
              </w:rPr>
              <w:t>294</w:t>
            </w:r>
          </w:p>
        </w:tc>
        <w:tc>
          <w:tcPr>
            <w:tcW w:w="2008" w:type="dxa"/>
          </w:tcPr>
          <w:p w14:paraId="46CF1CAF" w14:textId="06D21E6F" w:rsidR="002E14F8" w:rsidRPr="002E14F8" w:rsidRDefault="001D39A5" w:rsidP="0014140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lang w:val="sr-Cyrl-RS" w:eastAsia="sr-Latn-RS"/>
              </w:rPr>
            </w:pPr>
            <w:r>
              <w:rPr>
                <w:rFonts w:ascii="Times New Roman" w:eastAsia="Times New Roman" w:hAnsi="Times New Roman" w:cs="Times New Roman"/>
                <w:b/>
                <w:sz w:val="20"/>
                <w:szCs w:val="20"/>
                <w:lang w:val="sr-Cyrl-RS" w:eastAsia="sr-Latn-RS"/>
              </w:rPr>
              <w:t>70</w:t>
            </w:r>
          </w:p>
        </w:tc>
        <w:tc>
          <w:tcPr>
            <w:tcW w:w="0" w:type="dxa"/>
          </w:tcPr>
          <w:p w14:paraId="128C360D" w14:textId="4ECBF5C4" w:rsidR="002E14F8" w:rsidRPr="002E14F8" w:rsidRDefault="001D39A5" w:rsidP="0014140C">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lang w:val="sr-Cyrl-RS" w:eastAsia="sr-Latn-RS"/>
              </w:rPr>
            </w:pPr>
            <w:r>
              <w:rPr>
                <w:rFonts w:ascii="Times New Roman" w:eastAsia="Times New Roman" w:hAnsi="Times New Roman" w:cs="Times New Roman"/>
                <w:b/>
                <w:sz w:val="20"/>
                <w:szCs w:val="20"/>
                <w:lang w:val="sr-Cyrl-RS" w:eastAsia="sr-Latn-RS"/>
              </w:rPr>
              <w:t>123</w:t>
            </w:r>
          </w:p>
        </w:tc>
        <w:tc>
          <w:tcPr>
            <w:tcW w:w="0" w:type="dxa"/>
          </w:tcPr>
          <w:p w14:paraId="28024759" w14:textId="6AFE2BFB" w:rsidR="002E14F8" w:rsidRPr="002E14F8" w:rsidRDefault="001D39A5" w:rsidP="0014140C">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lang w:val="sr-Cyrl-RS" w:eastAsia="sr-Latn-RS"/>
              </w:rPr>
            </w:pPr>
            <w:r>
              <w:rPr>
                <w:rFonts w:ascii="Times New Roman" w:eastAsia="Times New Roman" w:hAnsi="Times New Roman" w:cs="Times New Roman"/>
                <w:b/>
                <w:sz w:val="20"/>
                <w:szCs w:val="20"/>
                <w:lang w:val="sr-Cyrl-RS" w:eastAsia="sr-Latn-RS"/>
              </w:rPr>
              <w:t>11.944.344</w:t>
            </w:r>
          </w:p>
        </w:tc>
      </w:tr>
    </w:tbl>
    <w:p w14:paraId="366D88F4" w14:textId="68411045" w:rsidR="002E14F8" w:rsidRPr="00D31210" w:rsidRDefault="003906EE" w:rsidP="00D31210">
      <w:pPr>
        <w:jc w:val="both"/>
        <w:rPr>
          <w:rFonts w:ascii="Times New Roman" w:hAnsi="Times New Roman" w:cs="Times New Roman"/>
          <w:lang w:val="sr-Cyrl-RS"/>
        </w:rPr>
      </w:pPr>
      <w:r w:rsidRPr="00D31210">
        <w:rPr>
          <w:rFonts w:ascii="Times New Roman" w:hAnsi="Times New Roman" w:cs="Times New Roman"/>
          <w:lang w:val="sr-Cyrl-RS"/>
        </w:rPr>
        <w:t xml:space="preserve">*На крају 2020. године, </w:t>
      </w:r>
      <w:r w:rsidR="002E14F8" w:rsidRPr="00D31210">
        <w:rPr>
          <w:rFonts w:ascii="Times New Roman" w:hAnsi="Times New Roman" w:cs="Times New Roman"/>
          <w:lang w:val="sr-Cyrl-RS"/>
        </w:rPr>
        <w:t xml:space="preserve"> </w:t>
      </w:r>
      <w:r>
        <w:rPr>
          <w:rFonts w:ascii="Times New Roman" w:hAnsi="Times New Roman" w:cs="Times New Roman"/>
          <w:lang w:val="sr-Cyrl-RS"/>
        </w:rPr>
        <w:t>укупан број пројеката одобрених за финансирање за наведене програма је био 227, од чега је за 113 завршена имплементација, а 74 су били у имплементацији, а за 5 пројекта је прекинута реализација.</w:t>
      </w:r>
      <w:r>
        <w:rPr>
          <w:rFonts w:ascii="Times New Roman" w:hAnsi="Times New Roman" w:cs="Times New Roman"/>
          <w:lang w:val="sr-Cyrl-RS"/>
        </w:rPr>
        <w:tab/>
      </w:r>
    </w:p>
    <w:p w14:paraId="5FEC503F" w14:textId="77777777" w:rsidR="002E14F8" w:rsidRPr="008D6B60" w:rsidRDefault="002E14F8" w:rsidP="008D6B60">
      <w:pPr>
        <w:ind w:firstLine="720"/>
        <w:jc w:val="both"/>
        <w:rPr>
          <w:rFonts w:ascii="Times New Roman" w:hAnsi="Times New Roman" w:cs="Times New Roman"/>
          <w:sz w:val="24"/>
          <w:szCs w:val="24"/>
        </w:rPr>
      </w:pPr>
    </w:p>
    <w:p w14:paraId="018F0A37" w14:textId="77777777" w:rsidR="008C03BE" w:rsidRPr="0071338B" w:rsidRDefault="004A2E90">
      <w:pPr>
        <w:numPr>
          <w:ilvl w:val="0"/>
          <w:numId w:val="1"/>
        </w:numPr>
        <w:jc w:val="both"/>
        <w:rPr>
          <w:rFonts w:ascii="Times New Roman" w:hAnsi="Times New Roman" w:cs="Times New Roman"/>
          <w:b/>
          <w:sz w:val="24"/>
          <w:szCs w:val="24"/>
        </w:rPr>
      </w:pPr>
      <w:r w:rsidRPr="0071338B">
        <w:rPr>
          <w:rFonts w:ascii="Times New Roman" w:hAnsi="Times New Roman" w:cs="Times New Roman"/>
          <w:b/>
          <w:sz w:val="24"/>
          <w:szCs w:val="24"/>
        </w:rPr>
        <w:t>Који су</w:t>
      </w:r>
      <w:r w:rsidR="00D823CC" w:rsidRPr="0071338B">
        <w:rPr>
          <w:rFonts w:ascii="Times New Roman" w:hAnsi="Times New Roman" w:cs="Times New Roman"/>
          <w:b/>
          <w:sz w:val="24"/>
          <w:szCs w:val="24"/>
        </w:rPr>
        <w:t xml:space="preserve"> в</w:t>
      </w:r>
      <w:r w:rsidRPr="0071338B">
        <w:rPr>
          <w:rFonts w:ascii="Times New Roman" w:hAnsi="Times New Roman" w:cs="Times New Roman"/>
          <w:b/>
          <w:sz w:val="24"/>
          <w:szCs w:val="24"/>
        </w:rPr>
        <w:t>ажећи прописи и документи јавних политика од значаја за промену која се предлаже и у чему се тај значај огледа?</w:t>
      </w:r>
    </w:p>
    <w:p w14:paraId="678784C5" w14:textId="77777777" w:rsidR="00B40045" w:rsidRPr="00F550F7" w:rsidRDefault="00B40045" w:rsidP="00B40045">
      <w:pPr>
        <w:jc w:val="both"/>
        <w:rPr>
          <w:rFonts w:ascii="Times New Roman" w:hAnsi="Times New Roman" w:cs="Times New Roman"/>
          <w:sz w:val="24"/>
          <w:szCs w:val="24"/>
        </w:rPr>
      </w:pPr>
    </w:p>
    <w:p w14:paraId="54FD5A86" w14:textId="5D344050" w:rsidR="00DC69B8" w:rsidRDefault="000E26C2" w:rsidP="00DC69B8">
      <w:pPr>
        <w:ind w:firstLine="720"/>
        <w:jc w:val="both"/>
        <w:rPr>
          <w:rFonts w:ascii="Times New Roman" w:hAnsi="Times New Roman" w:cs="Times New Roman"/>
          <w:sz w:val="24"/>
          <w:szCs w:val="24"/>
        </w:rPr>
      </w:pPr>
      <w:r w:rsidRPr="009B2548">
        <w:rPr>
          <w:rFonts w:ascii="Times New Roman" w:hAnsi="Times New Roman" w:cs="Times New Roman"/>
          <w:sz w:val="24"/>
          <w:szCs w:val="24"/>
        </w:rPr>
        <w:t xml:space="preserve">Два </w:t>
      </w:r>
      <w:r w:rsidR="00DC69B8" w:rsidRPr="009B2548">
        <w:rPr>
          <w:rFonts w:ascii="Times New Roman" w:hAnsi="Times New Roman" w:cs="Times New Roman"/>
          <w:sz w:val="24"/>
          <w:szCs w:val="24"/>
        </w:rPr>
        <w:t>кључна закона која уређују ову област су Закон о иновационој делатности</w:t>
      </w:r>
      <w:r w:rsidRPr="009B2548">
        <w:rPr>
          <w:rFonts w:ascii="Times New Roman" w:hAnsi="Times New Roman" w:cs="Times New Roman"/>
          <w:sz w:val="24"/>
          <w:szCs w:val="24"/>
        </w:rPr>
        <w:t xml:space="preserve"> и</w:t>
      </w:r>
      <w:r w:rsidR="00DC69B8" w:rsidRPr="009B2548">
        <w:rPr>
          <w:rFonts w:ascii="Times New Roman" w:hAnsi="Times New Roman" w:cs="Times New Roman"/>
          <w:sz w:val="24"/>
          <w:szCs w:val="24"/>
        </w:rPr>
        <w:t xml:space="preserve"> Закон о науци и истраживањима.</w:t>
      </w:r>
      <w:r w:rsidR="00286076">
        <w:rPr>
          <w:rFonts w:ascii="Times New Roman" w:hAnsi="Times New Roman" w:cs="Times New Roman"/>
          <w:sz w:val="24"/>
          <w:szCs w:val="24"/>
        </w:rPr>
        <w:t xml:space="preserve"> </w:t>
      </w:r>
      <w:r w:rsidR="00DC69B8" w:rsidRPr="009B2548">
        <w:rPr>
          <w:rFonts w:ascii="Times New Roman" w:hAnsi="Times New Roman" w:cs="Times New Roman"/>
          <w:sz w:val="24"/>
          <w:szCs w:val="24"/>
        </w:rPr>
        <w:t xml:space="preserve">Закон о иновационој делатности </w:t>
      </w:r>
      <w:r w:rsidR="00034C2E" w:rsidRPr="00034C2E">
        <w:rPr>
          <w:rFonts w:ascii="Times New Roman" w:hAnsi="Times New Roman" w:cs="Times New Roman"/>
          <w:sz w:val="24"/>
          <w:szCs w:val="24"/>
          <w:lang w:val="sr-Cyrl-RS"/>
        </w:rPr>
        <w:t>(„Службени гласник РС</w:t>
      </w:r>
      <w:r w:rsidR="00034C2E" w:rsidRPr="00034C2E">
        <w:rPr>
          <w:rFonts w:ascii="Times New Roman" w:hAnsi="Times New Roman" w:cs="Times New Roman"/>
          <w:bCs/>
          <w:color w:val="000000"/>
          <w:sz w:val="24"/>
          <w:szCs w:val="24"/>
          <w:lang w:val="sr-Cyrl-CS" w:eastAsia="sr-Latn-CS"/>
        </w:rPr>
        <w:t>”</w:t>
      </w:r>
      <w:r w:rsidR="00034C2E" w:rsidRPr="00034C2E">
        <w:rPr>
          <w:rFonts w:ascii="Times New Roman" w:hAnsi="Times New Roman" w:cs="Times New Roman"/>
          <w:sz w:val="24"/>
          <w:szCs w:val="24"/>
          <w:lang w:val="sr-Cyrl-RS"/>
        </w:rPr>
        <w:t>, бр.</w:t>
      </w:r>
      <w:r w:rsidR="00DC69B8" w:rsidRPr="009B2548">
        <w:rPr>
          <w:rFonts w:ascii="Times New Roman" w:hAnsi="Times New Roman" w:cs="Times New Roman"/>
          <w:sz w:val="24"/>
          <w:szCs w:val="24"/>
        </w:rPr>
        <w:t xml:space="preserve"> </w:t>
      </w:r>
      <w:r w:rsidR="00034C2E">
        <w:rPr>
          <w:rFonts w:ascii="Times New Roman" w:hAnsi="Times New Roman" w:cs="Times New Roman"/>
          <w:sz w:val="24"/>
          <w:szCs w:val="24"/>
        </w:rPr>
        <w:t>110/05, 18/10 и 55/</w:t>
      </w:r>
      <w:r w:rsidR="00DC69B8" w:rsidRPr="009B2548">
        <w:rPr>
          <w:rFonts w:ascii="Times New Roman" w:hAnsi="Times New Roman" w:cs="Times New Roman"/>
          <w:sz w:val="24"/>
          <w:szCs w:val="24"/>
        </w:rPr>
        <w:t>13) тренутно уређује област иновација, али не препознаје стар</w:t>
      </w:r>
      <w:r w:rsidR="009B2548" w:rsidRPr="009B2548">
        <w:rPr>
          <w:rFonts w:ascii="Times New Roman" w:hAnsi="Times New Roman" w:cs="Times New Roman"/>
          <w:sz w:val="24"/>
          <w:szCs w:val="24"/>
        </w:rPr>
        <w:t>тапе и нове облике финансирања иновација</w:t>
      </w:r>
      <w:r w:rsidR="00DC69B8" w:rsidRPr="009B2548">
        <w:rPr>
          <w:rFonts w:ascii="Times New Roman" w:hAnsi="Times New Roman" w:cs="Times New Roman"/>
          <w:sz w:val="24"/>
          <w:szCs w:val="24"/>
        </w:rPr>
        <w:t>. У Закону о науци и истраживањима (</w:t>
      </w:r>
      <w:r w:rsidR="00E373A6" w:rsidRPr="009B2548">
        <w:rPr>
          <w:rFonts w:ascii="Times New Roman" w:hAnsi="Times New Roman" w:cs="Times New Roman"/>
          <w:sz w:val="24"/>
          <w:szCs w:val="24"/>
        </w:rPr>
        <w:t>,,</w:t>
      </w:r>
      <w:r w:rsidR="00DC69B8" w:rsidRPr="009B2548">
        <w:rPr>
          <w:rFonts w:ascii="Times New Roman" w:hAnsi="Times New Roman" w:cs="Times New Roman"/>
          <w:sz w:val="24"/>
          <w:szCs w:val="24"/>
        </w:rPr>
        <w:t>Службени гласник РС”, број 49/19), међу циљевима реализације научно-истраживачке делатности, предвиђена је подршка стварању иновација за привреду, трансферу технологија и јачању инжењерских капацитета, са циљем стварања предности на глобалном тржишту као и промоција предузетништва.</w:t>
      </w:r>
    </w:p>
    <w:p w14:paraId="1686ADA2" w14:textId="36F13E70" w:rsidR="00DD2C36" w:rsidRPr="00F550F7" w:rsidRDefault="00DD2C36" w:rsidP="00B40045">
      <w:pPr>
        <w:ind w:firstLine="720"/>
        <w:jc w:val="both"/>
        <w:rPr>
          <w:rFonts w:ascii="Times New Roman" w:hAnsi="Times New Roman" w:cs="Times New Roman"/>
          <w:sz w:val="24"/>
          <w:szCs w:val="24"/>
        </w:rPr>
      </w:pPr>
      <w:r w:rsidRPr="00F550F7">
        <w:rPr>
          <w:rFonts w:ascii="Times New Roman" w:hAnsi="Times New Roman" w:cs="Times New Roman"/>
          <w:sz w:val="24"/>
          <w:szCs w:val="24"/>
        </w:rPr>
        <w:t>Стратегија научног и технолошког развоја Републике Србије за период од 2021. до</w:t>
      </w:r>
      <w:r w:rsidR="00E373A6">
        <w:rPr>
          <w:rFonts w:ascii="Times New Roman" w:hAnsi="Times New Roman" w:cs="Times New Roman"/>
          <w:sz w:val="24"/>
          <w:szCs w:val="24"/>
        </w:rPr>
        <w:t xml:space="preserve"> </w:t>
      </w:r>
      <w:r w:rsidRPr="00F550F7">
        <w:rPr>
          <w:rFonts w:ascii="Times New Roman" w:hAnsi="Times New Roman" w:cs="Times New Roman"/>
          <w:sz w:val="24"/>
          <w:szCs w:val="24"/>
        </w:rPr>
        <w:t>2025. године, са мотом „Моћ знања” („</w:t>
      </w:r>
      <w:r w:rsidR="00034C2E">
        <w:rPr>
          <w:rFonts w:ascii="Times New Roman" w:hAnsi="Times New Roman" w:cs="Times New Roman"/>
          <w:sz w:val="24"/>
          <w:szCs w:val="24"/>
        </w:rPr>
        <w:t>Службени гласник РС”, број 10/</w:t>
      </w:r>
      <w:r w:rsidRPr="00F550F7">
        <w:rPr>
          <w:rFonts w:ascii="Times New Roman" w:hAnsi="Times New Roman" w:cs="Times New Roman"/>
          <w:sz w:val="24"/>
          <w:szCs w:val="24"/>
        </w:rPr>
        <w:t>21) представља</w:t>
      </w:r>
      <w:r w:rsidR="00F12924">
        <w:rPr>
          <w:rFonts w:ascii="Times New Roman" w:hAnsi="Times New Roman" w:cs="Times New Roman"/>
          <w:sz w:val="24"/>
          <w:szCs w:val="24"/>
          <w:lang w:val="sr-Cyrl-RS"/>
        </w:rPr>
        <w:t xml:space="preserve"> </w:t>
      </w:r>
      <w:r w:rsidRPr="00F550F7">
        <w:rPr>
          <w:rFonts w:ascii="Times New Roman" w:hAnsi="Times New Roman" w:cs="Times New Roman"/>
          <w:sz w:val="24"/>
          <w:szCs w:val="24"/>
        </w:rPr>
        <w:t>стратешки инструмент за унапређење квалитета живота грађана Србије помоћу науке и</w:t>
      </w:r>
      <w:r w:rsidR="00E373A6">
        <w:rPr>
          <w:rFonts w:ascii="Times New Roman" w:hAnsi="Times New Roman" w:cs="Times New Roman"/>
          <w:sz w:val="24"/>
          <w:szCs w:val="24"/>
        </w:rPr>
        <w:t xml:space="preserve"> </w:t>
      </w:r>
      <w:r w:rsidRPr="00F550F7">
        <w:rPr>
          <w:rFonts w:ascii="Times New Roman" w:hAnsi="Times New Roman" w:cs="Times New Roman"/>
          <w:sz w:val="24"/>
          <w:szCs w:val="24"/>
        </w:rPr>
        <w:t>технол</w:t>
      </w:r>
      <w:r w:rsidR="00B40045" w:rsidRPr="00F550F7">
        <w:rPr>
          <w:rFonts w:ascii="Times New Roman" w:hAnsi="Times New Roman" w:cs="Times New Roman"/>
          <w:sz w:val="24"/>
          <w:szCs w:val="24"/>
        </w:rPr>
        <w:t xml:space="preserve">ошког развоја, чији је општи циљ да у наведеном периоду применом мера и активности допринесе убрзаном развоју Републике Србије кроз унапређење квалитета и ефикасности науке, технолошког развоја и иновација. </w:t>
      </w:r>
      <w:r w:rsidRPr="00F550F7">
        <w:rPr>
          <w:rFonts w:ascii="Times New Roman" w:hAnsi="Times New Roman" w:cs="Times New Roman"/>
          <w:sz w:val="24"/>
          <w:szCs w:val="24"/>
        </w:rPr>
        <w:t>Стратегија препознаје знање и иновације као поуздан темељ за</w:t>
      </w:r>
      <w:r w:rsidR="00F12924">
        <w:rPr>
          <w:rFonts w:ascii="Times New Roman" w:hAnsi="Times New Roman" w:cs="Times New Roman"/>
          <w:sz w:val="24"/>
          <w:szCs w:val="24"/>
          <w:lang w:val="sr-Cyrl-RS"/>
        </w:rPr>
        <w:t xml:space="preserve"> </w:t>
      </w:r>
      <w:r w:rsidRPr="00F550F7">
        <w:rPr>
          <w:rFonts w:ascii="Times New Roman" w:hAnsi="Times New Roman" w:cs="Times New Roman"/>
          <w:sz w:val="24"/>
          <w:szCs w:val="24"/>
        </w:rPr>
        <w:t>будући економски напредак и раст стандарда грађана, развој образовања и очување здравља, безбедности и националног идентитета у Републици Србији. Како би се створили предуслови за подизање нивоа</w:t>
      </w:r>
      <w:r w:rsidR="00F12924">
        <w:rPr>
          <w:rFonts w:ascii="Times New Roman" w:hAnsi="Times New Roman" w:cs="Times New Roman"/>
          <w:sz w:val="24"/>
          <w:szCs w:val="24"/>
          <w:lang w:val="sr-Cyrl-RS"/>
        </w:rPr>
        <w:t xml:space="preserve"> </w:t>
      </w:r>
      <w:r w:rsidRPr="00F550F7">
        <w:rPr>
          <w:rFonts w:ascii="Times New Roman" w:hAnsi="Times New Roman" w:cs="Times New Roman"/>
          <w:sz w:val="24"/>
          <w:szCs w:val="24"/>
        </w:rPr>
        <w:t>технолошке спремности од основних идеја до готових производа и услуга потребно је</w:t>
      </w:r>
      <w:r w:rsidR="00F12924">
        <w:rPr>
          <w:rFonts w:ascii="Times New Roman" w:hAnsi="Times New Roman" w:cs="Times New Roman"/>
          <w:sz w:val="24"/>
          <w:szCs w:val="24"/>
          <w:lang w:val="sr-Cyrl-RS"/>
        </w:rPr>
        <w:t xml:space="preserve"> </w:t>
      </w:r>
      <w:r w:rsidRPr="00F550F7">
        <w:rPr>
          <w:rFonts w:ascii="Times New Roman" w:hAnsi="Times New Roman" w:cs="Times New Roman"/>
          <w:sz w:val="24"/>
          <w:szCs w:val="24"/>
        </w:rPr>
        <w:t>прилагодити постојећи законски оквир у Републици Србији динамичним глобални</w:t>
      </w:r>
      <w:r w:rsidR="00F12924">
        <w:rPr>
          <w:rFonts w:ascii="Times New Roman" w:hAnsi="Times New Roman" w:cs="Times New Roman"/>
          <w:sz w:val="24"/>
          <w:szCs w:val="24"/>
          <w:lang w:val="sr-Cyrl-RS"/>
        </w:rPr>
        <w:t xml:space="preserve"> </w:t>
      </w:r>
      <w:r w:rsidRPr="00F550F7">
        <w:rPr>
          <w:rFonts w:ascii="Times New Roman" w:hAnsi="Times New Roman" w:cs="Times New Roman"/>
          <w:sz w:val="24"/>
          <w:szCs w:val="24"/>
        </w:rPr>
        <w:t xml:space="preserve">променама у оквиру иновационог сектора, што се односи </w:t>
      </w:r>
      <w:r w:rsidR="00F72EF8" w:rsidRPr="00F550F7">
        <w:rPr>
          <w:rFonts w:ascii="Times New Roman" w:hAnsi="Times New Roman" w:cs="Times New Roman"/>
          <w:sz w:val="24"/>
          <w:szCs w:val="24"/>
        </w:rPr>
        <w:t>на</w:t>
      </w:r>
      <w:r w:rsidRPr="00F550F7">
        <w:rPr>
          <w:rFonts w:ascii="Times New Roman" w:hAnsi="Times New Roman" w:cs="Times New Roman"/>
          <w:sz w:val="24"/>
          <w:szCs w:val="24"/>
        </w:rPr>
        <w:t xml:space="preserve"> прилагођавање постојећег система новим облицимаинфраструктурне</w:t>
      </w:r>
      <w:r w:rsidR="00F72EF8" w:rsidRPr="00F550F7">
        <w:rPr>
          <w:rFonts w:ascii="Times New Roman" w:hAnsi="Times New Roman" w:cs="Times New Roman"/>
          <w:sz w:val="24"/>
          <w:szCs w:val="24"/>
        </w:rPr>
        <w:t xml:space="preserve"> и друге</w:t>
      </w:r>
      <w:r w:rsidRPr="00F550F7">
        <w:rPr>
          <w:rFonts w:ascii="Times New Roman" w:hAnsi="Times New Roman" w:cs="Times New Roman"/>
          <w:sz w:val="24"/>
          <w:szCs w:val="24"/>
        </w:rPr>
        <w:t xml:space="preserve"> подршке. </w:t>
      </w:r>
      <w:r w:rsidR="00F72EF8" w:rsidRPr="00F550F7">
        <w:rPr>
          <w:rFonts w:ascii="Times New Roman" w:hAnsi="Times New Roman" w:cs="Times New Roman"/>
          <w:sz w:val="24"/>
          <w:szCs w:val="24"/>
        </w:rPr>
        <w:t>Ово</w:t>
      </w:r>
      <w:r w:rsidRPr="00F550F7">
        <w:rPr>
          <w:rFonts w:ascii="Times New Roman" w:hAnsi="Times New Roman" w:cs="Times New Roman"/>
          <w:sz w:val="24"/>
          <w:szCs w:val="24"/>
        </w:rPr>
        <w:t xml:space="preserve"> се постиже кроз</w:t>
      </w:r>
      <w:r w:rsidR="00F12924">
        <w:rPr>
          <w:rFonts w:ascii="Times New Roman" w:hAnsi="Times New Roman" w:cs="Times New Roman"/>
          <w:sz w:val="24"/>
          <w:szCs w:val="24"/>
          <w:lang w:val="sr-Cyrl-RS"/>
        </w:rPr>
        <w:t xml:space="preserve"> </w:t>
      </w:r>
      <w:r w:rsidRPr="00F550F7">
        <w:rPr>
          <w:rFonts w:ascii="Times New Roman" w:hAnsi="Times New Roman" w:cs="Times New Roman"/>
          <w:sz w:val="24"/>
          <w:szCs w:val="24"/>
        </w:rPr>
        <w:t xml:space="preserve">подршку </w:t>
      </w:r>
      <w:r w:rsidR="00F72EF8" w:rsidRPr="00F550F7">
        <w:rPr>
          <w:rFonts w:ascii="Times New Roman" w:hAnsi="Times New Roman" w:cs="Times New Roman"/>
          <w:sz w:val="24"/>
          <w:szCs w:val="24"/>
        </w:rPr>
        <w:t xml:space="preserve">субјектима иновационе делатности који су дефинисани новим </w:t>
      </w:r>
      <w:r w:rsidR="00BF219D">
        <w:rPr>
          <w:rFonts w:ascii="Times New Roman" w:hAnsi="Times New Roman" w:cs="Times New Roman"/>
          <w:sz w:val="24"/>
          <w:szCs w:val="24"/>
          <w:lang w:val="sr-Cyrl-RS"/>
        </w:rPr>
        <w:t>предлог</w:t>
      </w:r>
      <w:r w:rsidR="00812461">
        <w:rPr>
          <w:rFonts w:ascii="Times New Roman" w:hAnsi="Times New Roman" w:cs="Times New Roman"/>
          <w:sz w:val="24"/>
          <w:szCs w:val="24"/>
        </w:rPr>
        <w:t>ом</w:t>
      </w:r>
      <w:r w:rsidR="00F72EF8" w:rsidRPr="00F550F7">
        <w:rPr>
          <w:rFonts w:ascii="Times New Roman" w:hAnsi="Times New Roman" w:cs="Times New Roman"/>
          <w:sz w:val="24"/>
          <w:szCs w:val="24"/>
        </w:rPr>
        <w:t xml:space="preserve"> закона као субјекти националног иновационог система</w:t>
      </w:r>
      <w:r w:rsidRPr="00F550F7">
        <w:rPr>
          <w:rFonts w:ascii="Times New Roman" w:hAnsi="Times New Roman" w:cs="Times New Roman"/>
          <w:sz w:val="24"/>
          <w:szCs w:val="24"/>
        </w:rPr>
        <w:t>, као и кроз стимулативне мере сарадње привреде и науке.</w:t>
      </w:r>
    </w:p>
    <w:p w14:paraId="47BFE95B" w14:textId="77777777" w:rsidR="00120227" w:rsidRDefault="00DD2C36" w:rsidP="000E26C2">
      <w:pPr>
        <w:ind w:firstLine="720"/>
        <w:jc w:val="both"/>
        <w:rPr>
          <w:rFonts w:ascii="Times New Roman" w:hAnsi="Times New Roman" w:cs="Times New Roman"/>
          <w:sz w:val="24"/>
          <w:szCs w:val="24"/>
        </w:rPr>
      </w:pPr>
      <w:r w:rsidRPr="00F550F7">
        <w:rPr>
          <w:rFonts w:ascii="Times New Roman" w:hAnsi="Times New Roman" w:cs="Times New Roman"/>
          <w:sz w:val="24"/>
          <w:szCs w:val="24"/>
        </w:rPr>
        <w:t>Стратегија паметне специјализације у Републици Србији за период од 2020. до 2027. године („Службени гласник РС”, број 21/20) дефинише циљеве тако да кроз процес паметне специјализације усмерава развој Републике Србије ка томе да буде препозната као земља паметних и креативних људи, висококонкурентна у свету по својим производима и услугама који су резултат иновација изграђених на знању, креативности и партнерствима домаћег екосистема у областима одрживе високотехнолошке производње хране високе додате вредности за будућност, софистицираних софтверских решења за глобално тржиште,  производних процеса и машина будућности, креативних решењаи са високим степеном међусекторски интегрисаних индустријских и пословних решења и иновација. Стратегија дефинише четири приоритетне области: (1) Храна за будућност, (2) Информационо-комуникационе технологије, (3) Машине и производни процеси будућности и (4) Креативне индустрије. Специфичности остварења ових циљева произашле су током Процеса предузетничког откривања. Стратегија паметне специјализације је у директној вези са низом стратешких документа из области науке</w:t>
      </w:r>
      <w:r w:rsidR="00F72EF8" w:rsidRPr="00F550F7">
        <w:rPr>
          <w:rFonts w:ascii="Times New Roman" w:hAnsi="Times New Roman" w:cs="Times New Roman"/>
          <w:sz w:val="24"/>
          <w:szCs w:val="24"/>
        </w:rPr>
        <w:t xml:space="preserve"> и иновација</w:t>
      </w:r>
      <w:r w:rsidRPr="00F550F7">
        <w:rPr>
          <w:rFonts w:ascii="Times New Roman" w:hAnsi="Times New Roman" w:cs="Times New Roman"/>
          <w:sz w:val="24"/>
          <w:szCs w:val="24"/>
        </w:rPr>
        <w:t>, која су урађена у претходном периоду и представља полазиште за разумевање постојећег стања.</w:t>
      </w:r>
    </w:p>
    <w:p w14:paraId="2868292B" w14:textId="7ED4DA14" w:rsidR="008C03BE" w:rsidRDefault="00DD2C36" w:rsidP="00DD2C36">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Стратегија развоја вештачке интелигенције у Републици Србији за период 2020–2025. године („Службени гласник РС”, број 96/19) донета је у децембру 2019. године. Општи циљ Стратегије је употреба вештачке интелигенције у функцији економског раста, запошљавања и квалитетнијег живота. Стратегија вештачке интелигенције дефинише правац развоја, циљеве чија је имплементација потребна како би се постигло унапређење у овој области, као и да се успоставе јасне, мерљиве и конкретне мере чија ће реализација допринети развоју вештачке интелигенције за све секторе у Републици Србији. Посебни стратешки циљ „Развој науке и иновација у области вештачке интелигенције и њених примена” констатује да се област вештачке интелигенције налази у фази развоја када се у индустријској пракси неретко срећу проблеми за чије је решавање потребан научноистраживачки приступ. Због тога се знатан део истраживања преноси у индустрију, али је и индустрији све више потребна интензивна сарадња са универзитетима и институтима, као примарним носиоцима научноистраживачког кадра. Предуслови за успешан пренос истраживања у индустрију су и снажна индустрија високих технологија отворена за иновације, као и квалитетна комуникација истраживачких сектора </w:t>
      </w:r>
      <w:r w:rsidR="00F72EF8" w:rsidRPr="00F550F7">
        <w:rPr>
          <w:rFonts w:ascii="Times New Roman" w:hAnsi="Times New Roman" w:cs="Times New Roman"/>
          <w:sz w:val="24"/>
          <w:szCs w:val="24"/>
        </w:rPr>
        <w:t>привредних субјеката</w:t>
      </w:r>
      <w:r w:rsidRPr="00F550F7">
        <w:rPr>
          <w:rFonts w:ascii="Times New Roman" w:hAnsi="Times New Roman" w:cs="Times New Roman"/>
          <w:sz w:val="24"/>
          <w:szCs w:val="24"/>
        </w:rPr>
        <w:t xml:space="preserve"> које послују у Републици Србији са научноистраживачким организацијама.</w:t>
      </w:r>
      <w:r w:rsidR="00F12924">
        <w:rPr>
          <w:rFonts w:ascii="Times New Roman" w:hAnsi="Times New Roman" w:cs="Times New Roman"/>
          <w:sz w:val="24"/>
          <w:szCs w:val="24"/>
          <w:lang w:val="sr-Cyrl-RS"/>
        </w:rPr>
        <w:t xml:space="preserve"> </w:t>
      </w:r>
      <w:r w:rsidR="000F24E5" w:rsidRPr="00F550F7">
        <w:rPr>
          <w:rFonts w:ascii="Times New Roman" w:hAnsi="Times New Roman" w:cs="Times New Roman"/>
          <w:sz w:val="24"/>
          <w:szCs w:val="24"/>
        </w:rPr>
        <w:t>С</w:t>
      </w:r>
      <w:r w:rsidR="00F72EF8" w:rsidRPr="00F550F7">
        <w:rPr>
          <w:rFonts w:ascii="Times New Roman" w:hAnsi="Times New Roman" w:cs="Times New Roman"/>
          <w:sz w:val="24"/>
          <w:szCs w:val="24"/>
        </w:rPr>
        <w:t xml:space="preserve">тратешки правац развоја </w:t>
      </w:r>
      <w:r w:rsidR="000F24E5" w:rsidRPr="00F550F7">
        <w:rPr>
          <w:rFonts w:ascii="Times New Roman" w:hAnsi="Times New Roman" w:cs="Times New Roman"/>
          <w:sz w:val="24"/>
          <w:szCs w:val="24"/>
        </w:rPr>
        <w:t xml:space="preserve">вештачке интелигенције саставни је део иновационе делатности, због чега се очекује да ће примена новог Закона о иновационој делатности допринети остваривању општег и посебних циљева ове Стратегије.  </w:t>
      </w:r>
    </w:p>
    <w:p w14:paraId="3F0019AF" w14:textId="1E817B34" w:rsidR="00DC69B8" w:rsidRDefault="00E373A6" w:rsidP="00DD2C36">
      <w:pPr>
        <w:ind w:firstLine="720"/>
        <w:jc w:val="both"/>
        <w:rPr>
          <w:rFonts w:ascii="Times New Roman" w:hAnsi="Times New Roman" w:cs="Times New Roman"/>
          <w:sz w:val="24"/>
          <w:szCs w:val="24"/>
        </w:rPr>
      </w:pPr>
      <w:r>
        <w:rPr>
          <w:rFonts w:ascii="Times New Roman" w:hAnsi="Times New Roman" w:cs="Times New Roman"/>
          <w:sz w:val="24"/>
          <w:szCs w:val="24"/>
          <w:lang w:val="sr-Cyrl-RS"/>
        </w:rPr>
        <w:t>Осим наведених</w:t>
      </w:r>
      <w:r w:rsidR="00DC69B8" w:rsidRPr="00DC69B8">
        <w:rPr>
          <w:rFonts w:ascii="Times New Roman" w:hAnsi="Times New Roman" w:cs="Times New Roman"/>
          <w:sz w:val="24"/>
          <w:szCs w:val="24"/>
        </w:rPr>
        <w:t>, Стратегија индустријске политике Републике Србије од 2021. до 2030. године (</w:t>
      </w:r>
      <w:r w:rsidRPr="00F550F7">
        <w:rPr>
          <w:rFonts w:ascii="Times New Roman" w:hAnsi="Times New Roman" w:cs="Times New Roman"/>
          <w:sz w:val="24"/>
          <w:szCs w:val="24"/>
        </w:rPr>
        <w:t>„</w:t>
      </w:r>
      <w:r w:rsidR="00DC69B8" w:rsidRPr="00DC69B8">
        <w:rPr>
          <w:rFonts w:ascii="Times New Roman" w:hAnsi="Times New Roman" w:cs="Times New Roman"/>
          <w:sz w:val="24"/>
          <w:szCs w:val="24"/>
        </w:rPr>
        <w:t>Службени гласник РС</w:t>
      </w:r>
      <w:r>
        <w:rPr>
          <w:rFonts w:ascii="Times New Roman" w:hAnsi="Times New Roman" w:cs="Times New Roman"/>
          <w:sz w:val="24"/>
          <w:szCs w:val="24"/>
        </w:rPr>
        <w:t>”</w:t>
      </w:r>
      <w:r w:rsidR="00A81DA8">
        <w:rPr>
          <w:rFonts w:ascii="Times New Roman" w:hAnsi="Times New Roman" w:cs="Times New Roman"/>
          <w:sz w:val="24"/>
          <w:szCs w:val="24"/>
        </w:rPr>
        <w:t>, бр. 35/</w:t>
      </w:r>
      <w:r w:rsidR="00DC69B8" w:rsidRPr="00DC69B8">
        <w:rPr>
          <w:rFonts w:ascii="Times New Roman" w:hAnsi="Times New Roman" w:cs="Times New Roman"/>
          <w:sz w:val="24"/>
          <w:szCs w:val="24"/>
        </w:rPr>
        <w:t>20) као стратешке области интервенције идентификује иновације, дигиталну трансформацију и раст инвестиција. Препознавањем стартап компанија, нова законска решења ће доприносити достизању циљева и имплементацији Стратегије индустријске политике.</w:t>
      </w:r>
    </w:p>
    <w:p w14:paraId="01E617DC" w14:textId="7CD8EFC4" w:rsidR="00DC69B8" w:rsidRDefault="00DC69B8" w:rsidP="00DC69B8">
      <w:pPr>
        <w:ind w:firstLine="720"/>
        <w:jc w:val="both"/>
        <w:rPr>
          <w:rFonts w:ascii="Times New Roman" w:hAnsi="Times New Roman" w:cs="Times New Roman"/>
          <w:sz w:val="24"/>
          <w:szCs w:val="24"/>
        </w:rPr>
      </w:pPr>
      <w:r w:rsidRPr="00DC69B8">
        <w:rPr>
          <w:rFonts w:ascii="Times New Roman" w:hAnsi="Times New Roman" w:cs="Times New Roman"/>
          <w:sz w:val="24"/>
          <w:szCs w:val="24"/>
        </w:rPr>
        <w:t xml:space="preserve">Стратегијом развоја образовања и васпитања до 2030. године („Службени гласник РС”, број 63/21) предвиђено је оснивање Фонда за подстицање високо технолошког предузетништва, што ће подразумевати финансирање оснивања инкубатора, </w:t>
      </w:r>
      <w:r w:rsidR="00A25437" w:rsidRPr="00D31210">
        <w:rPr>
          <w:rFonts w:ascii="Times New Roman" w:hAnsi="Times New Roman" w:cs="Times New Roman"/>
          <w:i/>
          <w:iCs/>
          <w:sz w:val="24"/>
          <w:szCs w:val="24"/>
        </w:rPr>
        <w:t>spin</w:t>
      </w:r>
      <w:r w:rsidRPr="00D31210">
        <w:rPr>
          <w:rFonts w:ascii="Times New Roman" w:hAnsi="Times New Roman" w:cs="Times New Roman"/>
          <w:i/>
          <w:iCs/>
          <w:sz w:val="24"/>
          <w:szCs w:val="24"/>
        </w:rPr>
        <w:t>-</w:t>
      </w:r>
      <w:r w:rsidR="00A25437" w:rsidRPr="00D31210">
        <w:rPr>
          <w:rFonts w:ascii="Times New Roman" w:hAnsi="Times New Roman" w:cs="Times New Roman"/>
          <w:i/>
          <w:iCs/>
          <w:sz w:val="24"/>
          <w:szCs w:val="24"/>
        </w:rPr>
        <w:t>off</w:t>
      </w:r>
      <w:r w:rsidRPr="00DC69B8">
        <w:rPr>
          <w:rFonts w:ascii="Times New Roman" w:hAnsi="Times New Roman" w:cs="Times New Roman"/>
          <w:sz w:val="24"/>
          <w:szCs w:val="24"/>
        </w:rPr>
        <w:t xml:space="preserve"> компанија, центара за трансфер технологија, центара за интелектуалну својину чији ће се рад континуирано пратити и вредновати. На високошколским установама планирано је оснивање организационих јединица које ће се бавити иновацијама и трансфером технологија, као што су креативни центри и центри за трансфер технологија. Центри ће поменуте задатке реализовати кроз организацију програма обука за развој креативног размишљања и стицање предузетничких вештина, организацију и промоцију волонтерских програма, организацију кампања отворених иновација у сарадњи са предузећима, организацију такмичења за најбољу студентску идеју, кроз подршку корисницима центра у развоју идеја и њиховој валидацији, кроз помоћ студентима и ученицима у коришћењу опреме и софтвера у прототипској радионици центра, односно стварању и развијању идеје о покретању сопственог посла кроз оснивање стартапа, односно помоћ истраживачима у оснивању спиноф компанија за комерцијализацију истраживачких резултата. Такође, планирано је и повећање учешћа садржаја који се односе на предузетништво у студијске програме.</w:t>
      </w:r>
      <w:r w:rsidR="00F12924">
        <w:rPr>
          <w:rFonts w:ascii="Times New Roman" w:hAnsi="Times New Roman" w:cs="Times New Roman"/>
          <w:sz w:val="24"/>
          <w:szCs w:val="24"/>
          <w:lang w:val="sr-Cyrl-RS"/>
        </w:rPr>
        <w:t xml:space="preserve"> </w:t>
      </w:r>
      <w:r w:rsidRPr="00DC69B8">
        <w:rPr>
          <w:rFonts w:ascii="Times New Roman" w:hAnsi="Times New Roman" w:cs="Times New Roman"/>
          <w:sz w:val="24"/>
          <w:szCs w:val="24"/>
        </w:rPr>
        <w:t xml:space="preserve">С обзиром </w:t>
      </w:r>
      <w:r w:rsidR="00F12924">
        <w:rPr>
          <w:rFonts w:ascii="Times New Roman" w:hAnsi="Times New Roman" w:cs="Times New Roman"/>
          <w:sz w:val="24"/>
          <w:szCs w:val="24"/>
          <w:lang w:val="sr-Cyrl-RS"/>
        </w:rPr>
        <w:t xml:space="preserve">на то </w:t>
      </w:r>
      <w:r w:rsidRPr="00DC69B8">
        <w:rPr>
          <w:rFonts w:ascii="Times New Roman" w:hAnsi="Times New Roman" w:cs="Times New Roman"/>
          <w:sz w:val="24"/>
          <w:szCs w:val="24"/>
        </w:rPr>
        <w:t>да се овом стратегијом креира нова и подстиче развој постојеће инфраструктуре, ширење схватања субјеката иновационе инфраструктуре и на организације подршке стартапима осигурава се да сви актери националног иновационог система буду једнако препознати у релевантном законском оквиру.</w:t>
      </w:r>
    </w:p>
    <w:p w14:paraId="732DF8C2" w14:textId="77777777" w:rsidR="000E26C2" w:rsidRPr="00DC69B8" w:rsidRDefault="000E26C2" w:rsidP="00DC69B8">
      <w:pPr>
        <w:ind w:firstLine="720"/>
        <w:jc w:val="both"/>
        <w:rPr>
          <w:rFonts w:ascii="Times New Roman" w:hAnsi="Times New Roman" w:cs="Times New Roman"/>
          <w:sz w:val="24"/>
          <w:szCs w:val="24"/>
        </w:rPr>
      </w:pPr>
    </w:p>
    <w:p w14:paraId="0A1BB6EB" w14:textId="5D62F90F" w:rsidR="008C03BE" w:rsidRPr="0071338B" w:rsidRDefault="00075B71" w:rsidP="0071338B">
      <w:pPr>
        <w:pStyle w:val="ListParagraph"/>
        <w:numPr>
          <w:ilvl w:val="0"/>
          <w:numId w:val="1"/>
        </w:numPr>
        <w:jc w:val="both"/>
        <w:rPr>
          <w:rFonts w:ascii="Times New Roman" w:hAnsi="Times New Roman" w:cs="Times New Roman"/>
          <w:b/>
          <w:sz w:val="24"/>
          <w:szCs w:val="24"/>
        </w:rPr>
      </w:pPr>
      <w:r w:rsidRPr="0071338B">
        <w:rPr>
          <w:rFonts w:ascii="Times New Roman" w:hAnsi="Times New Roman" w:cs="Times New Roman"/>
          <w:b/>
          <w:sz w:val="24"/>
          <w:szCs w:val="24"/>
        </w:rPr>
        <w:t>Да ли с</w:t>
      </w:r>
      <w:r w:rsidR="004A2E90" w:rsidRPr="0071338B">
        <w:rPr>
          <w:rFonts w:ascii="Times New Roman" w:hAnsi="Times New Roman" w:cs="Times New Roman"/>
          <w:b/>
          <w:sz w:val="24"/>
          <w:szCs w:val="24"/>
        </w:rPr>
        <w:t>у уочени проблеми у области и на кога се они односе? Представити узроке и последице проблема.</w:t>
      </w:r>
      <w:r w:rsidR="00F12924">
        <w:rPr>
          <w:rFonts w:ascii="Times New Roman" w:hAnsi="Times New Roman" w:cs="Times New Roman"/>
          <w:b/>
          <w:sz w:val="24"/>
          <w:szCs w:val="24"/>
          <w:lang w:val="sr-Cyrl-RS"/>
        </w:rPr>
        <w:t xml:space="preserve"> </w:t>
      </w:r>
      <w:r w:rsidR="0071338B" w:rsidRPr="0071338B">
        <w:rPr>
          <w:rFonts w:ascii="Times New Roman" w:hAnsi="Times New Roman" w:cs="Times New Roman"/>
          <w:b/>
          <w:sz w:val="24"/>
          <w:szCs w:val="24"/>
        </w:rPr>
        <w:t>Која промена се предлаже? Да ли је промена заиста неопходна и у ком обиму?</w:t>
      </w:r>
    </w:p>
    <w:p w14:paraId="644509BE" w14:textId="77777777" w:rsidR="00B0298E" w:rsidRPr="00F550F7" w:rsidRDefault="00B0298E" w:rsidP="00B0298E">
      <w:pPr>
        <w:ind w:left="720" w:firstLine="360"/>
        <w:jc w:val="both"/>
        <w:rPr>
          <w:rFonts w:ascii="Times New Roman" w:hAnsi="Times New Roman" w:cs="Times New Roman"/>
          <w:sz w:val="24"/>
          <w:szCs w:val="24"/>
        </w:rPr>
      </w:pPr>
    </w:p>
    <w:p w14:paraId="09C4AAF2" w14:textId="315E445D" w:rsidR="00B0298E" w:rsidRPr="00F550F7" w:rsidRDefault="00D31210" w:rsidP="00B0298E">
      <w:pPr>
        <w:ind w:firstLine="720"/>
        <w:jc w:val="both"/>
        <w:rPr>
          <w:rFonts w:ascii="Times New Roman" w:hAnsi="Times New Roman" w:cs="Times New Roman"/>
          <w:sz w:val="24"/>
          <w:szCs w:val="24"/>
        </w:rPr>
      </w:pPr>
      <w:r w:rsidRPr="00D31210">
        <w:rPr>
          <w:rFonts w:ascii="Times New Roman" w:hAnsi="Times New Roman" w:cs="Times New Roman"/>
          <w:sz w:val="24"/>
          <w:szCs w:val="24"/>
        </w:rPr>
        <w:t>Општи проблем у иновационој делатности на територији Републике Србије и у ширем региону јесте недовољан степен конверзије остварених научноистраживачких резултата у додату вредност за привреду, државу и друштво у целини, односно недовољни капацитети за трансфер технологије. Показатељ слабих резултата јесте број лиценцних уговора између носиоца иновационе делатности и привреде. У про</w:t>
      </w:r>
      <w:r>
        <w:rPr>
          <w:rFonts w:ascii="Times New Roman" w:hAnsi="Times New Roman" w:cs="Times New Roman"/>
          <w:sz w:val="24"/>
          <w:szCs w:val="24"/>
          <w:lang w:val="sr-Cyrl-RS"/>
        </w:rPr>
        <w:t>т</w:t>
      </w:r>
      <w:r>
        <w:rPr>
          <w:rFonts w:ascii="Times New Roman" w:hAnsi="Times New Roman" w:cs="Times New Roman"/>
          <w:sz w:val="24"/>
          <w:szCs w:val="24"/>
        </w:rPr>
        <w:t xml:space="preserve">екле </w:t>
      </w:r>
      <w:r w:rsidRPr="00D31210">
        <w:rPr>
          <w:rFonts w:ascii="Times New Roman" w:hAnsi="Times New Roman" w:cs="Times New Roman"/>
          <w:sz w:val="24"/>
          <w:szCs w:val="24"/>
        </w:rPr>
        <w:t>четири године укупан број лиценцних уговора кроз програм ТТФ Фонда за иновациону делатност је био свега три.</w:t>
      </w:r>
      <w:r w:rsidR="009143F8">
        <w:rPr>
          <w:rFonts w:ascii="Times New Roman" w:hAnsi="Times New Roman" w:cs="Times New Roman"/>
          <w:sz w:val="24"/>
          <w:szCs w:val="24"/>
        </w:rPr>
        <w:t xml:space="preserve"> </w:t>
      </w:r>
      <w:r w:rsidR="00B0298E" w:rsidRPr="00F550F7">
        <w:rPr>
          <w:rFonts w:ascii="Times New Roman" w:hAnsi="Times New Roman" w:cs="Times New Roman"/>
          <w:sz w:val="24"/>
          <w:szCs w:val="24"/>
        </w:rPr>
        <w:t>Анализом важећег Закона</w:t>
      </w:r>
      <w:r w:rsidR="00CC128C">
        <w:rPr>
          <w:rFonts w:ascii="Times New Roman" w:hAnsi="Times New Roman" w:cs="Times New Roman"/>
          <w:sz w:val="24"/>
          <w:szCs w:val="24"/>
        </w:rPr>
        <w:t xml:space="preserve"> о иновационој делатности уочене су могућности за побољшање у одређеним сегментима и прилагођавање законског оквира глобалним токовима у области иновационе делатности.</w:t>
      </w:r>
      <w:r w:rsidR="00F12924">
        <w:rPr>
          <w:rFonts w:ascii="Times New Roman" w:hAnsi="Times New Roman" w:cs="Times New Roman"/>
          <w:sz w:val="24"/>
          <w:szCs w:val="24"/>
          <w:lang w:val="sr-Cyrl-RS"/>
        </w:rPr>
        <w:t xml:space="preserve"> </w:t>
      </w:r>
      <w:r w:rsidR="00CC128C">
        <w:rPr>
          <w:rFonts w:ascii="Times New Roman" w:hAnsi="Times New Roman" w:cs="Times New Roman"/>
          <w:sz w:val="24"/>
          <w:szCs w:val="24"/>
        </w:rPr>
        <w:t>Наиме, н</w:t>
      </w:r>
      <w:r w:rsidR="00B0298E" w:rsidRPr="00F550F7">
        <w:rPr>
          <w:rFonts w:ascii="Times New Roman" w:hAnsi="Times New Roman" w:cs="Times New Roman"/>
          <w:sz w:val="24"/>
          <w:szCs w:val="24"/>
        </w:rPr>
        <w:t xml:space="preserve">овим </w:t>
      </w:r>
      <w:r w:rsidR="00BF219D">
        <w:rPr>
          <w:rFonts w:ascii="Times New Roman" w:hAnsi="Times New Roman" w:cs="Times New Roman"/>
          <w:sz w:val="24"/>
          <w:szCs w:val="24"/>
          <w:lang w:val="sr-Cyrl-RS"/>
        </w:rPr>
        <w:t>предлог</w:t>
      </w:r>
      <w:r w:rsidR="00B0298E" w:rsidRPr="00F550F7">
        <w:rPr>
          <w:rFonts w:ascii="Times New Roman" w:hAnsi="Times New Roman" w:cs="Times New Roman"/>
          <w:sz w:val="24"/>
          <w:szCs w:val="24"/>
        </w:rPr>
        <w:t>ом Закона о иновационој делатности предмет је пре</w:t>
      </w:r>
      <w:r w:rsidR="00B45B18">
        <w:rPr>
          <w:rFonts w:ascii="Times New Roman" w:hAnsi="Times New Roman" w:cs="Times New Roman"/>
          <w:sz w:val="24"/>
          <w:szCs w:val="24"/>
        </w:rPr>
        <w:t>цизн</w:t>
      </w:r>
      <w:r w:rsidR="00B45B18" w:rsidRPr="00CC128C">
        <w:rPr>
          <w:rFonts w:ascii="Times New Roman" w:hAnsi="Times New Roman" w:cs="Times New Roman"/>
          <w:sz w:val="24"/>
          <w:szCs w:val="24"/>
        </w:rPr>
        <w:t>ије</w:t>
      </w:r>
      <w:r w:rsidR="00F12924">
        <w:rPr>
          <w:rFonts w:ascii="Times New Roman" w:hAnsi="Times New Roman" w:cs="Times New Roman"/>
          <w:sz w:val="24"/>
          <w:szCs w:val="24"/>
          <w:lang w:val="sr-Cyrl-RS"/>
        </w:rPr>
        <w:t xml:space="preserve"> </w:t>
      </w:r>
      <w:r w:rsidR="00CC128C">
        <w:rPr>
          <w:rFonts w:ascii="Times New Roman" w:hAnsi="Times New Roman" w:cs="Times New Roman"/>
          <w:sz w:val="24"/>
          <w:szCs w:val="24"/>
        </w:rPr>
        <w:t xml:space="preserve">уређен, те су </w:t>
      </w:r>
      <w:r w:rsidR="00B0298E" w:rsidRPr="00F550F7">
        <w:rPr>
          <w:rFonts w:ascii="Times New Roman" w:hAnsi="Times New Roman" w:cs="Times New Roman"/>
          <w:sz w:val="24"/>
          <w:szCs w:val="24"/>
        </w:rPr>
        <w:t>наведена четири кључна питања која Закон регулише, а то су субјекти националног иновационог система; организације и надлежности Фонда за иновациону делатност; финансирање иновационе делатности и економске подстицајне мере и регистар субјеката националног иновационог система.</w:t>
      </w:r>
      <w:r w:rsidR="00B0298E" w:rsidRPr="00F550F7">
        <w:rPr>
          <w:rFonts w:ascii="Times New Roman" w:hAnsi="Times New Roman" w:cs="Times New Roman"/>
          <w:sz w:val="24"/>
          <w:szCs w:val="24"/>
        </w:rPr>
        <w:cr/>
      </w:r>
      <w:r w:rsidR="00B0298E" w:rsidRPr="00F550F7">
        <w:rPr>
          <w:rFonts w:ascii="Times New Roman" w:hAnsi="Times New Roman" w:cs="Times New Roman"/>
          <w:sz w:val="24"/>
          <w:szCs w:val="24"/>
        </w:rPr>
        <w:tab/>
        <w:t xml:space="preserve">Појмовник важећег Закона о иновационој делатности садржао је широке дефиниције и одређене појмове који касније, кроз текст Закона, нису разрађивани, што је </w:t>
      </w:r>
      <w:r w:rsidR="00BF219D">
        <w:rPr>
          <w:rFonts w:ascii="Times New Roman" w:hAnsi="Times New Roman" w:cs="Times New Roman"/>
          <w:sz w:val="24"/>
          <w:szCs w:val="24"/>
          <w:lang w:val="sr-Cyrl-RS"/>
        </w:rPr>
        <w:t>предлог</w:t>
      </w:r>
      <w:r w:rsidR="00B0298E" w:rsidRPr="00F550F7">
        <w:rPr>
          <w:rFonts w:ascii="Times New Roman" w:hAnsi="Times New Roman" w:cs="Times New Roman"/>
          <w:sz w:val="24"/>
          <w:szCs w:val="24"/>
        </w:rPr>
        <w:t xml:space="preserve">ом новог Закона прецизно и једноставно уређено. </w:t>
      </w:r>
    </w:p>
    <w:p w14:paraId="58DEB245" w14:textId="35C5C680" w:rsidR="00CC2A56" w:rsidRPr="00F550F7" w:rsidRDefault="00CC2A56" w:rsidP="00CC2A56">
      <w:pPr>
        <w:ind w:firstLine="720"/>
        <w:jc w:val="both"/>
        <w:rPr>
          <w:rFonts w:ascii="Times New Roman" w:hAnsi="Times New Roman" w:cs="Times New Roman"/>
          <w:sz w:val="24"/>
          <w:szCs w:val="24"/>
        </w:rPr>
      </w:pPr>
      <w:r w:rsidRPr="00E373A6">
        <w:rPr>
          <w:rFonts w:ascii="Times New Roman" w:hAnsi="Times New Roman" w:cs="Times New Roman"/>
          <w:sz w:val="24"/>
          <w:szCs w:val="24"/>
        </w:rPr>
        <w:t>Корисници државних подстицајних мера и буџетских средстава за развој иновационе делатности према важећем Закону могли су бити само субјекти уписани у регистар.</w:t>
      </w:r>
      <w:r w:rsidRPr="00F550F7">
        <w:rPr>
          <w:rFonts w:ascii="Times New Roman" w:hAnsi="Times New Roman" w:cs="Times New Roman"/>
          <w:sz w:val="24"/>
          <w:szCs w:val="24"/>
        </w:rPr>
        <w:t xml:space="preserve"> </w:t>
      </w:r>
      <w:r w:rsidR="00BF219D">
        <w:rPr>
          <w:rFonts w:ascii="Times New Roman" w:hAnsi="Times New Roman" w:cs="Times New Roman"/>
          <w:sz w:val="24"/>
          <w:szCs w:val="24"/>
          <w:lang w:val="sr-Cyrl-RS"/>
        </w:rPr>
        <w:t>Предлог</w:t>
      </w:r>
      <w:r w:rsidRPr="00F550F7">
        <w:rPr>
          <w:rFonts w:ascii="Times New Roman" w:hAnsi="Times New Roman" w:cs="Times New Roman"/>
          <w:sz w:val="24"/>
          <w:szCs w:val="24"/>
        </w:rPr>
        <w:t xml:space="preserve">ом новог Закона оваква законска формулација је изостављена, тако да корисници државних подстицајних мера и буџетских средстава за развој иновационе делатности не морају бити уписани у регистар. </w:t>
      </w:r>
    </w:p>
    <w:p w14:paraId="57773770" w14:textId="2D0FB185" w:rsidR="0069008C" w:rsidRDefault="004F0789" w:rsidP="00E80BF6">
      <w:pPr>
        <w:ind w:firstLine="720"/>
        <w:jc w:val="both"/>
        <w:rPr>
          <w:rFonts w:ascii="Times New Roman" w:hAnsi="Times New Roman" w:cs="Times New Roman"/>
          <w:sz w:val="24"/>
          <w:szCs w:val="24"/>
        </w:rPr>
      </w:pPr>
      <w:r w:rsidRPr="00F550F7">
        <w:rPr>
          <w:rFonts w:ascii="Times New Roman" w:hAnsi="Times New Roman" w:cs="Times New Roman"/>
          <w:sz w:val="24"/>
          <w:szCs w:val="24"/>
        </w:rPr>
        <w:t>Када су у питању субјекти иновационе делатности, важећи Закон о иновационој делатности предвиђао је, између осталих, постојање технолошких привредних друштава као и постојање организација за подстицај иновационих активности у приоритетној области науке и технологије и центара за трансфер технологија. Слабост постојећег система огледа се управо кроз предвиђање постојања ова три субјекта будући да у регистру иновационе делатности постоји уписано само једно технолошко привредно друштво, док организација за подстицај иновационих активности у приоритетној области науке и технологије и центара за трансфер техн</w:t>
      </w:r>
      <w:r w:rsidR="00172D49">
        <w:rPr>
          <w:rFonts w:ascii="Times New Roman" w:hAnsi="Times New Roman" w:cs="Times New Roman"/>
          <w:sz w:val="24"/>
          <w:szCs w:val="24"/>
        </w:rPr>
        <w:t xml:space="preserve">ологија уопште нема у регистру. </w:t>
      </w:r>
      <w:r w:rsidR="00E373A6">
        <w:rPr>
          <w:rFonts w:ascii="Times New Roman" w:hAnsi="Times New Roman" w:cs="Times New Roman"/>
          <w:sz w:val="24"/>
          <w:szCs w:val="24"/>
          <w:lang w:val="sr-Cyrl-RS"/>
        </w:rPr>
        <w:t>С о</w:t>
      </w:r>
      <w:r w:rsidR="00172D49">
        <w:rPr>
          <w:rFonts w:ascii="Times New Roman" w:hAnsi="Times New Roman" w:cs="Times New Roman"/>
          <w:sz w:val="24"/>
          <w:szCs w:val="24"/>
        </w:rPr>
        <w:t xml:space="preserve">бзиром </w:t>
      </w:r>
      <w:r w:rsidR="00E373A6">
        <w:rPr>
          <w:rFonts w:ascii="Times New Roman" w:hAnsi="Times New Roman" w:cs="Times New Roman"/>
          <w:sz w:val="24"/>
          <w:szCs w:val="24"/>
          <w:lang w:val="sr-Cyrl-RS"/>
        </w:rPr>
        <w:t xml:space="preserve">на то </w:t>
      </w:r>
      <w:r w:rsidR="00172D49">
        <w:rPr>
          <w:rFonts w:ascii="Times New Roman" w:hAnsi="Times New Roman" w:cs="Times New Roman"/>
          <w:sz w:val="24"/>
          <w:szCs w:val="24"/>
        </w:rPr>
        <w:t>да ови субјекти нису заживели у пракси, н</w:t>
      </w:r>
      <w:r w:rsidR="00413099" w:rsidRPr="00F550F7">
        <w:rPr>
          <w:rFonts w:ascii="Times New Roman" w:hAnsi="Times New Roman" w:cs="Times New Roman"/>
          <w:sz w:val="24"/>
          <w:szCs w:val="24"/>
        </w:rPr>
        <w:t xml:space="preserve">ови </w:t>
      </w:r>
      <w:r w:rsidR="00BF219D">
        <w:rPr>
          <w:rFonts w:ascii="Times New Roman" w:hAnsi="Times New Roman" w:cs="Times New Roman"/>
          <w:sz w:val="24"/>
          <w:szCs w:val="24"/>
          <w:lang w:val="sr-Cyrl-RS"/>
        </w:rPr>
        <w:t>предлог</w:t>
      </w:r>
      <w:r w:rsidR="00413099" w:rsidRPr="00F550F7">
        <w:rPr>
          <w:rFonts w:ascii="Times New Roman" w:hAnsi="Times New Roman" w:cs="Times New Roman"/>
          <w:sz w:val="24"/>
          <w:szCs w:val="24"/>
        </w:rPr>
        <w:t xml:space="preserve"> Закона о иновационој делатности не предвиђа наведене субјекте као такве, али оставља могућност за упис било ког правног или физичког лица у регистар субјеката националног иновационог система.</w:t>
      </w:r>
    </w:p>
    <w:p w14:paraId="18450641" w14:textId="5F1707BD" w:rsidR="0071338B" w:rsidRPr="00F550F7" w:rsidRDefault="0053506E" w:rsidP="00E80BF6">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Још једна од слабости важећег Закона представља и глава која се тиче права интелектуалне својине. Уочена слабост превазиђена је новим </w:t>
      </w:r>
      <w:r w:rsidR="009C1CB5">
        <w:rPr>
          <w:rFonts w:ascii="Times New Roman" w:hAnsi="Times New Roman" w:cs="Times New Roman"/>
          <w:sz w:val="24"/>
          <w:szCs w:val="24"/>
          <w:lang w:val="sr-Cyrl-RS"/>
        </w:rPr>
        <w:t>Предлог</w:t>
      </w:r>
      <w:r w:rsidRPr="00F550F7">
        <w:rPr>
          <w:rFonts w:ascii="Times New Roman" w:hAnsi="Times New Roman" w:cs="Times New Roman"/>
          <w:sz w:val="24"/>
          <w:szCs w:val="24"/>
        </w:rPr>
        <w:t xml:space="preserve">ом </w:t>
      </w:r>
      <w:r w:rsidR="009C1CB5">
        <w:rPr>
          <w:rFonts w:ascii="Times New Roman" w:hAnsi="Times New Roman" w:cs="Times New Roman"/>
          <w:sz w:val="24"/>
          <w:szCs w:val="24"/>
          <w:lang w:val="sr-Cyrl-RS"/>
        </w:rPr>
        <w:t>з</w:t>
      </w:r>
      <w:r w:rsidRPr="00F550F7">
        <w:rPr>
          <w:rFonts w:ascii="Times New Roman" w:hAnsi="Times New Roman" w:cs="Times New Roman"/>
          <w:sz w:val="24"/>
          <w:szCs w:val="24"/>
        </w:rPr>
        <w:t>акона кроз истицање значаја управљања интелектуалном својином насталом у оквиру научноистраживачке организације, уз усклађивање са прописима који регулишу ту област.</w:t>
      </w:r>
    </w:p>
    <w:p w14:paraId="2B0DB4BF" w14:textId="595F7EBF" w:rsidR="00631F5E" w:rsidRPr="00F550F7" w:rsidRDefault="00CC128C" w:rsidP="00B40045">
      <w:pPr>
        <w:ind w:firstLine="720"/>
        <w:jc w:val="both"/>
        <w:rPr>
          <w:rFonts w:ascii="Times New Roman" w:hAnsi="Times New Roman" w:cs="Times New Roman"/>
          <w:sz w:val="24"/>
          <w:szCs w:val="24"/>
        </w:rPr>
      </w:pPr>
      <w:r>
        <w:rPr>
          <w:rFonts w:ascii="Times New Roman" w:hAnsi="Times New Roman" w:cs="Times New Roman"/>
          <w:sz w:val="24"/>
          <w:szCs w:val="24"/>
        </w:rPr>
        <w:t>Унапређења</w:t>
      </w:r>
      <w:r w:rsidR="00B40045" w:rsidRPr="00F550F7">
        <w:rPr>
          <w:rFonts w:ascii="Times New Roman" w:hAnsi="Times New Roman" w:cs="Times New Roman"/>
          <w:sz w:val="24"/>
          <w:szCs w:val="24"/>
        </w:rPr>
        <w:t xml:space="preserve"> кој</w:t>
      </w:r>
      <w:r>
        <w:rPr>
          <w:rFonts w:ascii="Times New Roman" w:hAnsi="Times New Roman" w:cs="Times New Roman"/>
          <w:sz w:val="24"/>
          <w:szCs w:val="24"/>
        </w:rPr>
        <w:t>а</w:t>
      </w:r>
      <w:r w:rsidR="00B40045" w:rsidRPr="00F550F7">
        <w:rPr>
          <w:rFonts w:ascii="Times New Roman" w:hAnsi="Times New Roman" w:cs="Times New Roman"/>
          <w:sz w:val="24"/>
          <w:szCs w:val="24"/>
        </w:rPr>
        <w:t xml:space="preserve"> н</w:t>
      </w:r>
      <w:r w:rsidR="00631F5E" w:rsidRPr="00F550F7">
        <w:rPr>
          <w:rFonts w:ascii="Times New Roman" w:hAnsi="Times New Roman" w:cs="Times New Roman"/>
          <w:sz w:val="24"/>
          <w:szCs w:val="24"/>
        </w:rPr>
        <w:t xml:space="preserve">ови </w:t>
      </w:r>
      <w:r w:rsidR="00BF219D">
        <w:rPr>
          <w:rFonts w:ascii="Times New Roman" w:hAnsi="Times New Roman" w:cs="Times New Roman"/>
          <w:sz w:val="24"/>
          <w:szCs w:val="24"/>
          <w:lang w:val="sr-Cyrl-RS"/>
        </w:rPr>
        <w:t>предлог</w:t>
      </w:r>
      <w:r w:rsidR="00BF219D" w:rsidRPr="00F550F7">
        <w:rPr>
          <w:rFonts w:ascii="Times New Roman" w:hAnsi="Times New Roman" w:cs="Times New Roman"/>
          <w:sz w:val="24"/>
          <w:szCs w:val="24"/>
        </w:rPr>
        <w:t xml:space="preserve"> </w:t>
      </w:r>
      <w:r w:rsidR="00631F5E" w:rsidRPr="00F550F7">
        <w:rPr>
          <w:rFonts w:ascii="Times New Roman" w:hAnsi="Times New Roman" w:cs="Times New Roman"/>
          <w:sz w:val="24"/>
          <w:szCs w:val="24"/>
        </w:rPr>
        <w:t xml:space="preserve">Закона доноси </w:t>
      </w:r>
      <w:r w:rsidR="008B4D61" w:rsidRPr="00F550F7">
        <w:rPr>
          <w:rFonts w:ascii="Times New Roman" w:hAnsi="Times New Roman" w:cs="Times New Roman"/>
          <w:sz w:val="24"/>
          <w:szCs w:val="24"/>
        </w:rPr>
        <w:t>односе се на</w:t>
      </w:r>
      <w:r>
        <w:rPr>
          <w:rFonts w:ascii="Times New Roman" w:hAnsi="Times New Roman" w:cs="Times New Roman"/>
          <w:sz w:val="24"/>
          <w:szCs w:val="24"/>
        </w:rPr>
        <w:t>:</w:t>
      </w:r>
      <w:r w:rsidR="009143F8">
        <w:rPr>
          <w:rFonts w:ascii="Times New Roman" w:hAnsi="Times New Roman" w:cs="Times New Roman"/>
          <w:sz w:val="24"/>
          <w:szCs w:val="24"/>
        </w:rPr>
        <w:t xml:space="preserve"> </w:t>
      </w:r>
      <w:r w:rsidR="00631F5E" w:rsidRPr="00F550F7">
        <w:rPr>
          <w:rFonts w:ascii="Times New Roman" w:hAnsi="Times New Roman" w:cs="Times New Roman"/>
          <w:sz w:val="24"/>
          <w:szCs w:val="24"/>
        </w:rPr>
        <w:t xml:space="preserve">дефинисање </w:t>
      </w:r>
      <w:r w:rsidR="008B4D61" w:rsidRPr="00F550F7">
        <w:rPr>
          <w:rFonts w:ascii="Times New Roman" w:hAnsi="Times New Roman" w:cs="Times New Roman"/>
          <w:sz w:val="24"/>
          <w:szCs w:val="24"/>
        </w:rPr>
        <w:t>субјеката иновационе делатности</w:t>
      </w:r>
      <w:r>
        <w:rPr>
          <w:rFonts w:ascii="Times New Roman" w:hAnsi="Times New Roman" w:cs="Times New Roman"/>
          <w:sz w:val="24"/>
          <w:szCs w:val="24"/>
        </w:rPr>
        <w:t xml:space="preserve">, </w:t>
      </w:r>
      <w:r w:rsidR="008B4D61" w:rsidRPr="00F550F7">
        <w:rPr>
          <w:rFonts w:ascii="Times New Roman" w:hAnsi="Times New Roman" w:cs="Times New Roman"/>
          <w:sz w:val="24"/>
          <w:szCs w:val="24"/>
        </w:rPr>
        <w:t>предвиђено је успостављање мреже научно-технолошких паркова као саветодавног тела</w:t>
      </w:r>
      <w:r>
        <w:rPr>
          <w:rFonts w:ascii="Times New Roman" w:hAnsi="Times New Roman" w:cs="Times New Roman"/>
          <w:sz w:val="24"/>
          <w:szCs w:val="24"/>
        </w:rPr>
        <w:t>,</w:t>
      </w:r>
      <w:r w:rsidR="009143F8">
        <w:rPr>
          <w:rFonts w:ascii="Times New Roman" w:hAnsi="Times New Roman" w:cs="Times New Roman"/>
          <w:sz w:val="24"/>
          <w:szCs w:val="24"/>
        </w:rPr>
        <w:t xml:space="preserve"> </w:t>
      </w:r>
      <w:r w:rsidR="00631F5E" w:rsidRPr="00F550F7">
        <w:rPr>
          <w:rFonts w:ascii="Times New Roman" w:hAnsi="Times New Roman" w:cs="Times New Roman"/>
          <w:sz w:val="24"/>
          <w:szCs w:val="24"/>
        </w:rPr>
        <w:t>унапређење пословања Фонда за иновациону делатност</w:t>
      </w:r>
      <w:r>
        <w:rPr>
          <w:rFonts w:ascii="Times New Roman" w:hAnsi="Times New Roman" w:cs="Times New Roman"/>
          <w:sz w:val="24"/>
          <w:szCs w:val="24"/>
        </w:rPr>
        <w:t>,</w:t>
      </w:r>
      <w:r w:rsidR="00631F5E" w:rsidRPr="00F550F7">
        <w:rPr>
          <w:rFonts w:ascii="Times New Roman" w:hAnsi="Times New Roman" w:cs="Times New Roman"/>
          <w:sz w:val="24"/>
          <w:szCs w:val="24"/>
        </w:rPr>
        <w:t xml:space="preserve"> реформ</w:t>
      </w:r>
      <w:r w:rsidR="008B4D61" w:rsidRPr="00F550F7">
        <w:rPr>
          <w:rFonts w:ascii="Times New Roman" w:hAnsi="Times New Roman" w:cs="Times New Roman"/>
          <w:sz w:val="24"/>
          <w:szCs w:val="24"/>
        </w:rPr>
        <w:t>у</w:t>
      </w:r>
      <w:r w:rsidR="00631F5E" w:rsidRPr="00F550F7">
        <w:rPr>
          <w:rFonts w:ascii="Times New Roman" w:hAnsi="Times New Roman" w:cs="Times New Roman"/>
          <w:sz w:val="24"/>
          <w:szCs w:val="24"/>
        </w:rPr>
        <w:t xml:space="preserve"> регистра иновационе делатности</w:t>
      </w:r>
      <w:r>
        <w:rPr>
          <w:rFonts w:ascii="Times New Roman" w:hAnsi="Times New Roman" w:cs="Times New Roman"/>
          <w:sz w:val="24"/>
          <w:szCs w:val="24"/>
        </w:rPr>
        <w:t>,</w:t>
      </w:r>
      <w:r w:rsidR="009143F8">
        <w:rPr>
          <w:rFonts w:ascii="Times New Roman" w:hAnsi="Times New Roman" w:cs="Times New Roman"/>
          <w:sz w:val="24"/>
          <w:szCs w:val="24"/>
        </w:rPr>
        <w:t xml:space="preserve"> </w:t>
      </w:r>
      <w:r w:rsidR="00631F5E" w:rsidRPr="00F550F7">
        <w:rPr>
          <w:rFonts w:ascii="Times New Roman" w:hAnsi="Times New Roman" w:cs="Times New Roman"/>
          <w:sz w:val="24"/>
          <w:szCs w:val="24"/>
        </w:rPr>
        <w:t>формализовано давање сагласности на годишњи програм рада корисника субвенција</w:t>
      </w:r>
      <w:r w:rsidR="008B4D61" w:rsidRPr="00F550F7">
        <w:rPr>
          <w:rFonts w:ascii="Times New Roman" w:hAnsi="Times New Roman" w:cs="Times New Roman"/>
          <w:sz w:val="24"/>
          <w:szCs w:val="24"/>
        </w:rPr>
        <w:t xml:space="preserve"> повезаних са иновационом делатношћу</w:t>
      </w:r>
      <w:r>
        <w:rPr>
          <w:rFonts w:ascii="Times New Roman" w:hAnsi="Times New Roman" w:cs="Times New Roman"/>
          <w:sz w:val="24"/>
          <w:szCs w:val="24"/>
        </w:rPr>
        <w:t>,</w:t>
      </w:r>
      <w:r w:rsidR="008B4D61" w:rsidRPr="00F550F7">
        <w:rPr>
          <w:rFonts w:ascii="Times New Roman" w:hAnsi="Times New Roman" w:cs="Times New Roman"/>
          <w:sz w:val="24"/>
          <w:szCs w:val="24"/>
        </w:rPr>
        <w:t xml:space="preserve"> истицање значаја управљања интелектуалном својином насталом у оквиру научноистраживачке организације, уз усклађивање са прописима који регулишу ту област</w:t>
      </w:r>
      <w:r>
        <w:rPr>
          <w:rFonts w:ascii="Times New Roman" w:hAnsi="Times New Roman" w:cs="Times New Roman"/>
          <w:sz w:val="24"/>
          <w:szCs w:val="24"/>
        </w:rPr>
        <w:t>,</w:t>
      </w:r>
      <w:r w:rsidR="008B4D61" w:rsidRPr="00F550F7">
        <w:rPr>
          <w:rFonts w:ascii="Times New Roman" w:hAnsi="Times New Roman" w:cs="Times New Roman"/>
          <w:sz w:val="24"/>
          <w:szCs w:val="24"/>
        </w:rPr>
        <w:t xml:space="preserve"> препознавање улоге и значаја стартапа као и спинофа основаних из научноистраживачких организација са циљем комерцијалне експлоатације иновација.</w:t>
      </w:r>
      <w:r w:rsidR="009143F8">
        <w:rPr>
          <w:rFonts w:ascii="Times New Roman" w:hAnsi="Times New Roman" w:cs="Times New Roman"/>
          <w:sz w:val="24"/>
          <w:szCs w:val="24"/>
        </w:rPr>
        <w:t xml:space="preserve"> </w:t>
      </w:r>
      <w:r w:rsidR="00B40045" w:rsidRPr="00877F2E">
        <w:rPr>
          <w:rFonts w:ascii="Times New Roman" w:hAnsi="Times New Roman" w:cs="Times New Roman"/>
          <w:sz w:val="24"/>
          <w:szCs w:val="24"/>
        </w:rPr>
        <w:t xml:space="preserve">Новим </w:t>
      </w:r>
      <w:r w:rsidR="00BF219D">
        <w:rPr>
          <w:rFonts w:ascii="Times New Roman" w:hAnsi="Times New Roman" w:cs="Times New Roman"/>
          <w:sz w:val="24"/>
          <w:szCs w:val="24"/>
          <w:lang w:val="sr-Cyrl-RS"/>
        </w:rPr>
        <w:t>предлог</w:t>
      </w:r>
      <w:r w:rsidR="00B40045" w:rsidRPr="00877F2E">
        <w:rPr>
          <w:rFonts w:ascii="Times New Roman" w:hAnsi="Times New Roman" w:cs="Times New Roman"/>
          <w:sz w:val="24"/>
          <w:szCs w:val="24"/>
        </w:rPr>
        <w:t xml:space="preserve">ом Закона о иновационој делатности створен је законски основ за нове програме Фонда за иновациону делатност, </w:t>
      </w:r>
      <w:r w:rsidR="00F72EF8" w:rsidRPr="00F1435F">
        <w:rPr>
          <w:rFonts w:ascii="Times New Roman" w:hAnsi="Times New Roman" w:cs="Times New Roman"/>
          <w:sz w:val="24"/>
          <w:szCs w:val="24"/>
        </w:rPr>
        <w:t xml:space="preserve">а у оквиру пословања Фонда за иновациону делатност проширене су надлежности </w:t>
      </w:r>
      <w:r w:rsidR="00F1435F">
        <w:rPr>
          <w:rFonts w:ascii="Times New Roman" w:hAnsi="Times New Roman" w:cs="Times New Roman"/>
          <w:sz w:val="24"/>
          <w:szCs w:val="24"/>
        </w:rPr>
        <w:t>што се односи</w:t>
      </w:r>
      <w:r w:rsidR="00877F2E" w:rsidRPr="00F1435F">
        <w:rPr>
          <w:rFonts w:ascii="Times New Roman" w:hAnsi="Times New Roman" w:cs="Times New Roman"/>
          <w:sz w:val="24"/>
          <w:szCs w:val="24"/>
        </w:rPr>
        <w:t xml:space="preserve"> и</w:t>
      </w:r>
      <w:r w:rsidR="00F1435F">
        <w:rPr>
          <w:rFonts w:ascii="Times New Roman" w:hAnsi="Times New Roman" w:cs="Times New Roman"/>
          <w:sz w:val="24"/>
          <w:szCs w:val="24"/>
        </w:rPr>
        <w:t xml:space="preserve">на </w:t>
      </w:r>
      <w:r w:rsidR="00631F5E" w:rsidRPr="00F1435F">
        <w:rPr>
          <w:rFonts w:ascii="Times New Roman" w:hAnsi="Times New Roman" w:cs="Times New Roman"/>
          <w:sz w:val="24"/>
          <w:szCs w:val="24"/>
        </w:rPr>
        <w:t>вођење једнинственог регистра националног иновационог система</w:t>
      </w:r>
      <w:r w:rsidR="00595B78" w:rsidRPr="00F1435F">
        <w:rPr>
          <w:rFonts w:ascii="Times New Roman" w:hAnsi="Times New Roman" w:cs="Times New Roman"/>
          <w:sz w:val="24"/>
          <w:szCs w:val="24"/>
        </w:rPr>
        <w:t>.</w:t>
      </w:r>
    </w:p>
    <w:p w14:paraId="47DBC1A7" w14:textId="77777777" w:rsidR="00595B78" w:rsidRPr="00F550F7" w:rsidRDefault="00595B78" w:rsidP="00595B78">
      <w:pPr>
        <w:ind w:firstLine="720"/>
        <w:jc w:val="both"/>
        <w:rPr>
          <w:rFonts w:ascii="Times New Roman" w:hAnsi="Times New Roman" w:cs="Times New Roman"/>
          <w:sz w:val="24"/>
          <w:szCs w:val="24"/>
        </w:rPr>
      </w:pPr>
      <w:r w:rsidRPr="00F550F7">
        <w:rPr>
          <w:rFonts w:ascii="Times New Roman" w:hAnsi="Times New Roman" w:cs="Times New Roman"/>
          <w:sz w:val="24"/>
          <w:szCs w:val="24"/>
        </w:rPr>
        <w:t>Важећи закон о иновационој делатности ступио је на снагу 2013. године, у периоду у којем је пословни амбијент био другачији него што је данас. У међувремену је усвојено више планских докумената којима се дефинише правац развоја, усвојен је нови Закон о науци и истраживањима („Службени гласник РС”, број 49/19), којим се обезбеђује институционално финансирање института, оснаживање института од националног значаја, механизам за оснивање нових институција, ефикасније праћење и оцена рада института, ефикаснији рад тела и комисија (ефикаснији поступак избора у научна звања); побољшање ефикасности алокације и употребе свих научноистраживачких и развојних ресурса; изградња и даљи развој иновативног друштва заснованог на знању, а усвојен је и Закон о Фонду за науку Републике Србије („Службени гласник РС”, број 95/18) чиме је реализован један од стратешких циљева из области науке и истраживања у подстицају изврсности и релевантности научних истраживања у Републици Србији, кроз пројектно финансирање. У протеклом периоду, основане су неке од нових институција, док су постојеће унапредиле свој рад пружајући тако квалитетну основу за даљи развој научноистраживачког и иновационог система: новоосновани Фонд за науку Републике Србије, носилац у пружању подршке научноистраживачкој делатности; Фонд за иновациону делатност, са примарном улогом подршке иновационој делатности као и обезбеђивања и управљања финансијским средствима за подстицање иновација; Научно-технолошки парк Београд, који уз новоосноване паркове у Чачку, Нишу и Новом Саду чини јединствену мрежу НТП са перспективом даљег ширења кроз оснивање нових чланова; Центар за промоцију науке, важан чинилац, како на националном тако и на међународном нивоу, у настојању да науку учини доступном и препознатом од стране стручне и шире јавности; Институти од националног значаја за Републику Србију;</w:t>
      </w:r>
      <w:r w:rsidR="00B524C7" w:rsidRPr="00F550F7">
        <w:rPr>
          <w:rFonts w:ascii="Times New Roman" w:hAnsi="Times New Roman" w:cs="Times New Roman"/>
          <w:sz w:val="24"/>
          <w:szCs w:val="24"/>
        </w:rPr>
        <w:t xml:space="preserve"> о</w:t>
      </w:r>
      <w:r w:rsidRPr="00F550F7">
        <w:rPr>
          <w:rFonts w:ascii="Times New Roman" w:hAnsi="Times New Roman" w:cs="Times New Roman"/>
          <w:sz w:val="24"/>
          <w:szCs w:val="24"/>
        </w:rPr>
        <w:t>снивање нових института. Чланом 10. став 2. тачка 7. Закона о Фонду за науку Републике Србије („Службени гласник РС”, број 95/18) дефинисан је програм Иновације као програм сарадње са привредом реализован у сарадњи са Фондом за иновациону делатност и другим привредним субјектима. Овај програм има за циљ реализацију пројеката са учешћем партнера из привредног сектора и са обавезном непосредном применом резултата истраживања.</w:t>
      </w:r>
    </w:p>
    <w:p w14:paraId="54A0FB55" w14:textId="50897551" w:rsidR="00B524C7" w:rsidRPr="00F550F7" w:rsidRDefault="00B524C7" w:rsidP="00B524C7">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Наведене активности допринеле су развоју новог пословног амбијента у којем је истакнута неопходност сарадње науке и привреде, што је условило прилагођавање тренутног законског оквира у области иновација. У том смислу, уочена је потреба за доношењем новог закона којим ће се на системски начин омогућити да се боље искористе развојне могућности у погледу иновација, што ће помоћи прелазак Републике Србије из економије у развоју у развијену економију. </w:t>
      </w:r>
      <w:r w:rsidR="003A01A6" w:rsidRPr="00F550F7">
        <w:rPr>
          <w:rFonts w:ascii="Times New Roman" w:hAnsi="Times New Roman" w:cs="Times New Roman"/>
          <w:sz w:val="24"/>
          <w:szCs w:val="24"/>
        </w:rPr>
        <w:t xml:space="preserve">Нови </w:t>
      </w:r>
      <w:r w:rsidR="00BF219D">
        <w:rPr>
          <w:rFonts w:ascii="Times New Roman" w:hAnsi="Times New Roman" w:cs="Times New Roman"/>
          <w:sz w:val="24"/>
          <w:szCs w:val="24"/>
          <w:lang w:val="sr-Cyrl-RS"/>
        </w:rPr>
        <w:t>предлог</w:t>
      </w:r>
      <w:r w:rsidR="003A01A6" w:rsidRPr="00F550F7">
        <w:rPr>
          <w:rFonts w:ascii="Times New Roman" w:hAnsi="Times New Roman" w:cs="Times New Roman"/>
          <w:sz w:val="24"/>
          <w:szCs w:val="24"/>
        </w:rPr>
        <w:t xml:space="preserve"> Закона којим се регулише иновациона делатност представља модеран закон који свој садржај ставља у функцију ефикасног националног система иновација.</w:t>
      </w:r>
    </w:p>
    <w:p w14:paraId="3ED6D9A6" w14:textId="77777777" w:rsidR="0053506E" w:rsidRDefault="0053506E" w:rsidP="00B524C7">
      <w:pPr>
        <w:ind w:firstLine="720"/>
        <w:jc w:val="both"/>
        <w:rPr>
          <w:rFonts w:ascii="Times New Roman" w:hAnsi="Times New Roman" w:cs="Times New Roman"/>
          <w:sz w:val="24"/>
          <w:szCs w:val="24"/>
        </w:rPr>
      </w:pPr>
      <w:r w:rsidRPr="00F550F7">
        <w:rPr>
          <w:rFonts w:ascii="Times New Roman" w:hAnsi="Times New Roman" w:cs="Times New Roman"/>
          <w:sz w:val="24"/>
          <w:szCs w:val="24"/>
        </w:rPr>
        <w:t>При разматрању других могућности за испуњавање описаних циљева у вези са иновационом делатношћу утврђено је да ове проблеме није могуће решити без прописивања новог законског оквира, будући да предметне измене није било могуће увести без системске промене.</w:t>
      </w:r>
    </w:p>
    <w:p w14:paraId="2CBF04BC" w14:textId="77777777" w:rsidR="00C4657D" w:rsidRDefault="00C4657D" w:rsidP="00B524C7">
      <w:pPr>
        <w:ind w:firstLine="720"/>
        <w:jc w:val="both"/>
        <w:rPr>
          <w:rFonts w:ascii="Times New Roman" w:hAnsi="Times New Roman" w:cs="Times New Roman"/>
          <w:sz w:val="24"/>
          <w:szCs w:val="24"/>
        </w:rPr>
      </w:pPr>
    </w:p>
    <w:p w14:paraId="6DE0A942" w14:textId="5C808775" w:rsidR="008C03BE" w:rsidRPr="0071338B" w:rsidRDefault="004A2E90">
      <w:pPr>
        <w:numPr>
          <w:ilvl w:val="0"/>
          <w:numId w:val="1"/>
        </w:numPr>
        <w:jc w:val="both"/>
        <w:rPr>
          <w:rFonts w:ascii="Times New Roman" w:hAnsi="Times New Roman" w:cs="Times New Roman"/>
          <w:b/>
          <w:sz w:val="24"/>
          <w:szCs w:val="24"/>
        </w:rPr>
      </w:pPr>
      <w:r w:rsidRPr="0071338B">
        <w:rPr>
          <w:rFonts w:ascii="Times New Roman" w:hAnsi="Times New Roman" w:cs="Times New Roman"/>
          <w:b/>
          <w:sz w:val="24"/>
          <w:szCs w:val="24"/>
        </w:rPr>
        <w:t>На које циљне</w:t>
      </w:r>
      <w:r w:rsidR="00F12924">
        <w:rPr>
          <w:rFonts w:ascii="Times New Roman" w:hAnsi="Times New Roman" w:cs="Times New Roman"/>
          <w:b/>
          <w:sz w:val="24"/>
          <w:szCs w:val="24"/>
          <w:lang w:val="sr-Cyrl-RS"/>
        </w:rPr>
        <w:t xml:space="preserve"> </w:t>
      </w:r>
      <w:r w:rsidR="00B0298E" w:rsidRPr="0071338B">
        <w:rPr>
          <w:rFonts w:ascii="Times New Roman" w:hAnsi="Times New Roman" w:cs="Times New Roman"/>
          <w:b/>
          <w:sz w:val="24"/>
          <w:szCs w:val="24"/>
        </w:rPr>
        <w:t>гр</w:t>
      </w:r>
      <w:r w:rsidRPr="0071338B">
        <w:rPr>
          <w:rFonts w:ascii="Times New Roman" w:hAnsi="Times New Roman" w:cs="Times New Roman"/>
          <w:b/>
          <w:sz w:val="24"/>
          <w:szCs w:val="24"/>
        </w:rPr>
        <w:t>упе ће утицати предложена промена? Утврдити и представити циљне групе на које ће промена имати непосредан односно посредан утицај.</w:t>
      </w:r>
    </w:p>
    <w:p w14:paraId="5ECA2E21" w14:textId="77777777" w:rsidR="008C03BE" w:rsidRPr="00F550F7" w:rsidRDefault="008C03BE">
      <w:pPr>
        <w:ind w:left="720"/>
        <w:jc w:val="both"/>
        <w:rPr>
          <w:rFonts w:ascii="Times New Roman" w:hAnsi="Times New Roman" w:cs="Times New Roman"/>
          <w:sz w:val="24"/>
          <w:szCs w:val="24"/>
        </w:rPr>
      </w:pPr>
    </w:p>
    <w:p w14:paraId="0D588A39" w14:textId="77777777" w:rsidR="00D12634" w:rsidRPr="00F550F7" w:rsidRDefault="00D12634" w:rsidP="00D12634">
      <w:pPr>
        <w:ind w:firstLine="720"/>
        <w:jc w:val="both"/>
        <w:rPr>
          <w:rFonts w:ascii="Times New Roman" w:hAnsi="Times New Roman" w:cs="Times New Roman"/>
          <w:sz w:val="24"/>
          <w:szCs w:val="24"/>
        </w:rPr>
      </w:pPr>
      <w:r w:rsidRPr="00F550F7">
        <w:rPr>
          <w:rFonts w:ascii="Times New Roman" w:hAnsi="Times New Roman" w:cs="Times New Roman"/>
          <w:sz w:val="24"/>
          <w:szCs w:val="24"/>
        </w:rPr>
        <w:t>Предложене промене утицаће на субјекте националног иновационог система, односно иновативне субјекте, субјекте</w:t>
      </w:r>
      <w:r w:rsidR="005A235C" w:rsidRPr="00F550F7">
        <w:rPr>
          <w:rFonts w:ascii="Times New Roman" w:hAnsi="Times New Roman" w:cs="Times New Roman"/>
          <w:sz w:val="24"/>
          <w:szCs w:val="24"/>
        </w:rPr>
        <w:t xml:space="preserve"> иновационе инфраструктуре, </w:t>
      </w:r>
      <w:r w:rsidRPr="00F550F7">
        <w:rPr>
          <w:rFonts w:ascii="Times New Roman" w:hAnsi="Times New Roman" w:cs="Times New Roman"/>
          <w:sz w:val="24"/>
          <w:szCs w:val="24"/>
        </w:rPr>
        <w:t>инвеститоре у иновациону делатност</w:t>
      </w:r>
      <w:r w:rsidR="005A235C" w:rsidRPr="00F550F7">
        <w:rPr>
          <w:rFonts w:ascii="Times New Roman" w:hAnsi="Times New Roman" w:cs="Times New Roman"/>
          <w:sz w:val="24"/>
          <w:szCs w:val="24"/>
        </w:rPr>
        <w:t xml:space="preserve">, </w:t>
      </w:r>
      <w:r w:rsidR="00CF451B">
        <w:rPr>
          <w:rFonts w:ascii="Times New Roman" w:hAnsi="Times New Roman" w:cs="Times New Roman"/>
          <w:sz w:val="24"/>
          <w:szCs w:val="24"/>
        </w:rPr>
        <w:t xml:space="preserve">као и </w:t>
      </w:r>
      <w:r w:rsidR="005A235C" w:rsidRPr="00F550F7">
        <w:rPr>
          <w:rFonts w:ascii="Times New Roman" w:hAnsi="Times New Roman" w:cs="Times New Roman"/>
          <w:sz w:val="24"/>
          <w:szCs w:val="24"/>
        </w:rPr>
        <w:t>на науч</w:t>
      </w:r>
      <w:r w:rsidR="00CF451B">
        <w:rPr>
          <w:rFonts w:ascii="Times New Roman" w:hAnsi="Times New Roman" w:cs="Times New Roman"/>
          <w:sz w:val="24"/>
          <w:szCs w:val="24"/>
        </w:rPr>
        <w:t>ноистраживачке организације</w:t>
      </w:r>
      <w:r w:rsidR="005A235C" w:rsidRPr="00F550F7">
        <w:rPr>
          <w:rFonts w:ascii="Times New Roman" w:hAnsi="Times New Roman" w:cs="Times New Roman"/>
          <w:sz w:val="24"/>
          <w:szCs w:val="24"/>
        </w:rPr>
        <w:t xml:space="preserve"> и сва остала правна и физичка лица која се баве иновационом делатношћу.</w:t>
      </w:r>
    </w:p>
    <w:p w14:paraId="18BB6535" w14:textId="77777777" w:rsidR="008C03BE" w:rsidRPr="00F550F7" w:rsidRDefault="008C03BE">
      <w:pPr>
        <w:ind w:left="720"/>
        <w:jc w:val="both"/>
        <w:rPr>
          <w:rFonts w:ascii="Times New Roman" w:hAnsi="Times New Roman" w:cs="Times New Roman"/>
          <w:sz w:val="24"/>
          <w:szCs w:val="24"/>
        </w:rPr>
      </w:pPr>
    </w:p>
    <w:p w14:paraId="68265414" w14:textId="77777777" w:rsidR="008C03BE" w:rsidRPr="0071338B" w:rsidRDefault="004A2E90">
      <w:pPr>
        <w:numPr>
          <w:ilvl w:val="0"/>
          <w:numId w:val="1"/>
        </w:numPr>
        <w:jc w:val="both"/>
        <w:rPr>
          <w:rFonts w:ascii="Times New Roman" w:hAnsi="Times New Roman" w:cs="Times New Roman"/>
          <w:b/>
          <w:sz w:val="24"/>
          <w:szCs w:val="24"/>
        </w:rPr>
      </w:pPr>
      <w:r w:rsidRPr="0071338B">
        <w:rPr>
          <w:rFonts w:ascii="Times New Roman" w:hAnsi="Times New Roman" w:cs="Times New Roman"/>
          <w:b/>
          <w:sz w:val="24"/>
          <w:szCs w:val="24"/>
        </w:rPr>
        <w:t>К</w:t>
      </w:r>
      <w:r w:rsidR="00B0298E" w:rsidRPr="0071338B">
        <w:rPr>
          <w:rFonts w:ascii="Times New Roman" w:hAnsi="Times New Roman" w:cs="Times New Roman"/>
          <w:b/>
          <w:sz w:val="24"/>
          <w:szCs w:val="24"/>
        </w:rPr>
        <w:t>акво је искуство у</w:t>
      </w:r>
      <w:r w:rsidRPr="0071338B">
        <w:rPr>
          <w:rFonts w:ascii="Times New Roman" w:hAnsi="Times New Roman" w:cs="Times New Roman"/>
          <w:b/>
          <w:sz w:val="24"/>
          <w:szCs w:val="24"/>
        </w:rPr>
        <w:t xml:space="preserve">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21747B74" w14:textId="77777777" w:rsidR="00D12634" w:rsidRPr="00F550F7" w:rsidRDefault="00D12634" w:rsidP="00D12634">
      <w:pPr>
        <w:jc w:val="both"/>
        <w:rPr>
          <w:rFonts w:ascii="Times New Roman" w:hAnsi="Times New Roman" w:cs="Times New Roman"/>
          <w:sz w:val="24"/>
          <w:szCs w:val="24"/>
        </w:rPr>
      </w:pPr>
    </w:p>
    <w:p w14:paraId="0CB0D21B" w14:textId="7CF11AE9" w:rsidR="005D7AB9" w:rsidRPr="00F550F7" w:rsidRDefault="00D12634" w:rsidP="00C47E1A">
      <w:pPr>
        <w:ind w:firstLine="720"/>
        <w:jc w:val="both"/>
        <w:rPr>
          <w:rFonts w:ascii="Times New Roman" w:hAnsi="Times New Roman" w:cs="Times New Roman"/>
          <w:sz w:val="24"/>
          <w:szCs w:val="24"/>
        </w:rPr>
      </w:pPr>
      <w:r w:rsidRPr="00F550F7">
        <w:rPr>
          <w:rFonts w:ascii="Times New Roman" w:hAnsi="Times New Roman" w:cs="Times New Roman"/>
          <w:sz w:val="24"/>
          <w:szCs w:val="24"/>
        </w:rPr>
        <w:t>Главни циљ политике Е</w:t>
      </w:r>
      <w:r w:rsidR="005A235C" w:rsidRPr="00F550F7">
        <w:rPr>
          <w:rFonts w:ascii="Times New Roman" w:hAnsi="Times New Roman" w:cs="Times New Roman"/>
          <w:sz w:val="24"/>
          <w:szCs w:val="24"/>
        </w:rPr>
        <w:t xml:space="preserve">вропске уније у области науке, </w:t>
      </w:r>
      <w:r w:rsidRPr="00F550F7">
        <w:rPr>
          <w:rFonts w:ascii="Times New Roman" w:hAnsi="Times New Roman" w:cs="Times New Roman"/>
          <w:sz w:val="24"/>
          <w:szCs w:val="24"/>
        </w:rPr>
        <w:t>истраживања</w:t>
      </w:r>
      <w:r w:rsidR="005A235C" w:rsidRPr="00F550F7">
        <w:rPr>
          <w:rFonts w:ascii="Times New Roman" w:hAnsi="Times New Roman" w:cs="Times New Roman"/>
          <w:sz w:val="24"/>
          <w:szCs w:val="24"/>
        </w:rPr>
        <w:t xml:space="preserve"> и иновација</w:t>
      </w:r>
      <w:r w:rsidRPr="00F550F7">
        <w:rPr>
          <w:rFonts w:ascii="Times New Roman" w:hAnsi="Times New Roman" w:cs="Times New Roman"/>
          <w:sz w:val="24"/>
          <w:szCs w:val="24"/>
        </w:rPr>
        <w:t xml:space="preserve"> је јачање научног и технолошког система као једног од кључних чинилаца одрживог привредног развоја чиме се обезбеђује квалитетан оквир за спровођење научних истраживања и развој иновација, док се последично тежи подстицању конкурентности и раста привредних активности. Република Србија, као земља кандидат за чланство у Европској унији</w:t>
      </w:r>
      <w:r w:rsidR="005A235C" w:rsidRPr="00F550F7">
        <w:rPr>
          <w:rFonts w:ascii="Times New Roman" w:hAnsi="Times New Roman" w:cs="Times New Roman"/>
          <w:sz w:val="24"/>
          <w:szCs w:val="24"/>
        </w:rPr>
        <w:t xml:space="preserve"> и у</w:t>
      </w:r>
      <w:r w:rsidRPr="00F550F7">
        <w:rPr>
          <w:rFonts w:ascii="Times New Roman" w:hAnsi="Times New Roman" w:cs="Times New Roman"/>
          <w:sz w:val="24"/>
          <w:szCs w:val="24"/>
        </w:rPr>
        <w:t xml:space="preserve"> области </w:t>
      </w:r>
      <w:r w:rsidR="005A235C" w:rsidRPr="00F550F7">
        <w:rPr>
          <w:rFonts w:ascii="Times New Roman" w:hAnsi="Times New Roman" w:cs="Times New Roman"/>
          <w:sz w:val="24"/>
          <w:szCs w:val="24"/>
        </w:rPr>
        <w:t xml:space="preserve">науке, истраживања и иновација </w:t>
      </w:r>
      <w:r w:rsidRPr="00F550F7">
        <w:rPr>
          <w:rFonts w:ascii="Times New Roman" w:hAnsi="Times New Roman" w:cs="Times New Roman"/>
          <w:sz w:val="24"/>
          <w:szCs w:val="24"/>
        </w:rPr>
        <w:t>спроводи потребне реформе и активности како би се прикључила Европском истраживачком простору (E</w:t>
      </w:r>
      <w:r w:rsidR="00342F9E">
        <w:rPr>
          <w:rFonts w:ascii="Times New Roman" w:hAnsi="Times New Roman" w:cs="Times New Roman"/>
          <w:sz w:val="24"/>
          <w:szCs w:val="24"/>
        </w:rPr>
        <w:t>Р</w:t>
      </w:r>
      <w:r w:rsidRPr="00F550F7">
        <w:rPr>
          <w:rFonts w:ascii="Times New Roman" w:hAnsi="Times New Roman" w:cs="Times New Roman"/>
          <w:sz w:val="24"/>
          <w:szCs w:val="24"/>
        </w:rPr>
        <w:t xml:space="preserve">A). </w:t>
      </w:r>
      <w:r w:rsidR="005A235C" w:rsidRPr="00F550F7">
        <w:rPr>
          <w:rFonts w:ascii="Times New Roman" w:hAnsi="Times New Roman" w:cs="Times New Roman"/>
          <w:sz w:val="24"/>
          <w:szCs w:val="24"/>
        </w:rPr>
        <w:t xml:space="preserve">Република Србија је </w:t>
      </w:r>
      <w:r w:rsidR="00CF451B">
        <w:rPr>
          <w:rFonts w:ascii="Times New Roman" w:hAnsi="Times New Roman" w:cs="Times New Roman"/>
          <w:sz w:val="24"/>
          <w:szCs w:val="24"/>
        </w:rPr>
        <w:t xml:space="preserve">2008. године </w:t>
      </w:r>
      <w:r w:rsidR="005A235C" w:rsidRPr="00F550F7">
        <w:rPr>
          <w:rFonts w:ascii="Times New Roman" w:hAnsi="Times New Roman" w:cs="Times New Roman"/>
          <w:sz w:val="24"/>
          <w:szCs w:val="24"/>
        </w:rPr>
        <w:t>потписала Споразум о стабилизацији и придруживању са Европском унијом према којем је предвиђена обавеза Републике Србије да домаће законодавство усклади са правним тековинама</w:t>
      </w:r>
      <w:r w:rsidR="00CF3587">
        <w:rPr>
          <w:rFonts w:ascii="Times New Roman" w:hAnsi="Times New Roman" w:cs="Times New Roman"/>
          <w:sz w:val="24"/>
          <w:szCs w:val="24"/>
        </w:rPr>
        <w:t xml:space="preserve"> </w:t>
      </w:r>
      <w:r w:rsidR="005A235C" w:rsidRPr="00F550F7">
        <w:rPr>
          <w:rFonts w:ascii="Times New Roman" w:hAnsi="Times New Roman" w:cs="Times New Roman"/>
          <w:sz w:val="24"/>
          <w:szCs w:val="24"/>
        </w:rPr>
        <w:t xml:space="preserve">Европске уније. Приликом израде новог </w:t>
      </w:r>
      <w:r w:rsidR="00BF219D">
        <w:rPr>
          <w:rFonts w:ascii="Times New Roman" w:hAnsi="Times New Roman" w:cs="Times New Roman"/>
          <w:sz w:val="24"/>
          <w:szCs w:val="24"/>
          <w:lang w:val="sr-Cyrl-RS"/>
        </w:rPr>
        <w:t>предлог</w:t>
      </w:r>
      <w:r w:rsidR="00812461">
        <w:rPr>
          <w:rFonts w:ascii="Times New Roman" w:hAnsi="Times New Roman" w:cs="Times New Roman"/>
          <w:sz w:val="24"/>
          <w:szCs w:val="24"/>
        </w:rPr>
        <w:t>а</w:t>
      </w:r>
      <w:r w:rsidR="005A235C" w:rsidRPr="00F550F7">
        <w:rPr>
          <w:rFonts w:ascii="Times New Roman" w:hAnsi="Times New Roman" w:cs="Times New Roman"/>
          <w:sz w:val="24"/>
          <w:szCs w:val="24"/>
        </w:rPr>
        <w:t xml:space="preserve"> Закона о иновационој делатности коришћени су примери добре</w:t>
      </w:r>
      <w:r w:rsidR="00CF451B">
        <w:rPr>
          <w:rFonts w:ascii="Times New Roman" w:hAnsi="Times New Roman" w:cs="Times New Roman"/>
          <w:sz w:val="24"/>
          <w:szCs w:val="24"/>
        </w:rPr>
        <w:t xml:space="preserve"> европске</w:t>
      </w:r>
      <w:r w:rsidR="005A235C" w:rsidRPr="00F550F7">
        <w:rPr>
          <w:rFonts w:ascii="Times New Roman" w:hAnsi="Times New Roman" w:cs="Times New Roman"/>
          <w:sz w:val="24"/>
          <w:szCs w:val="24"/>
        </w:rPr>
        <w:t xml:space="preserve"> праксе. Један од тих примера је </w:t>
      </w:r>
      <w:r w:rsidR="0053506E" w:rsidRPr="00F550F7">
        <w:rPr>
          <w:rFonts w:ascii="Times New Roman" w:hAnsi="Times New Roman" w:cs="Times New Roman"/>
          <w:sz w:val="24"/>
          <w:szCs w:val="24"/>
        </w:rPr>
        <w:t>Словенија</w:t>
      </w:r>
      <w:r w:rsidR="005A235C" w:rsidRPr="00F550F7">
        <w:rPr>
          <w:rFonts w:ascii="Times New Roman" w:hAnsi="Times New Roman" w:cs="Times New Roman"/>
          <w:sz w:val="24"/>
          <w:szCs w:val="24"/>
        </w:rPr>
        <w:t>, која</w:t>
      </w:r>
      <w:r w:rsidR="0053506E" w:rsidRPr="00F550F7">
        <w:rPr>
          <w:rFonts w:ascii="Times New Roman" w:hAnsi="Times New Roman" w:cs="Times New Roman"/>
          <w:sz w:val="24"/>
          <w:szCs w:val="24"/>
        </w:rPr>
        <w:t xml:space="preserve"> је свој национални иновациони систем развила </w:t>
      </w:r>
      <w:r w:rsidR="00172D49">
        <w:rPr>
          <w:rFonts w:ascii="Times New Roman" w:hAnsi="Times New Roman" w:cs="Times New Roman"/>
          <w:sz w:val="24"/>
          <w:szCs w:val="24"/>
        </w:rPr>
        <w:t xml:space="preserve">умрежавањем </w:t>
      </w:r>
      <w:r w:rsidR="0053506E" w:rsidRPr="00F550F7">
        <w:rPr>
          <w:rFonts w:ascii="Times New Roman" w:hAnsi="Times New Roman" w:cs="Times New Roman"/>
          <w:sz w:val="24"/>
          <w:szCs w:val="24"/>
        </w:rPr>
        <w:t>истраживања, развоја и иновација, применом различитих мера подршке привредним субјектима и подршку предузетништву.</w:t>
      </w:r>
      <w:r w:rsidR="00CF3587">
        <w:rPr>
          <w:rFonts w:ascii="Times New Roman" w:hAnsi="Times New Roman" w:cs="Times New Roman"/>
          <w:sz w:val="24"/>
          <w:szCs w:val="24"/>
        </w:rPr>
        <w:t xml:space="preserve"> </w:t>
      </w:r>
      <w:r w:rsidR="00172D49">
        <w:rPr>
          <w:rFonts w:ascii="Times New Roman" w:hAnsi="Times New Roman" w:cs="Times New Roman"/>
          <w:sz w:val="24"/>
          <w:szCs w:val="24"/>
        </w:rPr>
        <w:t xml:space="preserve">Овај систем </w:t>
      </w:r>
      <w:r w:rsidR="00CF451B" w:rsidRPr="00CF451B">
        <w:rPr>
          <w:rFonts w:ascii="Times New Roman" w:hAnsi="Times New Roman" w:cs="Times New Roman"/>
          <w:sz w:val="24"/>
          <w:szCs w:val="24"/>
        </w:rPr>
        <w:t>пружа снажну подршку развоју старт</w:t>
      </w:r>
      <w:r w:rsidR="00172D49">
        <w:rPr>
          <w:rFonts w:ascii="Times New Roman" w:hAnsi="Times New Roman" w:cs="Times New Roman"/>
          <w:sz w:val="24"/>
          <w:szCs w:val="24"/>
        </w:rPr>
        <w:t>а</w:t>
      </w:r>
      <w:r w:rsidR="00CF451B" w:rsidRPr="00CF451B">
        <w:rPr>
          <w:rFonts w:ascii="Times New Roman" w:hAnsi="Times New Roman" w:cs="Times New Roman"/>
          <w:sz w:val="24"/>
          <w:szCs w:val="24"/>
        </w:rPr>
        <w:t>п екосистема, уз активне напоре јавног сектора да побољша прописе и осигура да предузетници имају боље услове за иновације</w:t>
      </w:r>
      <w:r w:rsidR="00172D49">
        <w:rPr>
          <w:rFonts w:ascii="Times New Roman" w:hAnsi="Times New Roman" w:cs="Times New Roman"/>
          <w:sz w:val="24"/>
          <w:szCs w:val="24"/>
        </w:rPr>
        <w:t>, уз олакшавање</w:t>
      </w:r>
      <w:r w:rsidR="00CF451B" w:rsidRPr="00CF451B">
        <w:rPr>
          <w:rFonts w:ascii="Times New Roman" w:hAnsi="Times New Roman" w:cs="Times New Roman"/>
          <w:sz w:val="24"/>
          <w:szCs w:val="24"/>
        </w:rPr>
        <w:t xml:space="preserve"> процедур</w:t>
      </w:r>
      <w:r w:rsidR="00172D49">
        <w:rPr>
          <w:rFonts w:ascii="Times New Roman" w:hAnsi="Times New Roman" w:cs="Times New Roman"/>
          <w:sz w:val="24"/>
          <w:szCs w:val="24"/>
        </w:rPr>
        <w:t>а</w:t>
      </w:r>
      <w:r w:rsidR="00CF451B" w:rsidRPr="00CF451B">
        <w:rPr>
          <w:rFonts w:ascii="Times New Roman" w:hAnsi="Times New Roman" w:cs="Times New Roman"/>
          <w:sz w:val="24"/>
          <w:szCs w:val="24"/>
        </w:rPr>
        <w:t xml:space="preserve"> страним ин</w:t>
      </w:r>
      <w:r w:rsidR="00CF451B">
        <w:rPr>
          <w:rFonts w:ascii="Times New Roman" w:hAnsi="Times New Roman" w:cs="Times New Roman"/>
          <w:sz w:val="24"/>
          <w:szCs w:val="24"/>
        </w:rPr>
        <w:t>веститорима</w:t>
      </w:r>
      <w:r w:rsidR="00172D49">
        <w:rPr>
          <w:rFonts w:ascii="Times New Roman" w:hAnsi="Times New Roman" w:cs="Times New Roman"/>
          <w:sz w:val="24"/>
          <w:szCs w:val="24"/>
        </w:rPr>
        <w:t>.</w:t>
      </w:r>
    </w:p>
    <w:p w14:paraId="76791BCA" w14:textId="77777777" w:rsidR="008C03BE" w:rsidRPr="00F550F7" w:rsidRDefault="008C03BE">
      <w:pPr>
        <w:ind w:left="720"/>
        <w:jc w:val="both"/>
        <w:rPr>
          <w:rFonts w:ascii="Times New Roman" w:hAnsi="Times New Roman" w:cs="Times New Roman"/>
          <w:sz w:val="24"/>
          <w:szCs w:val="24"/>
        </w:rPr>
      </w:pPr>
    </w:p>
    <w:p w14:paraId="1F2C0740" w14:textId="77777777" w:rsidR="008C03BE" w:rsidRPr="00F550F7" w:rsidRDefault="004A2E90">
      <w:pPr>
        <w:jc w:val="center"/>
        <w:rPr>
          <w:rFonts w:ascii="Times New Roman" w:hAnsi="Times New Roman" w:cs="Times New Roman"/>
          <w:b/>
          <w:sz w:val="24"/>
          <w:szCs w:val="24"/>
          <w:u w:val="single"/>
        </w:rPr>
      </w:pPr>
      <w:r w:rsidRPr="00F550F7">
        <w:rPr>
          <w:rFonts w:ascii="Times New Roman" w:hAnsi="Times New Roman" w:cs="Times New Roman"/>
          <w:b/>
          <w:sz w:val="24"/>
          <w:szCs w:val="24"/>
          <w:u w:val="single"/>
        </w:rPr>
        <w:t>Кључна питања за утврђивање циљева</w:t>
      </w:r>
    </w:p>
    <w:p w14:paraId="771EE742" w14:textId="77777777" w:rsidR="008C03BE" w:rsidRPr="00F550F7" w:rsidRDefault="008C03BE">
      <w:pPr>
        <w:ind w:left="720"/>
        <w:jc w:val="both"/>
        <w:rPr>
          <w:rFonts w:ascii="Times New Roman" w:hAnsi="Times New Roman" w:cs="Times New Roman"/>
          <w:b/>
          <w:sz w:val="24"/>
          <w:szCs w:val="24"/>
        </w:rPr>
      </w:pPr>
    </w:p>
    <w:p w14:paraId="779AB3FA" w14:textId="17D02FB0" w:rsidR="008C03BE" w:rsidRPr="0071338B" w:rsidRDefault="004A2E90" w:rsidP="00903266">
      <w:pPr>
        <w:pStyle w:val="ListParagraph"/>
        <w:numPr>
          <w:ilvl w:val="0"/>
          <w:numId w:val="8"/>
        </w:numPr>
        <w:jc w:val="both"/>
        <w:rPr>
          <w:rFonts w:ascii="Times New Roman" w:hAnsi="Times New Roman" w:cs="Times New Roman"/>
          <w:b/>
          <w:sz w:val="24"/>
          <w:szCs w:val="24"/>
        </w:rPr>
      </w:pPr>
      <w:r w:rsidRPr="0071338B">
        <w:rPr>
          <w:rFonts w:ascii="Times New Roman" w:hAnsi="Times New Roman" w:cs="Times New Roman"/>
          <w:b/>
          <w:sz w:val="24"/>
          <w:szCs w:val="24"/>
        </w:rPr>
        <w:t>Због</w:t>
      </w:r>
      <w:r w:rsidR="00286076">
        <w:rPr>
          <w:rFonts w:ascii="Times New Roman" w:hAnsi="Times New Roman" w:cs="Times New Roman"/>
          <w:b/>
          <w:sz w:val="24"/>
          <w:szCs w:val="24"/>
        </w:rPr>
        <w:t xml:space="preserve"> </w:t>
      </w:r>
      <w:r w:rsidR="00CA288B" w:rsidRPr="0071338B">
        <w:rPr>
          <w:rFonts w:ascii="Times New Roman" w:hAnsi="Times New Roman" w:cs="Times New Roman"/>
          <w:b/>
          <w:sz w:val="24"/>
          <w:szCs w:val="24"/>
        </w:rPr>
        <w:t>ч</w:t>
      </w:r>
      <w:r w:rsidRPr="0071338B">
        <w:rPr>
          <w:rFonts w:ascii="Times New Roman" w:hAnsi="Times New Roman" w:cs="Times New Roman"/>
          <w:b/>
          <w:sz w:val="24"/>
          <w:szCs w:val="24"/>
        </w:rPr>
        <w:t>ега је неопходно постићи жељену промену на нивоу друштва? (Одговором на ово питање дефинише се општи циљ)</w:t>
      </w:r>
      <w:r w:rsidR="00CF3587">
        <w:rPr>
          <w:rFonts w:ascii="Times New Roman" w:hAnsi="Times New Roman" w:cs="Times New Roman"/>
          <w:b/>
          <w:sz w:val="24"/>
          <w:szCs w:val="24"/>
        </w:rPr>
        <w:t xml:space="preserve">. </w:t>
      </w:r>
      <w:r w:rsidR="00903266" w:rsidRPr="0071338B">
        <w:rPr>
          <w:rFonts w:ascii="Times New Roman" w:hAnsi="Times New Roman" w:cs="Times New Roman"/>
          <w:b/>
          <w:sz w:val="24"/>
          <w:szCs w:val="24"/>
        </w:rPr>
        <w:t>На основу којих показатеља учинка ће бити могуће утврдити да ли је дошло до остваривања општих циљева?</w:t>
      </w:r>
    </w:p>
    <w:p w14:paraId="04F77855" w14:textId="77777777" w:rsidR="00CA288B" w:rsidRPr="00F550F7" w:rsidRDefault="00CA288B" w:rsidP="00CA288B">
      <w:pPr>
        <w:jc w:val="both"/>
        <w:rPr>
          <w:rFonts w:ascii="Times New Roman" w:hAnsi="Times New Roman" w:cs="Times New Roman"/>
          <w:sz w:val="24"/>
          <w:szCs w:val="24"/>
        </w:rPr>
      </w:pPr>
    </w:p>
    <w:p w14:paraId="0A3C88C6" w14:textId="77777777" w:rsidR="00D31210" w:rsidRPr="00684A2C" w:rsidRDefault="00D31210" w:rsidP="00D31210">
      <w:pPr>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Општи циљ овог закона је унапређење услова за развој иновационе делатности у Републици Србији.</w:t>
      </w:r>
    </w:p>
    <w:p w14:paraId="4F57C4DB" w14:textId="19E7EC45" w:rsidR="00D31210" w:rsidRDefault="00D31210" w:rsidP="00D31210">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Показатељи у области иновационог система који су узети у обзир приликом израде </w:t>
      </w:r>
      <w:r w:rsidR="00BF219D">
        <w:rPr>
          <w:rFonts w:ascii="Times New Roman" w:hAnsi="Times New Roman" w:cs="Times New Roman"/>
          <w:sz w:val="24"/>
          <w:szCs w:val="24"/>
          <w:lang w:val="sr-Cyrl-RS"/>
        </w:rPr>
        <w:t>предлог</w:t>
      </w:r>
      <w:r>
        <w:rPr>
          <w:rFonts w:ascii="Times New Roman" w:hAnsi="Times New Roman" w:cs="Times New Roman"/>
          <w:sz w:val="24"/>
          <w:szCs w:val="24"/>
        </w:rPr>
        <w:t>а</w:t>
      </w:r>
      <w:r w:rsidRPr="00F550F7">
        <w:rPr>
          <w:rFonts w:ascii="Times New Roman" w:hAnsi="Times New Roman" w:cs="Times New Roman"/>
          <w:sz w:val="24"/>
          <w:szCs w:val="24"/>
        </w:rPr>
        <w:t xml:space="preserve"> новог Закона о иновационој делатности и који ће се и убудуће узимати у обзир приликом утврђивања остварености напретка су Глобални индекс иновативности, Сумарни индекс иновативности (European Innovation Scoreboard), </w:t>
      </w:r>
      <w:r>
        <w:rPr>
          <w:rFonts w:ascii="Times New Roman" w:hAnsi="Times New Roman" w:cs="Times New Roman"/>
          <w:sz w:val="24"/>
          <w:szCs w:val="24"/>
        </w:rPr>
        <w:t xml:space="preserve">показатељи из </w:t>
      </w:r>
      <w:r w:rsidRPr="00F550F7">
        <w:rPr>
          <w:rFonts w:ascii="Times New Roman" w:hAnsi="Times New Roman" w:cs="Times New Roman"/>
          <w:sz w:val="24"/>
          <w:szCs w:val="24"/>
        </w:rPr>
        <w:t>Извештај</w:t>
      </w:r>
      <w:r>
        <w:rPr>
          <w:rFonts w:ascii="Times New Roman" w:hAnsi="Times New Roman" w:cs="Times New Roman"/>
          <w:sz w:val="24"/>
          <w:szCs w:val="24"/>
        </w:rPr>
        <w:t>а</w:t>
      </w:r>
      <w:r w:rsidRPr="00F550F7">
        <w:rPr>
          <w:rFonts w:ascii="Times New Roman" w:hAnsi="Times New Roman" w:cs="Times New Roman"/>
          <w:sz w:val="24"/>
          <w:szCs w:val="24"/>
        </w:rPr>
        <w:t xml:space="preserve"> о стању у науци Националн</w:t>
      </w:r>
      <w:r>
        <w:rPr>
          <w:rFonts w:ascii="Times New Roman" w:hAnsi="Times New Roman" w:cs="Times New Roman"/>
          <w:sz w:val="24"/>
          <w:szCs w:val="24"/>
        </w:rPr>
        <w:t>ог</w:t>
      </w:r>
      <w:r w:rsidRPr="00F550F7">
        <w:rPr>
          <w:rFonts w:ascii="Times New Roman" w:hAnsi="Times New Roman" w:cs="Times New Roman"/>
          <w:sz w:val="24"/>
          <w:szCs w:val="24"/>
        </w:rPr>
        <w:t xml:space="preserve"> савет</w:t>
      </w:r>
      <w:r>
        <w:rPr>
          <w:rFonts w:ascii="Times New Roman" w:hAnsi="Times New Roman" w:cs="Times New Roman"/>
          <w:sz w:val="24"/>
          <w:szCs w:val="24"/>
        </w:rPr>
        <w:t>а</w:t>
      </w:r>
      <w:r w:rsidRPr="00F550F7">
        <w:rPr>
          <w:rFonts w:ascii="Times New Roman" w:hAnsi="Times New Roman" w:cs="Times New Roman"/>
          <w:sz w:val="24"/>
          <w:szCs w:val="24"/>
        </w:rPr>
        <w:t xml:space="preserve"> за научни и технолошки развој, као и</w:t>
      </w:r>
      <w:r>
        <w:rPr>
          <w:rFonts w:ascii="Times New Roman" w:hAnsi="Times New Roman" w:cs="Times New Roman"/>
          <w:sz w:val="24"/>
          <w:szCs w:val="24"/>
        </w:rPr>
        <w:t xml:space="preserve"> показатељи из извештаја</w:t>
      </w:r>
      <w:r w:rsidRPr="00F550F7">
        <w:rPr>
          <w:rFonts w:ascii="Times New Roman" w:hAnsi="Times New Roman" w:cs="Times New Roman"/>
          <w:sz w:val="24"/>
          <w:szCs w:val="24"/>
        </w:rPr>
        <w:t xml:space="preserve"> „Global Startup Ecosystem Report”, које спроводи </w:t>
      </w:r>
      <w:r>
        <w:rPr>
          <w:rFonts w:ascii="Times New Roman" w:hAnsi="Times New Roman" w:cs="Times New Roman"/>
          <w:sz w:val="24"/>
          <w:szCs w:val="24"/>
        </w:rPr>
        <w:t>"Startup Genome"</w:t>
      </w:r>
      <w:r w:rsidRPr="00F550F7">
        <w:rPr>
          <w:rFonts w:ascii="Times New Roman" w:hAnsi="Times New Roman" w:cs="Times New Roman"/>
          <w:sz w:val="24"/>
          <w:szCs w:val="24"/>
        </w:rPr>
        <w:t>.</w:t>
      </w:r>
    </w:p>
    <w:p w14:paraId="7527F6D9" w14:textId="77777777" w:rsidR="00D31210" w:rsidRDefault="00D31210" w:rsidP="00D31210">
      <w:pPr>
        <w:ind w:firstLine="720"/>
        <w:jc w:val="both"/>
        <w:rPr>
          <w:rFonts w:ascii="Times New Roman" w:hAnsi="Times New Roman" w:cs="Times New Roman"/>
          <w:sz w:val="24"/>
          <w:szCs w:val="24"/>
          <w:lang w:val="sr-Cyrl-RS"/>
        </w:rPr>
      </w:pPr>
      <w:r w:rsidRPr="00F550F7">
        <w:rPr>
          <w:rFonts w:ascii="Times New Roman" w:hAnsi="Times New Roman" w:cs="Times New Roman"/>
          <w:sz w:val="24"/>
          <w:szCs w:val="24"/>
        </w:rPr>
        <w:t>Примена новог Закона о иновационој делатности допринеће преласку Републике Србије из економије у развоју у развијену економију, а као извор провере може се користити Извештај Уједињени</w:t>
      </w:r>
      <w:r>
        <w:rPr>
          <w:rFonts w:ascii="Times New Roman" w:hAnsi="Times New Roman" w:cs="Times New Roman"/>
          <w:sz w:val="24"/>
          <w:szCs w:val="24"/>
        </w:rPr>
        <w:t>х нација о класификацији држава</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w:t>
      </w:r>
      <w:r>
        <w:rPr>
          <w:rFonts w:ascii="Times New Roman" w:hAnsi="Times New Roman" w:cs="Times New Roman"/>
          <w:sz w:val="24"/>
          <w:szCs w:val="24"/>
          <w:lang w:val="sr-Cyrl-RS"/>
        </w:rPr>
        <w:t xml:space="preserve"> </w:t>
      </w:r>
    </w:p>
    <w:p w14:paraId="1935D540" w14:textId="77777777" w:rsidR="00D31210" w:rsidRPr="008A3382" w:rsidRDefault="00D31210" w:rsidP="00D31210">
      <w:pPr>
        <w:ind w:firstLine="720"/>
        <w:jc w:val="both"/>
        <w:rPr>
          <w:rFonts w:ascii="Times New Roman" w:hAnsi="Times New Roman" w:cs="Times New Roman"/>
          <w:sz w:val="24"/>
          <w:szCs w:val="24"/>
          <w:lang w:val="sr-Latn-RS"/>
        </w:rPr>
      </w:pPr>
      <w:r>
        <w:rPr>
          <w:rFonts w:ascii="Times New Roman" w:hAnsi="Times New Roman" w:cs="Times New Roman"/>
          <w:sz w:val="24"/>
          <w:szCs w:val="24"/>
          <w:lang w:val="sr-Cyrl-RS"/>
        </w:rPr>
        <w:t xml:space="preserve">Кључни показатељ у остваривању општег циља јесте позиција Републике Србије према Глобалном индексу иновативности. У  2020. години Србија је рангирана на </w:t>
      </w:r>
      <w:r w:rsidRPr="00CF6A34">
        <w:rPr>
          <w:rFonts w:ascii="Times New Roman" w:hAnsi="Times New Roman" w:cs="Times New Roman"/>
          <w:sz w:val="24"/>
          <w:szCs w:val="24"/>
          <w:lang w:val="sr-Cyrl-RS"/>
        </w:rPr>
        <w:t>54. месту од 132 државе.</w:t>
      </w:r>
      <w:r w:rsidRPr="008A3382">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Циљ је да у наредних пет година Србија напредује најмање десет места на листи. </w:t>
      </w:r>
    </w:p>
    <w:p w14:paraId="2162FBC2" w14:textId="77777777" w:rsidR="004A2E90" w:rsidRPr="00F550F7" w:rsidRDefault="004A2E90">
      <w:pPr>
        <w:ind w:left="720"/>
        <w:jc w:val="both"/>
        <w:rPr>
          <w:rFonts w:ascii="Times New Roman" w:hAnsi="Times New Roman" w:cs="Times New Roman"/>
          <w:sz w:val="24"/>
          <w:szCs w:val="24"/>
        </w:rPr>
      </w:pPr>
    </w:p>
    <w:p w14:paraId="6D610309" w14:textId="77777777" w:rsidR="008C03BE" w:rsidRPr="003975BE" w:rsidRDefault="004A2E90">
      <w:pPr>
        <w:numPr>
          <w:ilvl w:val="0"/>
          <w:numId w:val="8"/>
        </w:numPr>
        <w:jc w:val="both"/>
        <w:rPr>
          <w:rFonts w:ascii="Times New Roman" w:hAnsi="Times New Roman" w:cs="Times New Roman"/>
          <w:sz w:val="24"/>
          <w:szCs w:val="24"/>
        </w:rPr>
      </w:pPr>
      <w:r w:rsidRPr="003975BE">
        <w:rPr>
          <w:rFonts w:ascii="Times New Roman" w:hAnsi="Times New Roman" w:cs="Times New Roman"/>
          <w:b/>
          <w:sz w:val="24"/>
          <w:szCs w:val="24"/>
        </w:rPr>
        <w:t>Да</w:t>
      </w:r>
      <w:r w:rsidR="00BB3297" w:rsidRPr="003975BE">
        <w:rPr>
          <w:rFonts w:ascii="Times New Roman" w:hAnsi="Times New Roman" w:cs="Times New Roman"/>
          <w:b/>
          <w:sz w:val="24"/>
          <w:szCs w:val="24"/>
        </w:rPr>
        <w:t xml:space="preserve"> ли</w:t>
      </w:r>
      <w:r w:rsidRPr="003975BE">
        <w:rPr>
          <w:rFonts w:ascii="Times New Roman" w:hAnsi="Times New Roman" w:cs="Times New Roman"/>
          <w:b/>
          <w:sz w:val="24"/>
          <w:szCs w:val="24"/>
        </w:rPr>
        <w:t xml:space="preserve">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DBE6E00" w14:textId="77777777" w:rsidR="008C03BE" w:rsidRPr="00F550F7" w:rsidRDefault="008C03BE">
      <w:pPr>
        <w:ind w:left="720"/>
        <w:jc w:val="both"/>
        <w:rPr>
          <w:rFonts w:ascii="Times New Roman" w:hAnsi="Times New Roman" w:cs="Times New Roman"/>
          <w:sz w:val="24"/>
          <w:szCs w:val="24"/>
        </w:rPr>
      </w:pPr>
    </w:p>
    <w:p w14:paraId="4D8EC80C" w14:textId="7DC7C476" w:rsidR="00F1435F" w:rsidRDefault="003A01A6" w:rsidP="0069008C">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Према Плану рада Владе Републике Србије за 2021. годину предвиђено је доношење новог закона о иновационој делатности којим се омогућава укључивање иновационог система Републике Србије у Европски истраживачки простор и Иновациону унију, иновациони систем се усмерава према истраживањима која за резултат имају иновативне производе и процесе који подстичу привредни и друштвени развој, планира се и отклањање препрека за приступ финансијским средствима, омогућава се програмско финансирање у циклусима од једне и три године и даје се подстицај трансферу технологија у привреду. </w:t>
      </w:r>
    </w:p>
    <w:p w14:paraId="73C8D967" w14:textId="77777777" w:rsidR="00CF3587" w:rsidRPr="0069008C" w:rsidRDefault="00CF3587" w:rsidP="0069008C">
      <w:pPr>
        <w:ind w:firstLine="720"/>
        <w:jc w:val="both"/>
        <w:rPr>
          <w:rFonts w:ascii="Times New Roman" w:hAnsi="Times New Roman" w:cs="Times New Roman"/>
          <w:sz w:val="24"/>
          <w:szCs w:val="24"/>
        </w:rPr>
      </w:pPr>
    </w:p>
    <w:p w14:paraId="799D4A39" w14:textId="77777777" w:rsidR="008C03BE" w:rsidRDefault="004A2E90">
      <w:pPr>
        <w:jc w:val="center"/>
        <w:rPr>
          <w:rFonts w:ascii="Times New Roman" w:hAnsi="Times New Roman" w:cs="Times New Roman"/>
          <w:b/>
          <w:sz w:val="24"/>
          <w:szCs w:val="24"/>
          <w:u w:val="single"/>
        </w:rPr>
      </w:pPr>
      <w:r w:rsidRPr="00F550F7">
        <w:rPr>
          <w:rFonts w:ascii="Times New Roman" w:hAnsi="Times New Roman" w:cs="Times New Roman"/>
          <w:b/>
          <w:sz w:val="24"/>
          <w:szCs w:val="24"/>
          <w:u w:val="single"/>
        </w:rPr>
        <w:t>Кључна питања за иден</w:t>
      </w:r>
      <w:r w:rsidR="000F7BC1" w:rsidRPr="00F550F7">
        <w:rPr>
          <w:rFonts w:ascii="Times New Roman" w:hAnsi="Times New Roman" w:cs="Times New Roman"/>
          <w:b/>
          <w:sz w:val="24"/>
          <w:szCs w:val="24"/>
          <w:u w:val="single"/>
        </w:rPr>
        <w:t>т</w:t>
      </w:r>
      <w:r w:rsidRPr="00F550F7">
        <w:rPr>
          <w:rFonts w:ascii="Times New Roman" w:hAnsi="Times New Roman" w:cs="Times New Roman"/>
          <w:b/>
          <w:sz w:val="24"/>
          <w:szCs w:val="24"/>
          <w:u w:val="single"/>
        </w:rPr>
        <w:t>ификовање опција јавних политика</w:t>
      </w:r>
    </w:p>
    <w:p w14:paraId="2235730E" w14:textId="77777777" w:rsidR="00F450FD" w:rsidRPr="00F550F7" w:rsidRDefault="00F450FD">
      <w:pPr>
        <w:jc w:val="center"/>
        <w:rPr>
          <w:rFonts w:ascii="Times New Roman" w:hAnsi="Times New Roman" w:cs="Times New Roman"/>
          <w:b/>
          <w:sz w:val="24"/>
          <w:szCs w:val="24"/>
          <w:u w:val="single"/>
        </w:rPr>
      </w:pPr>
    </w:p>
    <w:p w14:paraId="778BADC9" w14:textId="236D8B51" w:rsidR="008C03BE" w:rsidRPr="003975BE" w:rsidRDefault="004A2E90">
      <w:pPr>
        <w:numPr>
          <w:ilvl w:val="0"/>
          <w:numId w:val="2"/>
        </w:numPr>
        <w:jc w:val="both"/>
        <w:rPr>
          <w:rFonts w:ascii="Times New Roman" w:hAnsi="Times New Roman" w:cs="Times New Roman"/>
          <w:sz w:val="24"/>
          <w:szCs w:val="24"/>
        </w:rPr>
      </w:pPr>
      <w:r w:rsidRPr="003975BE">
        <w:rPr>
          <w:rFonts w:ascii="Times New Roman" w:hAnsi="Times New Roman" w:cs="Times New Roman"/>
          <w:b/>
          <w:sz w:val="24"/>
          <w:szCs w:val="24"/>
        </w:rPr>
        <w:t>Које</w:t>
      </w:r>
      <w:r w:rsidR="009143F8">
        <w:rPr>
          <w:rFonts w:ascii="Times New Roman" w:hAnsi="Times New Roman" w:cs="Times New Roman"/>
          <w:b/>
          <w:sz w:val="24"/>
          <w:szCs w:val="24"/>
        </w:rPr>
        <w:t xml:space="preserve"> </w:t>
      </w:r>
      <w:r w:rsidR="006F389C" w:rsidRPr="003975BE">
        <w:rPr>
          <w:rFonts w:ascii="Times New Roman" w:hAnsi="Times New Roman" w:cs="Times New Roman"/>
          <w:b/>
          <w:sz w:val="24"/>
          <w:szCs w:val="24"/>
        </w:rPr>
        <w:t>ре</w:t>
      </w:r>
      <w:r w:rsidRPr="003975BE">
        <w:rPr>
          <w:rFonts w:ascii="Times New Roman" w:hAnsi="Times New Roman" w:cs="Times New Roman"/>
          <w:b/>
          <w:sz w:val="24"/>
          <w:szCs w:val="24"/>
        </w:rPr>
        <w:t>левантне опције (алтернативне мере, односно групе мера) за остварење циља су узете у разматрање? Да ли је разматрана “</w:t>
      </w:r>
      <w:r w:rsidR="00CF3587">
        <w:rPr>
          <w:rFonts w:ascii="Times New Roman" w:hAnsi="Times New Roman" w:cs="Times New Roman"/>
          <w:b/>
          <w:i/>
          <w:sz w:val="24"/>
          <w:szCs w:val="24"/>
        </w:rPr>
        <w:t>status</w:t>
      </w:r>
      <w:r w:rsidRPr="003975BE">
        <w:rPr>
          <w:rFonts w:ascii="Times New Roman" w:hAnsi="Times New Roman" w:cs="Times New Roman"/>
          <w:b/>
          <w:i/>
          <w:sz w:val="24"/>
          <w:szCs w:val="24"/>
        </w:rPr>
        <w:t xml:space="preserve"> q</w:t>
      </w:r>
      <w:r w:rsidR="00CF3587">
        <w:rPr>
          <w:rFonts w:ascii="Times New Roman" w:hAnsi="Times New Roman" w:cs="Times New Roman"/>
          <w:b/>
          <w:i/>
          <w:sz w:val="24"/>
          <w:szCs w:val="24"/>
        </w:rPr>
        <w:t>uo</w:t>
      </w:r>
      <w:r w:rsidRPr="003975BE">
        <w:rPr>
          <w:rFonts w:ascii="Times New Roman" w:hAnsi="Times New Roman" w:cs="Times New Roman"/>
          <w:b/>
          <w:sz w:val="24"/>
          <w:szCs w:val="24"/>
        </w:rPr>
        <w:t>” опција?</w:t>
      </w:r>
    </w:p>
    <w:p w14:paraId="4496DFB8" w14:textId="77777777" w:rsidR="008C03BE" w:rsidRPr="00F550F7" w:rsidRDefault="008C03BE">
      <w:pPr>
        <w:ind w:left="720"/>
        <w:jc w:val="both"/>
        <w:rPr>
          <w:rFonts w:ascii="Times New Roman" w:hAnsi="Times New Roman" w:cs="Times New Roman"/>
          <w:sz w:val="24"/>
          <w:szCs w:val="24"/>
        </w:rPr>
      </w:pPr>
    </w:p>
    <w:p w14:paraId="1FB8B4C3" w14:textId="1B50F02B" w:rsidR="002B79B7" w:rsidRDefault="006F389C" w:rsidP="008B15A7">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При разматрању других могућности за испуњавање описаних циљева у вези са иновационом делатношћу утврђено је да ове проблеме није могуће решити без прописивања новог законског оквира, будући да предметне измене није било могуће увести изменом подзаконских аката. Доношење новог закона је најбоље решење јер се на систематичан и целовит начин, уз поштовање начела правне сигурности и владавине права, уређује материја коју само законодавац може уредити, а то су пре свега дефинисање нових субјеката националног иновационог система и уређивање њихових међусобних односа у оквиру тог система и </w:t>
      </w:r>
      <w:r w:rsidR="003975BE">
        <w:rPr>
          <w:rFonts w:ascii="Times New Roman" w:hAnsi="Times New Roman" w:cs="Times New Roman"/>
          <w:sz w:val="24"/>
          <w:szCs w:val="24"/>
        </w:rPr>
        <w:t>унапређење</w:t>
      </w:r>
      <w:r w:rsidRPr="00F550F7">
        <w:rPr>
          <w:rFonts w:ascii="Times New Roman" w:hAnsi="Times New Roman" w:cs="Times New Roman"/>
          <w:sz w:val="24"/>
          <w:szCs w:val="24"/>
        </w:rPr>
        <w:t xml:space="preserve"> делатности Фонда за иновациону делатност.</w:t>
      </w:r>
      <w:r w:rsidR="003975BE">
        <w:rPr>
          <w:rFonts w:ascii="Times New Roman" w:hAnsi="Times New Roman" w:cs="Times New Roman"/>
          <w:sz w:val="24"/>
          <w:szCs w:val="24"/>
        </w:rPr>
        <w:t xml:space="preserve"> Опција </w:t>
      </w:r>
      <w:r w:rsidR="00342F9E">
        <w:rPr>
          <w:rFonts w:ascii="Times New Roman" w:hAnsi="Times New Roman" w:cs="Times New Roman"/>
          <w:i/>
          <w:sz w:val="24"/>
          <w:szCs w:val="24"/>
        </w:rPr>
        <w:t>статус</w:t>
      </w:r>
      <w:r w:rsidR="003975BE" w:rsidRPr="003975BE">
        <w:rPr>
          <w:rFonts w:ascii="Times New Roman" w:hAnsi="Times New Roman" w:cs="Times New Roman"/>
          <w:i/>
          <w:sz w:val="24"/>
          <w:szCs w:val="24"/>
        </w:rPr>
        <w:t xml:space="preserve"> q</w:t>
      </w:r>
      <w:r w:rsidR="00342F9E">
        <w:rPr>
          <w:rFonts w:ascii="Times New Roman" w:hAnsi="Times New Roman" w:cs="Times New Roman"/>
          <w:i/>
          <w:sz w:val="24"/>
          <w:szCs w:val="24"/>
        </w:rPr>
        <w:t>уо</w:t>
      </w:r>
      <w:r w:rsidR="003975BE">
        <w:rPr>
          <w:rFonts w:ascii="Times New Roman" w:hAnsi="Times New Roman" w:cs="Times New Roman"/>
          <w:sz w:val="24"/>
          <w:szCs w:val="24"/>
        </w:rPr>
        <w:t>није разматрана.</w:t>
      </w:r>
    </w:p>
    <w:p w14:paraId="474FD68A" w14:textId="77777777" w:rsidR="002B79B7" w:rsidRPr="00F550F7" w:rsidRDefault="002B79B7">
      <w:pPr>
        <w:jc w:val="both"/>
        <w:rPr>
          <w:rFonts w:ascii="Times New Roman" w:hAnsi="Times New Roman" w:cs="Times New Roman"/>
          <w:sz w:val="24"/>
          <w:szCs w:val="24"/>
        </w:rPr>
      </w:pPr>
    </w:p>
    <w:p w14:paraId="2B8D2A8F" w14:textId="77777777" w:rsidR="008C03BE" w:rsidRPr="00F550F7" w:rsidRDefault="004A2E90">
      <w:pPr>
        <w:ind w:left="720"/>
        <w:jc w:val="center"/>
        <w:rPr>
          <w:rFonts w:ascii="Times New Roman" w:hAnsi="Times New Roman" w:cs="Times New Roman"/>
          <w:b/>
          <w:sz w:val="24"/>
          <w:szCs w:val="24"/>
          <w:u w:val="single"/>
        </w:rPr>
      </w:pPr>
      <w:r w:rsidRPr="00F550F7">
        <w:rPr>
          <w:rFonts w:ascii="Times New Roman" w:hAnsi="Times New Roman" w:cs="Times New Roman"/>
          <w:b/>
          <w:sz w:val="24"/>
          <w:szCs w:val="24"/>
          <w:u w:val="single"/>
        </w:rPr>
        <w:t>Кључна питања за анализу финансијских ефеката</w:t>
      </w:r>
    </w:p>
    <w:p w14:paraId="61A68A50" w14:textId="77777777" w:rsidR="008C03BE" w:rsidRPr="00F550F7" w:rsidRDefault="008C03BE">
      <w:pPr>
        <w:ind w:left="720"/>
        <w:jc w:val="both"/>
        <w:rPr>
          <w:rFonts w:ascii="Times New Roman" w:hAnsi="Times New Roman" w:cs="Times New Roman"/>
          <w:sz w:val="24"/>
          <w:szCs w:val="24"/>
        </w:rPr>
      </w:pPr>
    </w:p>
    <w:p w14:paraId="4D14FB26" w14:textId="77777777" w:rsidR="008C03BE" w:rsidRPr="003975BE" w:rsidRDefault="004A2E90">
      <w:pPr>
        <w:numPr>
          <w:ilvl w:val="0"/>
          <w:numId w:val="6"/>
        </w:numPr>
        <w:jc w:val="both"/>
        <w:rPr>
          <w:rFonts w:ascii="Times New Roman" w:hAnsi="Times New Roman" w:cs="Times New Roman"/>
          <w:sz w:val="24"/>
          <w:szCs w:val="24"/>
        </w:rPr>
      </w:pPr>
      <w:r w:rsidRPr="003975BE">
        <w:rPr>
          <w:rFonts w:ascii="Times New Roman" w:hAnsi="Times New Roman" w:cs="Times New Roman"/>
          <w:b/>
          <w:sz w:val="24"/>
          <w:szCs w:val="24"/>
        </w:rPr>
        <w:t>Какве</w:t>
      </w:r>
      <w:r w:rsidR="006F389C" w:rsidRPr="003975BE">
        <w:rPr>
          <w:rFonts w:ascii="Times New Roman" w:hAnsi="Times New Roman" w:cs="Times New Roman"/>
          <w:b/>
          <w:sz w:val="24"/>
          <w:szCs w:val="24"/>
        </w:rPr>
        <w:t xml:space="preserve"> ћ</w:t>
      </w:r>
      <w:r w:rsidRPr="003975BE">
        <w:rPr>
          <w:rFonts w:ascii="Times New Roman" w:hAnsi="Times New Roman" w:cs="Times New Roman"/>
          <w:b/>
          <w:sz w:val="24"/>
          <w:szCs w:val="24"/>
        </w:rPr>
        <w:t>е ефекте изабрана опција имати на јавне приходе и расходе у средњем и дугом року?</w:t>
      </w:r>
    </w:p>
    <w:p w14:paraId="38F3C3B6" w14:textId="77777777" w:rsidR="006F389C" w:rsidRPr="00F550F7" w:rsidRDefault="006F389C" w:rsidP="006F389C">
      <w:pPr>
        <w:ind w:left="360"/>
        <w:jc w:val="both"/>
        <w:rPr>
          <w:rFonts w:ascii="Times New Roman" w:hAnsi="Times New Roman" w:cs="Times New Roman"/>
          <w:sz w:val="24"/>
          <w:szCs w:val="24"/>
        </w:rPr>
      </w:pPr>
    </w:p>
    <w:p w14:paraId="7AA7EDF6" w14:textId="364E00AE" w:rsidR="0072171E" w:rsidRPr="00F550F7" w:rsidRDefault="00BF219D" w:rsidP="003975BE">
      <w:pPr>
        <w:ind w:firstLine="720"/>
        <w:jc w:val="both"/>
        <w:rPr>
          <w:rFonts w:ascii="Times New Roman" w:hAnsi="Times New Roman" w:cs="Times New Roman"/>
          <w:sz w:val="24"/>
          <w:szCs w:val="24"/>
        </w:rPr>
      </w:pPr>
      <w:r>
        <w:rPr>
          <w:rFonts w:ascii="Times New Roman" w:hAnsi="Times New Roman" w:cs="Times New Roman"/>
          <w:sz w:val="24"/>
          <w:szCs w:val="24"/>
          <w:lang w:val="sr-Cyrl-RS"/>
        </w:rPr>
        <w:t>Предлог</w:t>
      </w:r>
      <w:r w:rsidR="006F389C" w:rsidRPr="00F550F7">
        <w:rPr>
          <w:rFonts w:ascii="Times New Roman" w:hAnsi="Times New Roman" w:cs="Times New Roman"/>
          <w:sz w:val="24"/>
          <w:szCs w:val="24"/>
        </w:rPr>
        <w:t xml:space="preserve"> новог Закона о иновационој делатности је системски у смислу дефинисања праваца развоја иновационе делатности у Републици Србији. Овим </w:t>
      </w:r>
      <w:r w:rsidR="009C1CB5">
        <w:rPr>
          <w:rFonts w:ascii="Times New Roman" w:hAnsi="Times New Roman" w:cs="Times New Roman"/>
          <w:sz w:val="24"/>
          <w:szCs w:val="24"/>
          <w:lang w:val="sr-Cyrl-RS"/>
        </w:rPr>
        <w:t>предлог</w:t>
      </w:r>
      <w:r w:rsidR="006F389C" w:rsidRPr="00F550F7">
        <w:rPr>
          <w:rFonts w:ascii="Times New Roman" w:hAnsi="Times New Roman" w:cs="Times New Roman"/>
          <w:sz w:val="24"/>
          <w:szCs w:val="24"/>
        </w:rPr>
        <w:t>ом Закона не</w:t>
      </w:r>
      <w:r w:rsidR="00931F88" w:rsidRPr="00F550F7">
        <w:rPr>
          <w:rFonts w:ascii="Times New Roman" w:hAnsi="Times New Roman" w:cs="Times New Roman"/>
          <w:sz w:val="24"/>
          <w:szCs w:val="24"/>
        </w:rPr>
        <w:t xml:space="preserve"> предвиђају се економске мере које би се јасно могле одразити кроз јавне приходе</w:t>
      </w:r>
      <w:r w:rsidR="006F389C" w:rsidRPr="00F550F7">
        <w:rPr>
          <w:rFonts w:ascii="Times New Roman" w:hAnsi="Times New Roman" w:cs="Times New Roman"/>
          <w:sz w:val="24"/>
          <w:szCs w:val="24"/>
        </w:rPr>
        <w:t xml:space="preserve"> и расход</w:t>
      </w:r>
      <w:r w:rsidR="00931F88" w:rsidRPr="00F550F7">
        <w:rPr>
          <w:rFonts w:ascii="Times New Roman" w:hAnsi="Times New Roman" w:cs="Times New Roman"/>
          <w:sz w:val="24"/>
          <w:szCs w:val="24"/>
        </w:rPr>
        <w:t xml:space="preserve">е, већ овај Закон представља основ за стварање повољног окружења за развој иновационе делатности што ће као крајњи резултат имати економски просперитет Републике Србије. </w:t>
      </w:r>
    </w:p>
    <w:p w14:paraId="1760F633" w14:textId="77777777" w:rsidR="000B7248" w:rsidRPr="00F550F7" w:rsidRDefault="0072171E" w:rsidP="006A6617">
      <w:pPr>
        <w:ind w:firstLine="720"/>
        <w:jc w:val="both"/>
        <w:rPr>
          <w:rFonts w:ascii="Times New Roman" w:hAnsi="Times New Roman" w:cs="Times New Roman"/>
          <w:sz w:val="24"/>
          <w:szCs w:val="24"/>
        </w:rPr>
      </w:pPr>
      <w:r w:rsidRPr="00F550F7">
        <w:rPr>
          <w:rFonts w:ascii="Times New Roman" w:hAnsi="Times New Roman" w:cs="Times New Roman"/>
          <w:sz w:val="24"/>
          <w:szCs w:val="24"/>
        </w:rPr>
        <w:t>Иновациони екосистем</w:t>
      </w:r>
      <w:r w:rsidRPr="00F550F7">
        <w:rPr>
          <w:rStyle w:val="FootnoteReference"/>
          <w:rFonts w:ascii="Times New Roman" w:hAnsi="Times New Roman" w:cs="Times New Roman"/>
          <w:sz w:val="24"/>
          <w:szCs w:val="24"/>
        </w:rPr>
        <w:footnoteReference w:id="5"/>
      </w:r>
      <w:r w:rsidRPr="00F550F7">
        <w:rPr>
          <w:rFonts w:ascii="Times New Roman" w:hAnsi="Times New Roman" w:cs="Times New Roman"/>
          <w:sz w:val="24"/>
          <w:szCs w:val="24"/>
        </w:rPr>
        <w:t xml:space="preserve"> се развија даљим улагањем у иновациону инфраструктуру и технолошко предузетништво у универзитетским центрима и регионима на територији Србије. Важећи Закон о иновационој делатности („Службени гласник РС”, бр. 110/05, 18/10 и 55/13) </w:t>
      </w:r>
      <w:r w:rsidR="00A51BF4" w:rsidRPr="00F550F7">
        <w:rPr>
          <w:rFonts w:ascii="Times New Roman" w:hAnsi="Times New Roman" w:cs="Times New Roman"/>
          <w:sz w:val="24"/>
          <w:szCs w:val="24"/>
        </w:rPr>
        <w:t>п</w:t>
      </w:r>
      <w:r w:rsidRPr="00F550F7">
        <w:rPr>
          <w:rFonts w:ascii="Times New Roman" w:hAnsi="Times New Roman" w:cs="Times New Roman"/>
          <w:sz w:val="24"/>
          <w:szCs w:val="24"/>
        </w:rPr>
        <w:t>редставља институционални оквир на основу кога су успостављање организација за пружање инфраструктурне и стручне подршке иновационој делатности, односно оснивање и рад научно-технолошких паркова.</w:t>
      </w:r>
    </w:p>
    <w:p w14:paraId="7DD1B181" w14:textId="77777777" w:rsidR="000B7248" w:rsidRPr="00F550F7" w:rsidRDefault="0072171E" w:rsidP="007D11AA">
      <w:pPr>
        <w:ind w:firstLine="720"/>
        <w:jc w:val="both"/>
        <w:rPr>
          <w:rFonts w:ascii="Times New Roman" w:hAnsi="Times New Roman" w:cs="Times New Roman"/>
          <w:sz w:val="24"/>
          <w:szCs w:val="24"/>
        </w:rPr>
      </w:pPr>
      <w:r w:rsidRPr="00F550F7">
        <w:rPr>
          <w:rFonts w:ascii="Times New Roman" w:hAnsi="Times New Roman" w:cs="Times New Roman"/>
          <w:sz w:val="24"/>
          <w:szCs w:val="24"/>
        </w:rPr>
        <w:t>Научно-технолошки паркови који послују у Републици Србији а чији је један о суоснивача Република Србија су: Научно-технолошки парк Београд д.о.о, Београд у коме је удео Републике Србије у основном капиталу  60%; Научнотехнолошки парк Ниш д.о.о, Ниш у коме је удео Републике Србије у основном капиталу  40%; Д.о.о. Научно-технолошки парк Чачак у коме је удео Републике Србије у основном капиталу  40%; У Републици Србији послује и Научно-технолошки Нови Сад д.о.о, Нови Сад чији је оснивач Аутономна покрајина Војводина.</w:t>
      </w:r>
    </w:p>
    <w:p w14:paraId="70939DCB" w14:textId="47F65607" w:rsidR="0072171E" w:rsidRPr="00F550F7" w:rsidRDefault="0072171E" w:rsidP="0072171E">
      <w:pPr>
        <w:ind w:firstLine="720"/>
        <w:jc w:val="both"/>
        <w:rPr>
          <w:rFonts w:ascii="Times New Roman" w:hAnsi="Times New Roman" w:cs="Times New Roman"/>
          <w:sz w:val="24"/>
          <w:szCs w:val="24"/>
        </w:rPr>
      </w:pPr>
      <w:r w:rsidRPr="00F550F7">
        <w:rPr>
          <w:rFonts w:ascii="Times New Roman" w:hAnsi="Times New Roman" w:cs="Times New Roman"/>
          <w:b/>
          <w:sz w:val="24"/>
          <w:szCs w:val="24"/>
        </w:rPr>
        <w:t>Научно-технолошки парк Београд</w:t>
      </w:r>
      <w:r w:rsidRPr="00F550F7">
        <w:rPr>
          <w:rFonts w:ascii="Times New Roman" w:hAnsi="Times New Roman" w:cs="Times New Roman"/>
          <w:sz w:val="24"/>
          <w:szCs w:val="24"/>
        </w:rPr>
        <w:t xml:space="preserve"> д.о.о. основан је 2015. године одлуком Владе Републике Србије, као организација за пружање инфраструктурне подршке иновационој делатности, која у оквиру простора повереног на управљање пружа инфраструктурне и стручне услуге привредним друштвима, научноистраживачким и иновационим организацијама ради њиховог повезивања и што брже примене нових технологија, стварања и пласмана нових производа и услуга на тржишту, у циљу убрзаног технолошког развоја земље, а на основу примера добре међународне праксе у овој области. Објекат Научно-технолошког парка Београд изградила је Република Србија у оквиру пројекта „Истраживање и развој у јавном сектору“. Научно-технолошки парк Београд” д.о.о, Београд чији су оснивачи Република Србија, Град Београд и Универзитет у </w:t>
      </w:r>
      <w:r w:rsidR="007773DD" w:rsidRPr="00F550F7">
        <w:rPr>
          <w:rFonts w:ascii="Times New Roman" w:hAnsi="Times New Roman" w:cs="Times New Roman"/>
          <w:sz w:val="24"/>
          <w:szCs w:val="24"/>
        </w:rPr>
        <w:t>Београду управља објектом парка</w:t>
      </w:r>
      <w:r w:rsidR="0079172B">
        <w:rPr>
          <w:rFonts w:ascii="Times New Roman" w:hAnsi="Times New Roman" w:cs="Times New Roman"/>
          <w:sz w:val="24"/>
          <w:szCs w:val="24"/>
        </w:rPr>
        <w:t xml:space="preserve"> укупне површине 16.446,51 m</w:t>
      </w:r>
      <w:r w:rsidRPr="00F550F7">
        <w:rPr>
          <w:rFonts w:ascii="Times New Roman" w:hAnsi="Times New Roman" w:cs="Times New Roman"/>
          <w:sz w:val="24"/>
          <w:szCs w:val="24"/>
          <w:vertAlign w:val="superscript"/>
        </w:rPr>
        <w:t>2</w:t>
      </w:r>
      <w:r w:rsidRPr="00F550F7">
        <w:rPr>
          <w:rFonts w:ascii="Times New Roman" w:hAnsi="Times New Roman" w:cs="Times New Roman"/>
          <w:sz w:val="24"/>
          <w:szCs w:val="24"/>
        </w:rPr>
        <w:t>. Укупна вредност инвестиције изградње објекта НТ парка је 14.407.656 евра. Закључком Владе Републике Србије 05 број 022-6479/2019-2 од 18. јула 2019. године, Влада је утврдила даље и будуће правце у развоју НТП Београд и усвојила програм за р</w:t>
      </w:r>
      <w:r w:rsidR="0079172B">
        <w:rPr>
          <w:rFonts w:ascii="Times New Roman" w:hAnsi="Times New Roman" w:cs="Times New Roman"/>
          <w:sz w:val="24"/>
          <w:szCs w:val="24"/>
        </w:rPr>
        <w:t xml:space="preserve">азвој научно-технолошког парка </w:t>
      </w:r>
      <w:r w:rsidRPr="00F550F7">
        <w:rPr>
          <w:rFonts w:ascii="Times New Roman" w:hAnsi="Times New Roman" w:cs="Times New Roman"/>
          <w:sz w:val="24"/>
          <w:szCs w:val="24"/>
        </w:rPr>
        <w:t>за период 2020-2025. године.</w:t>
      </w:r>
    </w:p>
    <w:p w14:paraId="6A195F5E" w14:textId="77777777" w:rsidR="000B7248" w:rsidRPr="00F550F7" w:rsidRDefault="0072171E" w:rsidP="007D11AA">
      <w:pPr>
        <w:ind w:firstLine="720"/>
        <w:jc w:val="both"/>
        <w:rPr>
          <w:rFonts w:ascii="Times New Roman" w:hAnsi="Times New Roman" w:cs="Times New Roman"/>
          <w:sz w:val="24"/>
          <w:szCs w:val="24"/>
        </w:rPr>
      </w:pPr>
      <w:r w:rsidRPr="00F550F7">
        <w:rPr>
          <w:rFonts w:ascii="Times New Roman" w:hAnsi="Times New Roman" w:cs="Times New Roman"/>
          <w:b/>
          <w:sz w:val="24"/>
          <w:szCs w:val="24"/>
        </w:rPr>
        <w:t>У оквиру Пројекта проширења Научно-технолошког парка у Чачку</w:t>
      </w:r>
      <w:r w:rsidRPr="00F550F7">
        <w:rPr>
          <w:rFonts w:ascii="Times New Roman" w:hAnsi="Times New Roman" w:cs="Times New Roman"/>
          <w:sz w:val="24"/>
          <w:szCs w:val="24"/>
        </w:rPr>
        <w:t>, Влада Републике Србије је у сарадњи са Републичком дирекцијом за имовину Републике Србије у својину Републике Србије, а за потребе рада Научно-технолошког парка Чачак, прибавила објекат површине5.240,00 м</w:t>
      </w:r>
      <w:r w:rsidRPr="00F550F7">
        <w:rPr>
          <w:rFonts w:ascii="Times New Roman" w:hAnsi="Times New Roman" w:cs="Times New Roman"/>
          <w:sz w:val="24"/>
          <w:szCs w:val="24"/>
          <w:vertAlign w:val="superscript"/>
        </w:rPr>
        <w:t>2</w:t>
      </w:r>
      <w:r w:rsidRPr="00F550F7">
        <w:rPr>
          <w:rFonts w:ascii="Times New Roman" w:hAnsi="Times New Roman" w:cs="Times New Roman"/>
          <w:sz w:val="24"/>
          <w:szCs w:val="24"/>
        </w:rPr>
        <w:t xml:space="preserve">. Вредност инвестиције која се односи на објекат је 270.500.000,00 динара. Поред адаптације објекта спроведен је и поступак набавке опреме за коју је Влада, преко Министарства просвете, науке и технолошког развоја издвојила 60.000.000,00 динара. Друштву са ограниченом одговорношћу Научно-технолошки парк Чачак приступила је Република Србија 04.06.2020. године са оснивачким уделом од 40% у основном капиталу. Влада Републике Србије дана 17.12.2020. донела је Закључак бр. 022-10486/2020 којим је усвојен Програм управљања и развоја Друштва са ограниченом одговорношћу Научно-технолошки парк Чачак за период 2020-2025. године. </w:t>
      </w:r>
    </w:p>
    <w:p w14:paraId="6A6C8545" w14:textId="1C94F1E2" w:rsidR="000B7248" w:rsidRPr="00F550F7" w:rsidRDefault="0072171E" w:rsidP="007D11AA">
      <w:pPr>
        <w:ind w:firstLine="720"/>
        <w:jc w:val="both"/>
        <w:rPr>
          <w:rFonts w:ascii="Times New Roman" w:hAnsi="Times New Roman" w:cs="Times New Roman"/>
          <w:sz w:val="24"/>
          <w:szCs w:val="24"/>
        </w:rPr>
      </w:pPr>
      <w:r w:rsidRPr="00F550F7">
        <w:rPr>
          <w:rFonts w:ascii="Times New Roman" w:hAnsi="Times New Roman" w:cs="Times New Roman"/>
          <w:b/>
          <w:sz w:val="24"/>
          <w:szCs w:val="24"/>
        </w:rPr>
        <w:t>Основни циљ успостављања и развоја НТП Ниш</w:t>
      </w:r>
      <w:r w:rsidRPr="00F550F7">
        <w:rPr>
          <w:rFonts w:ascii="Times New Roman" w:hAnsi="Times New Roman" w:cs="Times New Roman"/>
          <w:sz w:val="24"/>
          <w:szCs w:val="24"/>
        </w:rPr>
        <w:t xml:space="preserve"> је убрзани технолошки развој  Региона Јужне и Источне Србије, па самим тим и Републике Србије а све у складу са примерима добре међународне праксе и искуствима НТП Београд као првог научно-технолошког парка у Србији. Улога НТП-а је да привуче домаће и стране иновативне технолошко-развојне компаније, створи услов за развој економије засноване на знањутј., комерцијализацији иновација насталих у процесу истраживања и развоја, поспеши извоз производа и услуга и самим тим ојача конкурентску позицију наше привреде. Комплекс Научно-технолошког парка у Нишу изграђен је средствима из кредита Европске инвестиционе банке, у оквиру финансијског уговора („Истраживање и развој у јавном сектору</w:t>
      </w:r>
      <w:r w:rsidR="00E373A6">
        <w:rPr>
          <w:rFonts w:ascii="Times New Roman" w:hAnsi="Times New Roman" w:cs="Times New Roman"/>
          <w:sz w:val="24"/>
          <w:szCs w:val="24"/>
          <w:lang w:val="sr-Cyrl-RS"/>
        </w:rPr>
        <w:t>“</w:t>
      </w:r>
      <w:r w:rsidRPr="00F550F7">
        <w:rPr>
          <w:rFonts w:ascii="Times New Roman" w:hAnsi="Times New Roman" w:cs="Times New Roman"/>
          <w:sz w:val="24"/>
          <w:szCs w:val="24"/>
        </w:rPr>
        <w:t xml:space="preserve">), закљученим између Републике Србије и Европске инвестиционе банке </w:t>
      </w:r>
      <w:r w:rsidRPr="00F550F7">
        <w:rPr>
          <w:rFonts w:ascii="Times New Roman" w:hAnsi="Times New Roman" w:cs="Times New Roman"/>
          <w:i/>
          <w:sz w:val="24"/>
          <w:szCs w:val="24"/>
        </w:rPr>
        <w:t>(</w:t>
      </w:r>
      <w:r w:rsidRPr="00F550F7">
        <w:rPr>
          <w:rFonts w:ascii="Times New Roman" w:hAnsi="Times New Roman" w:cs="Times New Roman"/>
          <w:sz w:val="24"/>
          <w:szCs w:val="24"/>
        </w:rPr>
        <w:t xml:space="preserve">„Службени гласник РС – Међународни уговори“, број 5/10). Вредност инвестиције, изградње и опремања, Научно технолошког парка доо Ниш, је 12.500.000 евра. Укупна </w:t>
      </w:r>
      <w:r w:rsidR="00C73950">
        <w:rPr>
          <w:rFonts w:ascii="Times New Roman" w:hAnsi="Times New Roman" w:cs="Times New Roman"/>
          <w:sz w:val="24"/>
          <w:szCs w:val="24"/>
        </w:rPr>
        <w:t>површина објекта је око 14.000 m</w:t>
      </w:r>
      <w:r w:rsidRPr="00F550F7">
        <w:rPr>
          <w:rFonts w:ascii="Times New Roman" w:hAnsi="Times New Roman" w:cs="Times New Roman"/>
          <w:sz w:val="24"/>
          <w:szCs w:val="24"/>
          <w:vertAlign w:val="superscript"/>
        </w:rPr>
        <w:t>2</w:t>
      </w:r>
      <w:r w:rsidRPr="00F550F7">
        <w:rPr>
          <w:rFonts w:ascii="Times New Roman" w:hAnsi="Times New Roman" w:cs="Times New Roman"/>
          <w:sz w:val="24"/>
          <w:szCs w:val="24"/>
        </w:rPr>
        <w:t xml:space="preserve">. Поред средстава из кредита ЕИБ-а, Град Ниш пружио је административну подршку и финансирао изградњу недостајуће и унапређење постојеће инфраструктуре сопственим средствима, у вредности преко милион евра. </w:t>
      </w:r>
    </w:p>
    <w:p w14:paraId="60418606" w14:textId="34BC6F34" w:rsidR="000B7248" w:rsidRPr="003975BE" w:rsidRDefault="0072171E" w:rsidP="003975BE">
      <w:pPr>
        <w:ind w:firstLine="720"/>
        <w:jc w:val="both"/>
        <w:rPr>
          <w:rFonts w:ascii="Times New Roman" w:hAnsi="Times New Roman" w:cs="Times New Roman"/>
          <w:sz w:val="24"/>
          <w:szCs w:val="24"/>
        </w:rPr>
      </w:pPr>
      <w:r w:rsidRPr="00F550F7">
        <w:rPr>
          <w:rFonts w:ascii="Times New Roman" w:hAnsi="Times New Roman" w:cs="Times New Roman"/>
          <w:sz w:val="24"/>
          <w:szCs w:val="24"/>
          <w:lang w:val="sr-Cyrl-CS"/>
        </w:rPr>
        <w:t>У оквиру Пројекта „Истраживање и развој у јавном сектору“</w:t>
      </w:r>
      <w:r w:rsidR="00C75E3B">
        <w:rPr>
          <w:rFonts w:ascii="Times New Roman" w:hAnsi="Times New Roman" w:cs="Times New Roman"/>
          <w:sz w:val="24"/>
          <w:szCs w:val="24"/>
          <w:lang w:val="sr-Latn-RS"/>
        </w:rPr>
        <w:t xml:space="preserve"> </w:t>
      </w:r>
      <w:r w:rsidRPr="00F550F7">
        <w:rPr>
          <w:rFonts w:ascii="Times New Roman" w:hAnsi="Times New Roman" w:cs="Times New Roman"/>
          <w:sz w:val="24"/>
          <w:szCs w:val="24"/>
        </w:rPr>
        <w:t xml:space="preserve">Република Србија је изградила објекат </w:t>
      </w:r>
      <w:r w:rsidRPr="00F550F7">
        <w:rPr>
          <w:rFonts w:ascii="Times New Roman" w:hAnsi="Times New Roman" w:cs="Times New Roman"/>
          <w:b/>
          <w:sz w:val="24"/>
          <w:szCs w:val="24"/>
        </w:rPr>
        <w:t>Научно-технолошког парка у Новом Саду</w:t>
      </w:r>
      <w:r w:rsidRPr="00F550F7">
        <w:rPr>
          <w:rFonts w:ascii="Times New Roman" w:hAnsi="Times New Roman" w:cs="Times New Roman"/>
          <w:sz w:val="24"/>
          <w:szCs w:val="24"/>
        </w:rPr>
        <w:t xml:space="preserve">, фаза </w:t>
      </w:r>
      <w:r w:rsidR="00C75E3B">
        <w:rPr>
          <w:rFonts w:ascii="Times New Roman" w:hAnsi="Times New Roman" w:cs="Times New Roman"/>
          <w:sz w:val="24"/>
          <w:szCs w:val="24"/>
        </w:rPr>
        <w:t>II</w:t>
      </w:r>
      <w:r w:rsidRPr="00F550F7">
        <w:rPr>
          <w:rFonts w:ascii="Times New Roman" w:hAnsi="Times New Roman" w:cs="Times New Roman"/>
          <w:sz w:val="24"/>
          <w:szCs w:val="24"/>
        </w:rPr>
        <w:t>/1. Изграђен је објекат у</w:t>
      </w:r>
      <w:r w:rsidR="00C75E3B">
        <w:rPr>
          <w:rFonts w:ascii="Times New Roman" w:hAnsi="Times New Roman" w:cs="Times New Roman"/>
          <w:sz w:val="24"/>
          <w:szCs w:val="24"/>
        </w:rPr>
        <w:t>купне бруто површине од 31.350 m</w:t>
      </w:r>
      <w:r w:rsidRPr="00F550F7">
        <w:rPr>
          <w:rFonts w:ascii="Times New Roman" w:hAnsi="Times New Roman" w:cs="Times New Roman"/>
          <w:sz w:val="24"/>
          <w:szCs w:val="24"/>
          <w:vertAlign w:val="superscript"/>
        </w:rPr>
        <w:t>2</w:t>
      </w:r>
      <w:r w:rsidRPr="00F550F7">
        <w:rPr>
          <w:rFonts w:ascii="Times New Roman" w:hAnsi="Times New Roman" w:cs="Times New Roman"/>
          <w:sz w:val="24"/>
          <w:szCs w:val="24"/>
        </w:rPr>
        <w:t xml:space="preserve">. Укупна вредност инвестиције је 24.074.975,00 евра, што укључује и реализацију фазе </w:t>
      </w:r>
      <w:r w:rsidR="00C75E3B">
        <w:rPr>
          <w:rFonts w:ascii="Times New Roman" w:hAnsi="Times New Roman" w:cs="Times New Roman"/>
          <w:sz w:val="24"/>
          <w:szCs w:val="24"/>
        </w:rPr>
        <w:t>II</w:t>
      </w:r>
      <w:r w:rsidRPr="00F550F7">
        <w:rPr>
          <w:rFonts w:ascii="Times New Roman" w:hAnsi="Times New Roman" w:cs="Times New Roman"/>
          <w:sz w:val="24"/>
          <w:szCs w:val="24"/>
        </w:rPr>
        <w:t xml:space="preserve">/2 изградње која је у току, и чији завршетак се очекује у другој половини 2021. године. </w:t>
      </w:r>
      <w:r w:rsidR="00294A2A">
        <w:rPr>
          <w:rFonts w:ascii="Times New Roman" w:hAnsi="Times New Roman" w:cs="Times New Roman"/>
          <w:sz w:val="24"/>
          <w:szCs w:val="24"/>
        </w:rPr>
        <w:t>Научно технолошки парк Нови Сад</w:t>
      </w:r>
      <w:r w:rsidRPr="00F550F7">
        <w:rPr>
          <w:rFonts w:ascii="Times New Roman" w:hAnsi="Times New Roman" w:cs="Times New Roman"/>
          <w:sz w:val="24"/>
          <w:szCs w:val="24"/>
        </w:rPr>
        <w:t xml:space="preserve"> д.о.о. основан је током 2019. године Одлуком Скупштине Аутономне Покрајине Војводине, у форми привредног друштва. Научно технолошки-парк Нови Сад је формално почео са радом 29.01.2020. године.</w:t>
      </w:r>
    </w:p>
    <w:p w14:paraId="4CBF8BD7" w14:textId="05B8E738" w:rsidR="00120227" w:rsidRDefault="00C0232B" w:rsidP="000E26C2">
      <w:pPr>
        <w:ind w:firstLine="720"/>
        <w:jc w:val="both"/>
        <w:rPr>
          <w:rFonts w:ascii="Times New Roman" w:hAnsi="Times New Roman" w:cs="Times New Roman"/>
          <w:sz w:val="24"/>
          <w:szCs w:val="24"/>
        </w:rPr>
      </w:pPr>
      <w:r w:rsidRPr="00C0232B">
        <w:rPr>
          <w:rFonts w:ascii="Times New Roman" w:hAnsi="Times New Roman" w:cs="Times New Roman"/>
          <w:sz w:val="24"/>
          <w:szCs w:val="24"/>
        </w:rPr>
        <w:t>Законом о изменама закона о буџету Републике Србије за 2021. годину</w:t>
      </w:r>
      <w:r w:rsidR="0072171E" w:rsidRPr="00F550F7">
        <w:rPr>
          <w:rStyle w:val="FootnoteReference"/>
          <w:rFonts w:ascii="Times New Roman" w:hAnsi="Times New Roman" w:cs="Times New Roman"/>
          <w:sz w:val="24"/>
          <w:szCs w:val="24"/>
        </w:rPr>
        <w:footnoteReference w:id="6"/>
      </w:r>
      <w:r w:rsidR="0072171E" w:rsidRPr="00F550F7">
        <w:rPr>
          <w:rFonts w:ascii="Times New Roman" w:hAnsi="Times New Roman" w:cs="Times New Roman"/>
          <w:sz w:val="24"/>
          <w:szCs w:val="24"/>
        </w:rPr>
        <w:t xml:space="preserve">, на разделу Министарства просвете, науке и технолошког развоја, обезбеђена су средства за финансирање Подршке реализацији интереса у иновационој делатности, као и за програмске активности и пројекте који </w:t>
      </w:r>
      <w:r w:rsidR="00BB3401" w:rsidRPr="00F550F7">
        <w:rPr>
          <w:rFonts w:ascii="Times New Roman" w:hAnsi="Times New Roman" w:cs="Times New Roman"/>
          <w:sz w:val="24"/>
          <w:szCs w:val="24"/>
        </w:rPr>
        <w:t>с</w:t>
      </w:r>
      <w:r w:rsidR="0072171E" w:rsidRPr="00F550F7">
        <w:rPr>
          <w:rFonts w:ascii="Times New Roman" w:hAnsi="Times New Roman" w:cs="Times New Roman"/>
          <w:sz w:val="24"/>
          <w:szCs w:val="24"/>
        </w:rPr>
        <w:t>у вези са функционисањем националног иновационог система.</w:t>
      </w:r>
      <w:r w:rsidR="00CF3587">
        <w:rPr>
          <w:rFonts w:ascii="Times New Roman" w:hAnsi="Times New Roman" w:cs="Times New Roman"/>
          <w:sz w:val="24"/>
          <w:szCs w:val="24"/>
        </w:rPr>
        <w:t xml:space="preserve"> </w:t>
      </w:r>
      <w:r w:rsidR="00BB3401" w:rsidRPr="003975BE">
        <w:rPr>
          <w:rFonts w:ascii="Times New Roman" w:hAnsi="Times New Roman" w:cs="Times New Roman"/>
          <w:sz w:val="24"/>
          <w:szCs w:val="24"/>
        </w:rPr>
        <w:t xml:space="preserve">За наредне године, средства ће бити обезбеђена у оквиру лимита које утврди Министарство финансија на разделу Министарства просвете, науке и технолошког развоја, у складу са билансним могућностима. </w:t>
      </w:r>
      <w:r w:rsidR="00A51BF4" w:rsidRPr="003975BE">
        <w:rPr>
          <w:rFonts w:ascii="Times New Roman" w:hAnsi="Times New Roman" w:cs="Times New Roman"/>
          <w:sz w:val="24"/>
          <w:szCs w:val="24"/>
        </w:rPr>
        <w:t>Такође се п</w:t>
      </w:r>
      <w:r w:rsidR="00BB3401" w:rsidRPr="003975BE">
        <w:rPr>
          <w:rFonts w:ascii="Times New Roman" w:hAnsi="Times New Roman" w:cs="Times New Roman"/>
          <w:sz w:val="24"/>
          <w:szCs w:val="24"/>
        </w:rPr>
        <w:t>ројектује обезбеђивање средстава из донација, пројектних зајмова, међународне помоћи, као и из других извора у циљу спровођења наведеног акта.</w:t>
      </w:r>
    </w:p>
    <w:p w14:paraId="6B649404" w14:textId="77777777" w:rsidR="00C47E1A" w:rsidRDefault="00C47E1A" w:rsidP="00EE476E">
      <w:pPr>
        <w:jc w:val="both"/>
        <w:rPr>
          <w:rFonts w:ascii="Times New Roman" w:hAnsi="Times New Roman" w:cs="Times New Roman"/>
          <w:sz w:val="24"/>
          <w:szCs w:val="24"/>
        </w:rPr>
      </w:pPr>
    </w:p>
    <w:p w14:paraId="6E899EF2" w14:textId="1F6C0107" w:rsidR="00E40AC9" w:rsidRPr="00EE476E" w:rsidRDefault="00034C2E" w:rsidP="00C4657D">
      <w:pPr>
        <w:ind w:firstLine="720"/>
        <w:jc w:val="center"/>
        <w:rPr>
          <w:rFonts w:ascii="Times New Roman" w:hAnsi="Times New Roman" w:cs="Times New Roman"/>
          <w:sz w:val="24"/>
          <w:szCs w:val="24"/>
        </w:rPr>
      </w:pPr>
      <w:r>
        <w:rPr>
          <w:rFonts w:ascii="Times New Roman" w:hAnsi="Times New Roman" w:cs="Times New Roman"/>
          <w:sz w:val="24"/>
          <w:szCs w:val="24"/>
        </w:rPr>
        <w:t>Табела 6</w:t>
      </w:r>
      <w:r w:rsidR="00EE476E" w:rsidRPr="00EE476E">
        <w:rPr>
          <w:rFonts w:ascii="Times New Roman" w:hAnsi="Times New Roman" w:cs="Times New Roman"/>
          <w:sz w:val="24"/>
          <w:szCs w:val="24"/>
        </w:rPr>
        <w:t xml:space="preserve">: Процењена буџетска средстваиз извора 01 – </w:t>
      </w:r>
      <w:r w:rsidR="00342F9E">
        <w:rPr>
          <w:rFonts w:ascii="Times New Roman" w:hAnsi="Times New Roman" w:cs="Times New Roman"/>
          <w:sz w:val="24"/>
          <w:szCs w:val="24"/>
        </w:rPr>
        <w:t>О</w:t>
      </w:r>
      <w:r w:rsidR="00EE476E" w:rsidRPr="00EE476E">
        <w:rPr>
          <w:rFonts w:ascii="Times New Roman" w:hAnsi="Times New Roman" w:cs="Times New Roman"/>
          <w:sz w:val="24"/>
          <w:szCs w:val="24"/>
        </w:rPr>
        <w:t>пшти приходи и примања из буџета до 2024. године.</w:t>
      </w:r>
    </w:p>
    <w:tbl>
      <w:tblPr>
        <w:tblStyle w:val="GridTable4-Accent62"/>
        <w:tblW w:w="10560" w:type="dxa"/>
        <w:jc w:val="center"/>
        <w:tblLayout w:type="fixed"/>
        <w:tblLook w:val="04A0" w:firstRow="1" w:lastRow="0" w:firstColumn="1" w:lastColumn="0" w:noHBand="0" w:noVBand="1"/>
      </w:tblPr>
      <w:tblGrid>
        <w:gridCol w:w="707"/>
        <w:gridCol w:w="2923"/>
        <w:gridCol w:w="1710"/>
        <w:gridCol w:w="1710"/>
        <w:gridCol w:w="1710"/>
        <w:gridCol w:w="1800"/>
      </w:tblGrid>
      <w:tr w:rsidR="00EE476E" w:rsidRPr="00EE476E" w14:paraId="416C546B" w14:textId="77777777" w:rsidTr="00EE476E">
        <w:trPr>
          <w:cnfStyle w:val="100000000000" w:firstRow="1" w:lastRow="0" w:firstColumn="0" w:lastColumn="0" w:oddVBand="0" w:evenVBand="0" w:oddHBand="0" w:evenHBand="0" w:firstRowFirstColumn="0" w:firstRowLastColumn="0" w:lastRowFirstColumn="0" w:lastRowLastColumn="0"/>
          <w:trHeight w:val="1275"/>
          <w:jc w:val="center"/>
        </w:trPr>
        <w:tc>
          <w:tcPr>
            <w:cnfStyle w:val="001000000000" w:firstRow="0" w:lastRow="0" w:firstColumn="1" w:lastColumn="0" w:oddVBand="0" w:evenVBand="0" w:oddHBand="0" w:evenHBand="0" w:firstRowFirstColumn="0" w:firstRowLastColumn="0" w:lastRowFirstColumn="0" w:lastRowLastColumn="0"/>
            <w:tcW w:w="3629" w:type="dxa"/>
            <w:gridSpan w:val="2"/>
            <w:vAlign w:val="center"/>
            <w:hideMark/>
          </w:tcPr>
          <w:p w14:paraId="6EA1FA79" w14:textId="77777777" w:rsidR="00EE476E" w:rsidRPr="00EE476E" w:rsidRDefault="00EE476E" w:rsidP="00EE476E">
            <w:pPr>
              <w:jc w:val="center"/>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Н</w:t>
            </w:r>
            <w:r w:rsidRPr="00EE476E">
              <w:rPr>
                <w:rFonts w:ascii="Times New Roman" w:eastAsia="Cambria" w:hAnsi="Times New Roman" w:cs="Times New Roman"/>
                <w:sz w:val="24"/>
                <w:szCs w:val="24"/>
                <w:lang w:eastAsia="en-GB"/>
              </w:rPr>
              <w:t>азив</w:t>
            </w:r>
            <w:r w:rsidRPr="00EE476E">
              <w:rPr>
                <w:rFonts w:ascii="Times New Roman" w:eastAsia="Cambria" w:hAnsi="Times New Roman" w:cs="Times New Roman"/>
                <w:sz w:val="24"/>
                <w:szCs w:val="24"/>
                <w:lang w:val="en-GB" w:eastAsia="en-GB"/>
              </w:rPr>
              <w:t xml:space="preserve"> ПА/ПЈ</w:t>
            </w:r>
          </w:p>
        </w:tc>
        <w:tc>
          <w:tcPr>
            <w:tcW w:w="1710" w:type="dxa"/>
            <w:vAlign w:val="center"/>
            <w:hideMark/>
          </w:tcPr>
          <w:p w14:paraId="5712D882" w14:textId="77777777" w:rsidR="00EE476E" w:rsidRPr="00EE476E" w:rsidRDefault="00EE476E" w:rsidP="00EE476E">
            <w:pPr>
              <w:jc w:val="center"/>
              <w:cnfStyle w:val="100000000000" w:firstRow="1"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Средства буџета за 2021. годину</w:t>
            </w:r>
          </w:p>
        </w:tc>
        <w:tc>
          <w:tcPr>
            <w:tcW w:w="1710" w:type="dxa"/>
            <w:vAlign w:val="center"/>
            <w:hideMark/>
          </w:tcPr>
          <w:p w14:paraId="0908EA71" w14:textId="77777777" w:rsidR="00EE476E" w:rsidRPr="00EE476E" w:rsidRDefault="00EE476E" w:rsidP="00EE476E">
            <w:pPr>
              <w:jc w:val="center"/>
              <w:cnfStyle w:val="100000000000" w:firstRow="1"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eastAsia="en-GB"/>
              </w:rPr>
              <w:t>Лимит за</w:t>
            </w:r>
            <w:r w:rsidRPr="00EE476E">
              <w:rPr>
                <w:rFonts w:ascii="Times New Roman" w:eastAsia="Cambria" w:hAnsi="Times New Roman" w:cs="Times New Roman"/>
                <w:sz w:val="24"/>
                <w:szCs w:val="24"/>
                <w:lang w:val="en-GB" w:eastAsia="en-GB"/>
              </w:rPr>
              <w:t xml:space="preserve"> 2022.</w:t>
            </w:r>
          </w:p>
        </w:tc>
        <w:tc>
          <w:tcPr>
            <w:tcW w:w="1710" w:type="dxa"/>
            <w:vAlign w:val="center"/>
            <w:hideMark/>
          </w:tcPr>
          <w:p w14:paraId="3616A427" w14:textId="77777777" w:rsidR="00EE476E" w:rsidRPr="00EE476E" w:rsidRDefault="00EE476E" w:rsidP="00EE476E">
            <w:pPr>
              <w:jc w:val="center"/>
              <w:cnfStyle w:val="100000000000" w:firstRow="1"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eastAsia="en-GB"/>
              </w:rPr>
              <w:t>Лимит за</w:t>
            </w:r>
            <w:r w:rsidRPr="00EE476E">
              <w:rPr>
                <w:rFonts w:ascii="Times New Roman" w:eastAsia="Cambria" w:hAnsi="Times New Roman" w:cs="Times New Roman"/>
                <w:sz w:val="24"/>
                <w:szCs w:val="24"/>
                <w:lang w:val="en-GB" w:eastAsia="en-GB"/>
              </w:rPr>
              <w:br/>
              <w:t>2023.</w:t>
            </w:r>
          </w:p>
        </w:tc>
        <w:tc>
          <w:tcPr>
            <w:tcW w:w="1800" w:type="dxa"/>
            <w:vAlign w:val="center"/>
            <w:hideMark/>
          </w:tcPr>
          <w:p w14:paraId="1DA4415D" w14:textId="77777777" w:rsidR="00EE476E" w:rsidRPr="00EE476E" w:rsidRDefault="00EE476E" w:rsidP="00EE476E">
            <w:pPr>
              <w:jc w:val="center"/>
              <w:cnfStyle w:val="100000000000" w:firstRow="1"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eastAsia="en-GB"/>
              </w:rPr>
              <w:t>Лимит за</w:t>
            </w:r>
            <w:r w:rsidRPr="00EE476E">
              <w:rPr>
                <w:rFonts w:ascii="Times New Roman" w:eastAsia="Cambria" w:hAnsi="Times New Roman" w:cs="Times New Roman"/>
                <w:sz w:val="24"/>
                <w:szCs w:val="24"/>
                <w:lang w:val="en-GB" w:eastAsia="en-GB"/>
              </w:rPr>
              <w:br/>
              <w:t>2024.</w:t>
            </w:r>
          </w:p>
        </w:tc>
      </w:tr>
      <w:tr w:rsidR="00EE476E" w:rsidRPr="00EE476E" w14:paraId="68E08E74" w14:textId="77777777" w:rsidTr="00EE476E">
        <w:trPr>
          <w:cnfStyle w:val="000000100000" w:firstRow="0" w:lastRow="0" w:firstColumn="0" w:lastColumn="0" w:oddVBand="0" w:evenVBand="0" w:oddHBand="1" w:evenHBand="0" w:firstRowFirstColumn="0" w:firstRowLastColumn="0" w:lastRowFirstColumn="0" w:lastRowLastColumn="0"/>
          <w:trHeight w:val="1230"/>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73EF5938" w14:textId="77777777" w:rsidR="00EE476E" w:rsidRPr="00EE476E" w:rsidRDefault="00EE476E" w:rsidP="00EE476E">
            <w:pPr>
              <w:jc w:val="center"/>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0002</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403EBD11" w14:textId="77777777" w:rsidR="00EE476E" w:rsidRPr="00EE476E" w:rsidRDefault="00EE476E" w:rsidP="00EE476E">
            <w:pPr>
              <w:jc w:val="cente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Подршка реализацији интереса у иновационој делатности</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41E81B9A"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208.541.000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0077C867"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184.501.000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0E4FC8A6"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232.500.000</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25D148BF"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228.900.000</w:t>
            </w:r>
          </w:p>
        </w:tc>
      </w:tr>
      <w:tr w:rsidR="00EE476E" w:rsidRPr="00EE476E" w14:paraId="57CDB29F" w14:textId="77777777" w:rsidTr="00EE476E">
        <w:trPr>
          <w:trHeight w:val="1155"/>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09C5F024" w14:textId="77777777" w:rsidR="00EE476E" w:rsidRPr="00EE476E" w:rsidRDefault="00EE476E" w:rsidP="00EE476E">
            <w:pPr>
              <w:jc w:val="center"/>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0005</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099A57C5" w14:textId="77777777" w:rsidR="00EE476E" w:rsidRPr="00EE476E" w:rsidRDefault="00EE476E" w:rsidP="00EE476E">
            <w:pPr>
              <w:jc w:val="cente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Подршка раду Фонда за иновациону делатност</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0125C702"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1.260.000.000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2150522C" w14:textId="33A5224D" w:rsidR="00EE476E" w:rsidRPr="00C64F43" w:rsidRDefault="00EE476E" w:rsidP="00882306">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C64F43">
              <w:rPr>
                <w:rFonts w:ascii="Times New Roman" w:eastAsia="Cambria" w:hAnsi="Times New Roman" w:cs="Times New Roman"/>
                <w:sz w:val="24"/>
                <w:szCs w:val="24"/>
                <w:lang w:val="en-GB" w:eastAsia="en-GB"/>
              </w:rPr>
              <w:t>1.</w:t>
            </w:r>
            <w:r w:rsidR="00882306" w:rsidRPr="00C64F43">
              <w:rPr>
                <w:rFonts w:ascii="Times New Roman" w:eastAsia="Cambria" w:hAnsi="Times New Roman" w:cs="Times New Roman"/>
                <w:sz w:val="24"/>
                <w:szCs w:val="24"/>
                <w:lang w:val="en-GB" w:eastAsia="en-GB"/>
              </w:rPr>
              <w:t>650</w:t>
            </w:r>
            <w:r w:rsidRPr="00C64F43">
              <w:rPr>
                <w:rFonts w:ascii="Times New Roman" w:eastAsia="Cambria" w:hAnsi="Times New Roman" w:cs="Times New Roman"/>
                <w:sz w:val="24"/>
                <w:szCs w:val="24"/>
                <w:lang w:val="en-GB" w:eastAsia="en-GB"/>
              </w:rPr>
              <w:t>.000.000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216D2F8A" w14:textId="77777777" w:rsidR="00EE476E" w:rsidRPr="00C64F43"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C64F43">
              <w:rPr>
                <w:rFonts w:ascii="Times New Roman" w:eastAsia="Cambria" w:hAnsi="Times New Roman" w:cs="Times New Roman"/>
                <w:sz w:val="24"/>
                <w:szCs w:val="24"/>
                <w:lang w:val="en-GB" w:eastAsia="en-GB"/>
              </w:rPr>
              <w:t>1.680.000.000</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74C58008" w14:textId="77777777" w:rsidR="00EE476E" w:rsidRPr="00C64F43"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C64F43">
              <w:rPr>
                <w:rFonts w:ascii="Times New Roman" w:eastAsia="Cambria" w:hAnsi="Times New Roman" w:cs="Times New Roman"/>
                <w:sz w:val="24"/>
                <w:szCs w:val="24"/>
                <w:lang w:val="en-GB" w:eastAsia="en-GB"/>
              </w:rPr>
              <w:t>1.752.000.000</w:t>
            </w:r>
          </w:p>
        </w:tc>
      </w:tr>
      <w:tr w:rsidR="00EE476E" w:rsidRPr="00EE476E" w14:paraId="24868B26" w14:textId="77777777" w:rsidTr="00EE476E">
        <w:trPr>
          <w:cnfStyle w:val="000000100000" w:firstRow="0" w:lastRow="0" w:firstColumn="0" w:lastColumn="0" w:oddVBand="0" w:evenVBand="0" w:oddHBand="1" w:evenHBand="0" w:firstRowFirstColumn="0" w:firstRowLastColumn="0" w:lastRowFirstColumn="0" w:lastRowLastColumn="0"/>
          <w:trHeight w:val="636"/>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094A5BCD" w14:textId="77777777" w:rsidR="00EE476E" w:rsidRPr="00EE476E" w:rsidRDefault="00EE476E" w:rsidP="00EE476E">
            <w:pPr>
              <w:jc w:val="center"/>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0011</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04B07961" w14:textId="77777777" w:rsidR="00EE476E" w:rsidRPr="00EE476E" w:rsidRDefault="00EE476E" w:rsidP="00EE476E">
            <w:pPr>
              <w:jc w:val="cente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Подршка раду Научно-технолошком</w:t>
            </w:r>
            <w:r w:rsidRPr="00EE476E">
              <w:rPr>
                <w:rFonts w:ascii="Times New Roman" w:eastAsia="Cambria" w:hAnsi="Times New Roman" w:cs="Times New Roman"/>
                <w:sz w:val="24"/>
                <w:szCs w:val="24"/>
                <w:lang w:val="en-GB" w:eastAsia="en-GB"/>
              </w:rPr>
              <w:br/>
              <w:t>парку Београд</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012D30AB"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36.000.000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3DB0CCF7"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33.000.000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42B3E617"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30.000.000</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0A8ED4CE"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27.000.000</w:t>
            </w:r>
          </w:p>
        </w:tc>
      </w:tr>
      <w:tr w:rsidR="00EE476E" w:rsidRPr="00EE476E" w14:paraId="293D8C6D" w14:textId="77777777" w:rsidTr="00EE476E">
        <w:trPr>
          <w:trHeight w:val="432"/>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58950001" w14:textId="77777777" w:rsidR="00EE476E" w:rsidRPr="00EE476E" w:rsidRDefault="00EE476E" w:rsidP="00EE476E">
            <w:pPr>
              <w:jc w:val="center"/>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0013</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672DFFFA" w14:textId="77777777" w:rsidR="00EE476E" w:rsidRPr="00EE476E" w:rsidRDefault="00EE476E" w:rsidP="00EE476E">
            <w:pPr>
              <w:jc w:val="cente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 xml:space="preserve">Подршка раду </w:t>
            </w:r>
            <w:r w:rsidRPr="00EE476E">
              <w:rPr>
                <w:rFonts w:ascii="Times New Roman" w:eastAsia="Cambria" w:hAnsi="Times New Roman" w:cs="Times New Roman"/>
                <w:sz w:val="24"/>
                <w:szCs w:val="24"/>
                <w:lang w:val="en-GB" w:eastAsia="en-GB"/>
              </w:rPr>
              <w:br/>
              <w:t>Фонда за науку</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6AC1FCF3"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1.000.000.000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2F11DC08"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1.000.000.000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5B32EC02"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1.500.000.000</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4B94DF0B"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2.000.000.000</w:t>
            </w:r>
          </w:p>
        </w:tc>
      </w:tr>
      <w:tr w:rsidR="00EE476E" w:rsidRPr="00EE476E" w14:paraId="7032691D" w14:textId="77777777" w:rsidTr="00EE476E">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39410CDC" w14:textId="77777777" w:rsidR="00EE476E" w:rsidRPr="00EE476E" w:rsidRDefault="00EE476E" w:rsidP="00EE476E">
            <w:pPr>
              <w:jc w:val="center"/>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4004</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0F9736E8" w14:textId="77777777" w:rsidR="00EE476E" w:rsidRPr="00EE476E" w:rsidRDefault="00EE476E" w:rsidP="00EE476E">
            <w:pPr>
              <w:jc w:val="cente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ИПА  2018-  Конкурентност</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372213BC"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73.796.000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315BE8A4"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154.966.000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2DF8B126"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154.966.000</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38B0C2EA"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154</w:t>
            </w:r>
            <w:r w:rsidRPr="00EE476E">
              <w:rPr>
                <w:rFonts w:ascii="Times New Roman" w:eastAsia="Cambria" w:hAnsi="Times New Roman" w:cs="Times New Roman"/>
                <w:sz w:val="24"/>
                <w:szCs w:val="24"/>
                <w:lang w:eastAsia="en-GB"/>
              </w:rPr>
              <w:t>.</w:t>
            </w:r>
            <w:r w:rsidRPr="00EE476E">
              <w:rPr>
                <w:rFonts w:ascii="Times New Roman" w:eastAsia="Cambria" w:hAnsi="Times New Roman" w:cs="Times New Roman"/>
                <w:sz w:val="24"/>
                <w:szCs w:val="24"/>
                <w:lang w:val="en-GB" w:eastAsia="en-GB"/>
              </w:rPr>
              <w:t>966</w:t>
            </w:r>
            <w:r w:rsidRPr="00EE476E">
              <w:rPr>
                <w:rFonts w:ascii="Times New Roman" w:eastAsia="Cambria" w:hAnsi="Times New Roman" w:cs="Times New Roman"/>
                <w:sz w:val="24"/>
                <w:szCs w:val="24"/>
                <w:lang w:eastAsia="en-GB"/>
              </w:rPr>
              <w:t>.</w:t>
            </w:r>
            <w:r w:rsidRPr="00EE476E">
              <w:rPr>
                <w:rFonts w:ascii="Times New Roman" w:eastAsia="Cambria" w:hAnsi="Times New Roman" w:cs="Times New Roman"/>
                <w:sz w:val="24"/>
                <w:szCs w:val="24"/>
                <w:lang w:val="en-GB" w:eastAsia="en-GB"/>
              </w:rPr>
              <w:t>000</w:t>
            </w:r>
          </w:p>
        </w:tc>
      </w:tr>
      <w:tr w:rsidR="00EE476E" w:rsidRPr="00EE476E" w14:paraId="35DB979F" w14:textId="77777777" w:rsidTr="00EE476E">
        <w:trPr>
          <w:trHeight w:val="495"/>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58F78322" w14:textId="77777777" w:rsidR="00EE476E" w:rsidRPr="00EE476E" w:rsidRDefault="00EE476E" w:rsidP="00EE476E">
            <w:pPr>
              <w:jc w:val="center"/>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5002</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2A6E8419" w14:textId="77777777" w:rsidR="00EE476E" w:rsidRPr="00EE476E" w:rsidRDefault="00EE476E" w:rsidP="00EE476E">
            <w:pPr>
              <w:jc w:val="cente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Научнотехнолошки парк у Новом Саду</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6CCE7744"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250.000.000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47C250C8"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230.000.000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04A1E3D9"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51AEB17B"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w:t>
            </w:r>
          </w:p>
        </w:tc>
      </w:tr>
      <w:tr w:rsidR="00EE476E" w:rsidRPr="00EE476E" w14:paraId="76CEB53E" w14:textId="77777777" w:rsidTr="00EE476E">
        <w:trPr>
          <w:cnfStyle w:val="000000100000" w:firstRow="0" w:lastRow="0" w:firstColumn="0" w:lastColumn="0" w:oddVBand="0" w:evenVBand="0" w:oddHBand="1" w:evenHBand="0" w:firstRowFirstColumn="0" w:firstRowLastColumn="0" w:lastRowFirstColumn="0" w:lastRowLastColumn="0"/>
          <w:trHeight w:val="495"/>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445483BB" w14:textId="77777777" w:rsidR="00EE476E" w:rsidRPr="00EE476E" w:rsidRDefault="00EE476E" w:rsidP="00EE476E">
            <w:pPr>
              <w:jc w:val="center"/>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4007</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794E7605" w14:textId="77777777" w:rsidR="00EE476E" w:rsidRPr="00EE476E" w:rsidRDefault="00EE476E" w:rsidP="00EE476E">
            <w:pPr>
              <w:jc w:val="cente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Подршка раду НТП Ниш</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52129CE5"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26.000.000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2F19D96E"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20.000</w:t>
            </w:r>
            <w:r w:rsidRPr="00EE476E">
              <w:rPr>
                <w:rFonts w:ascii="Times New Roman" w:eastAsia="Cambria" w:hAnsi="Times New Roman" w:cs="Times New Roman"/>
                <w:sz w:val="24"/>
                <w:szCs w:val="24"/>
                <w:lang w:eastAsia="en-GB"/>
              </w:rPr>
              <w:t>.</w:t>
            </w:r>
            <w:r w:rsidRPr="00EE476E">
              <w:rPr>
                <w:rFonts w:ascii="Times New Roman" w:eastAsia="Cambria" w:hAnsi="Times New Roman" w:cs="Times New Roman"/>
                <w:sz w:val="24"/>
                <w:szCs w:val="24"/>
                <w:lang w:val="en-GB" w:eastAsia="en-GB"/>
              </w:rPr>
              <w:t>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0DB71B71"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20</w:t>
            </w:r>
            <w:r w:rsidRPr="00EE476E">
              <w:rPr>
                <w:rFonts w:ascii="Times New Roman" w:eastAsia="Cambria" w:hAnsi="Times New Roman" w:cs="Times New Roman"/>
                <w:sz w:val="24"/>
                <w:szCs w:val="24"/>
                <w:lang w:eastAsia="en-GB"/>
              </w:rPr>
              <w:t>.</w:t>
            </w:r>
            <w:r w:rsidRPr="00EE476E">
              <w:rPr>
                <w:rFonts w:ascii="Times New Roman" w:eastAsia="Cambria" w:hAnsi="Times New Roman" w:cs="Times New Roman"/>
                <w:sz w:val="24"/>
                <w:szCs w:val="24"/>
                <w:lang w:val="en-GB" w:eastAsia="en-GB"/>
              </w:rPr>
              <w:t>000</w:t>
            </w:r>
            <w:r w:rsidRPr="00EE476E">
              <w:rPr>
                <w:rFonts w:ascii="Times New Roman" w:eastAsia="Cambria" w:hAnsi="Times New Roman" w:cs="Times New Roman"/>
                <w:sz w:val="24"/>
                <w:szCs w:val="24"/>
                <w:lang w:eastAsia="en-GB"/>
              </w:rPr>
              <w:t>.</w:t>
            </w:r>
            <w:r w:rsidRPr="00EE476E">
              <w:rPr>
                <w:rFonts w:ascii="Times New Roman" w:eastAsia="Cambria" w:hAnsi="Times New Roman" w:cs="Times New Roman"/>
                <w:sz w:val="24"/>
                <w:szCs w:val="24"/>
                <w:lang w:val="en-GB" w:eastAsia="en-GB"/>
              </w:rPr>
              <w:t>000</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44A486A8"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16</w:t>
            </w:r>
            <w:r w:rsidRPr="00EE476E">
              <w:rPr>
                <w:rFonts w:ascii="Times New Roman" w:eastAsia="Cambria" w:hAnsi="Times New Roman" w:cs="Times New Roman"/>
                <w:sz w:val="24"/>
                <w:szCs w:val="24"/>
                <w:lang w:eastAsia="en-GB"/>
              </w:rPr>
              <w:t>.</w:t>
            </w:r>
            <w:r w:rsidRPr="00EE476E">
              <w:rPr>
                <w:rFonts w:ascii="Times New Roman" w:eastAsia="Cambria" w:hAnsi="Times New Roman" w:cs="Times New Roman"/>
                <w:sz w:val="24"/>
                <w:szCs w:val="24"/>
                <w:lang w:val="en-GB" w:eastAsia="en-GB"/>
              </w:rPr>
              <w:t>500</w:t>
            </w:r>
            <w:r w:rsidRPr="00EE476E">
              <w:rPr>
                <w:rFonts w:ascii="Times New Roman" w:eastAsia="Cambria" w:hAnsi="Times New Roman" w:cs="Times New Roman"/>
                <w:sz w:val="24"/>
                <w:szCs w:val="24"/>
                <w:lang w:eastAsia="en-GB"/>
              </w:rPr>
              <w:t>.</w:t>
            </w:r>
            <w:r w:rsidRPr="00EE476E">
              <w:rPr>
                <w:rFonts w:ascii="Times New Roman" w:eastAsia="Cambria" w:hAnsi="Times New Roman" w:cs="Times New Roman"/>
                <w:sz w:val="24"/>
                <w:szCs w:val="24"/>
                <w:lang w:val="en-GB" w:eastAsia="en-GB"/>
              </w:rPr>
              <w:t>000</w:t>
            </w:r>
          </w:p>
        </w:tc>
      </w:tr>
      <w:tr w:rsidR="00EE476E" w:rsidRPr="00EE476E" w14:paraId="4F8B4F97" w14:textId="77777777" w:rsidTr="00EE476E">
        <w:trPr>
          <w:trHeight w:val="570"/>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730C0009" w14:textId="77777777" w:rsidR="00EE476E" w:rsidRPr="00EE476E" w:rsidRDefault="00EE476E" w:rsidP="00EE476E">
            <w:pPr>
              <w:jc w:val="center"/>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4008</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2E6A447E" w14:textId="77777777" w:rsidR="00EE476E" w:rsidRPr="00EE476E" w:rsidRDefault="00EE476E" w:rsidP="00EE476E">
            <w:pPr>
              <w:jc w:val="cente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Подршка раду НТП Чачак</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3DD26CEA"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10.000.000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4CA9305D"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12.000.000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11B13415"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10.000.000</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5627CA5E"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6.000.000</w:t>
            </w:r>
          </w:p>
        </w:tc>
      </w:tr>
      <w:tr w:rsidR="00EE476E" w:rsidRPr="00EE476E" w14:paraId="00355CA0" w14:textId="77777777" w:rsidTr="00EE476E">
        <w:trPr>
          <w:cnfStyle w:val="000000100000" w:firstRow="0" w:lastRow="0" w:firstColumn="0" w:lastColumn="0" w:oddVBand="0" w:evenVBand="0" w:oddHBand="1" w:evenHBand="0" w:firstRowFirstColumn="0" w:firstRowLastColumn="0" w:lastRowFirstColumn="0" w:lastRowLastColumn="0"/>
          <w:trHeight w:val="750"/>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2E792CB9" w14:textId="77777777" w:rsidR="00EE476E" w:rsidRPr="00EE476E" w:rsidRDefault="00EE476E" w:rsidP="00EE476E">
            <w:pPr>
              <w:jc w:val="center"/>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7023</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79B57904" w14:textId="77777777" w:rsidR="00EE476E" w:rsidRPr="00EE476E" w:rsidRDefault="00EE476E" w:rsidP="00EE476E">
            <w:pPr>
              <w:jc w:val="center"/>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ИПА 2014</w:t>
            </w:r>
            <w:r w:rsidRPr="00EE476E">
              <w:rPr>
                <w:rFonts w:ascii="Times New Roman" w:eastAsia="Cambria" w:hAnsi="Times New Roman" w:cs="Times New Roman"/>
                <w:sz w:val="24"/>
                <w:szCs w:val="24"/>
                <w:lang w:val="en-GB" w:eastAsia="en-GB"/>
              </w:rPr>
              <w:br/>
              <w:t>Сектор конкурентности</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41F0770E"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57.527.000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41141D71"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24.000.000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3BBA4B39"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74E49502"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w:t>
            </w:r>
          </w:p>
        </w:tc>
      </w:tr>
      <w:tr w:rsidR="00EE476E" w:rsidRPr="00EE476E" w14:paraId="0CE5FFC0" w14:textId="77777777" w:rsidTr="00EE476E">
        <w:trPr>
          <w:trHeight w:val="397"/>
          <w:jc w:val="center"/>
        </w:trPr>
        <w:tc>
          <w:tcPr>
            <w:cnfStyle w:val="001000000000" w:firstRow="0" w:lastRow="0" w:firstColumn="1" w:lastColumn="0" w:oddVBand="0" w:evenVBand="0" w:oddHBand="0" w:evenHBand="0" w:firstRowFirstColumn="0" w:firstRowLastColumn="0" w:lastRowFirstColumn="0" w:lastRowLastColumn="0"/>
            <w:tcW w:w="706"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1A2F1302" w14:textId="77777777" w:rsidR="00EE476E" w:rsidRPr="00EE476E" w:rsidRDefault="00EE476E" w:rsidP="00EE476E">
            <w:pPr>
              <w:jc w:val="center"/>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7079</w:t>
            </w:r>
          </w:p>
        </w:tc>
        <w:tc>
          <w:tcPr>
            <w:tcW w:w="2923"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vAlign w:val="center"/>
            <w:hideMark/>
          </w:tcPr>
          <w:p w14:paraId="1AF90600" w14:textId="77777777" w:rsidR="00EE476E" w:rsidRPr="00EE476E" w:rsidRDefault="00EE476E" w:rsidP="00EE476E">
            <w:pPr>
              <w:jc w:val="center"/>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ИПА 2019</w:t>
            </w:r>
            <w:r w:rsidRPr="00EE476E">
              <w:rPr>
                <w:rFonts w:ascii="Times New Roman" w:eastAsia="Cambria" w:hAnsi="Times New Roman" w:cs="Times New Roman"/>
                <w:sz w:val="24"/>
                <w:szCs w:val="24"/>
                <w:lang w:val="en-GB" w:eastAsia="en-GB"/>
              </w:rPr>
              <w:br/>
              <w:t>Сектор конкурентности</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shd w:val="clear" w:color="auto" w:fill="FBD4B4" w:themeFill="accent6" w:themeFillTint="66"/>
            <w:vAlign w:val="center"/>
            <w:hideMark/>
          </w:tcPr>
          <w:p w14:paraId="5E6800C7"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EE476E">
              <w:rPr>
                <w:rFonts w:ascii="Times New Roman" w:eastAsia="Cambria" w:hAnsi="Times New Roman" w:cs="Times New Roman"/>
                <w:sz w:val="24"/>
                <w:szCs w:val="24"/>
                <w:lang w:eastAsia="en-GB"/>
              </w:rPr>
              <w:t>/</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56F2A8FC" w14:textId="36625B3A" w:rsidR="00EE476E" w:rsidRPr="00EE476E" w:rsidRDefault="008B15A7"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eastAsia="en-GB"/>
              </w:rPr>
            </w:pPr>
            <w:r w:rsidRPr="008B15A7">
              <w:rPr>
                <w:rFonts w:ascii="Times New Roman" w:eastAsia="Cambria" w:hAnsi="Times New Roman" w:cs="Times New Roman"/>
                <w:sz w:val="24"/>
                <w:szCs w:val="24"/>
                <w:lang w:eastAsia="en-GB"/>
              </w:rPr>
              <w:t>262.500.000</w:t>
            </w:r>
          </w:p>
        </w:tc>
        <w:tc>
          <w:tcPr>
            <w:tcW w:w="171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3649AB75"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262</w:t>
            </w:r>
            <w:r w:rsidRPr="00EE476E">
              <w:rPr>
                <w:rFonts w:ascii="Times New Roman" w:eastAsia="Cambria" w:hAnsi="Times New Roman" w:cs="Times New Roman"/>
                <w:sz w:val="24"/>
                <w:szCs w:val="24"/>
                <w:lang w:eastAsia="en-GB"/>
              </w:rPr>
              <w:t>.</w:t>
            </w:r>
            <w:r w:rsidRPr="00EE476E">
              <w:rPr>
                <w:rFonts w:ascii="Times New Roman" w:eastAsia="Cambria" w:hAnsi="Times New Roman" w:cs="Times New Roman"/>
                <w:sz w:val="24"/>
                <w:szCs w:val="24"/>
                <w:lang w:val="en-GB" w:eastAsia="en-GB"/>
              </w:rPr>
              <w:t>500</w:t>
            </w:r>
            <w:r w:rsidRPr="00EE476E">
              <w:rPr>
                <w:rFonts w:ascii="Times New Roman" w:eastAsia="Cambria" w:hAnsi="Times New Roman" w:cs="Times New Roman"/>
                <w:sz w:val="24"/>
                <w:szCs w:val="24"/>
                <w:lang w:eastAsia="en-GB"/>
              </w:rPr>
              <w:t>.</w:t>
            </w:r>
            <w:r w:rsidRPr="00EE476E">
              <w:rPr>
                <w:rFonts w:ascii="Times New Roman" w:eastAsia="Cambria" w:hAnsi="Times New Roman" w:cs="Times New Roman"/>
                <w:sz w:val="24"/>
                <w:szCs w:val="24"/>
                <w:lang w:val="en-GB" w:eastAsia="en-GB"/>
              </w:rPr>
              <w:t>000</w:t>
            </w:r>
          </w:p>
        </w:tc>
        <w:tc>
          <w:tcPr>
            <w:tcW w:w="1800" w:type="dxa"/>
            <w:tc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tcBorders>
            <w:noWrap/>
            <w:vAlign w:val="center"/>
            <w:hideMark/>
          </w:tcPr>
          <w:p w14:paraId="43436E29"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eastAsia="Cambria" w:hAnsi="Times New Roman" w:cs="Times New Roman"/>
                <w:sz w:val="24"/>
                <w:szCs w:val="24"/>
                <w:lang w:val="en-GB" w:eastAsia="en-GB"/>
              </w:rPr>
            </w:pPr>
            <w:r w:rsidRPr="00EE476E">
              <w:rPr>
                <w:rFonts w:ascii="Times New Roman" w:eastAsia="Cambria" w:hAnsi="Times New Roman" w:cs="Times New Roman"/>
                <w:sz w:val="24"/>
                <w:szCs w:val="24"/>
                <w:lang w:val="en-GB" w:eastAsia="en-GB"/>
              </w:rPr>
              <w:t>262.500.000</w:t>
            </w:r>
          </w:p>
        </w:tc>
      </w:tr>
    </w:tbl>
    <w:p w14:paraId="52C34E69" w14:textId="3D55132B" w:rsidR="00EE476E" w:rsidRDefault="00034C2E" w:rsidP="00C4657D">
      <w:pPr>
        <w:ind w:firstLine="720"/>
        <w:jc w:val="both"/>
        <w:rPr>
          <w:rFonts w:ascii="Times New Roman" w:hAnsi="Times New Roman" w:cs="Times New Roman"/>
          <w:sz w:val="24"/>
          <w:szCs w:val="24"/>
        </w:rPr>
      </w:pPr>
      <w:r>
        <w:rPr>
          <w:rFonts w:ascii="Times New Roman" w:hAnsi="Times New Roman" w:cs="Times New Roman"/>
          <w:sz w:val="24"/>
          <w:szCs w:val="24"/>
        </w:rPr>
        <w:t>Табела 7</w:t>
      </w:r>
      <w:r w:rsidR="00EE476E" w:rsidRPr="00EE476E">
        <w:rPr>
          <w:rFonts w:ascii="Times New Roman" w:hAnsi="Times New Roman" w:cs="Times New Roman"/>
          <w:sz w:val="24"/>
          <w:szCs w:val="24"/>
        </w:rPr>
        <w:t>: Процењена средства из и</w:t>
      </w:r>
      <w:r w:rsidR="00C0232B">
        <w:rPr>
          <w:rFonts w:ascii="Times New Roman" w:hAnsi="Times New Roman" w:cs="Times New Roman"/>
          <w:sz w:val="24"/>
          <w:szCs w:val="24"/>
        </w:rPr>
        <w:t>звора 56 – Финансијска помоћи ЕУ – Под</w:t>
      </w:r>
      <w:r w:rsidR="00EE476E" w:rsidRPr="00EE476E">
        <w:rPr>
          <w:rFonts w:ascii="Times New Roman" w:hAnsi="Times New Roman" w:cs="Times New Roman"/>
          <w:sz w:val="24"/>
          <w:szCs w:val="24"/>
        </w:rPr>
        <w:t>ршка иновацијама кроз финансијске инструменте Фонда за иновациону делатност (Програм раног развоја и Програм суфинасирања иновација) иновативним микро, малим и средњим предузећима</w:t>
      </w:r>
    </w:p>
    <w:p w14:paraId="29A3F115" w14:textId="77777777" w:rsidR="00EE476E" w:rsidRPr="00EE476E" w:rsidRDefault="00EE476E" w:rsidP="00EE476E">
      <w:pPr>
        <w:ind w:firstLine="720"/>
        <w:jc w:val="both"/>
        <w:rPr>
          <w:rFonts w:ascii="Times New Roman" w:hAnsi="Times New Roman" w:cs="Times New Roman"/>
          <w:sz w:val="24"/>
          <w:szCs w:val="24"/>
        </w:rPr>
      </w:pPr>
    </w:p>
    <w:tbl>
      <w:tblPr>
        <w:tblStyle w:val="GridTable5Dark-Accent62"/>
        <w:tblW w:w="10928" w:type="dxa"/>
        <w:jc w:val="center"/>
        <w:tblLook w:val="04A0" w:firstRow="1" w:lastRow="0" w:firstColumn="1" w:lastColumn="0" w:noHBand="0" w:noVBand="1"/>
      </w:tblPr>
      <w:tblGrid>
        <w:gridCol w:w="696"/>
        <w:gridCol w:w="4341"/>
        <w:gridCol w:w="1488"/>
        <w:gridCol w:w="1571"/>
        <w:gridCol w:w="1416"/>
        <w:gridCol w:w="1416"/>
      </w:tblGrid>
      <w:tr w:rsidR="00EE476E" w:rsidRPr="00EE476E" w14:paraId="0800DE83" w14:textId="77777777" w:rsidTr="00EE476E">
        <w:trPr>
          <w:cnfStyle w:val="100000000000" w:firstRow="1" w:lastRow="0" w:firstColumn="0" w:lastColumn="0" w:oddVBand="0" w:evenVBand="0" w:oddHBand="0" w:evenHBand="0" w:firstRowFirstColumn="0" w:firstRowLastColumn="0" w:lastRowFirstColumn="0" w:lastRowLastColumn="0"/>
          <w:trHeight w:val="216"/>
          <w:jc w:val="center"/>
        </w:trPr>
        <w:tc>
          <w:tcPr>
            <w:cnfStyle w:val="001000000000" w:firstRow="0" w:lastRow="0" w:firstColumn="1" w:lastColumn="0" w:oddVBand="0" w:evenVBand="0" w:oddHBand="0" w:evenHBand="0" w:firstRowFirstColumn="0" w:firstRowLastColumn="0" w:lastRowFirstColumn="0" w:lastRowLastColumn="0"/>
            <w:tcW w:w="5037" w:type="dxa"/>
            <w:gridSpan w:val="2"/>
            <w:tcBorders>
              <w:bottom w:val="single" w:sz="4" w:space="0" w:color="FFFFFF" w:themeColor="background1"/>
            </w:tcBorders>
            <w:noWrap/>
            <w:hideMark/>
          </w:tcPr>
          <w:p w14:paraId="11646B6D" w14:textId="77777777" w:rsidR="00EE476E" w:rsidRPr="00EE476E" w:rsidRDefault="00EE476E" w:rsidP="00EE476E">
            <w:pPr>
              <w:jc w:val="both"/>
              <w:rPr>
                <w:rFonts w:ascii="Times New Roman" w:hAnsi="Times New Roman" w:cs="Times New Roman"/>
                <w:sz w:val="24"/>
                <w:szCs w:val="24"/>
              </w:rPr>
            </w:pPr>
            <w:r w:rsidRPr="00EE476E">
              <w:rPr>
                <w:rFonts w:ascii="Times New Roman" w:hAnsi="Times New Roman" w:cs="Times New Roman"/>
                <w:sz w:val="24"/>
                <w:szCs w:val="24"/>
              </w:rPr>
              <w:t> Програмске активности/Пројекти</w:t>
            </w:r>
          </w:p>
        </w:tc>
        <w:tc>
          <w:tcPr>
            <w:tcW w:w="1488" w:type="dxa"/>
            <w:tcBorders>
              <w:bottom w:val="single" w:sz="4" w:space="0" w:color="FFFFFF" w:themeColor="background1"/>
            </w:tcBorders>
            <w:hideMark/>
          </w:tcPr>
          <w:p w14:paraId="547A024C" w14:textId="77777777" w:rsidR="00EE476E" w:rsidRPr="00EE476E" w:rsidRDefault="00EE476E" w:rsidP="00EE476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E476E">
              <w:rPr>
                <w:rFonts w:ascii="Times New Roman" w:hAnsi="Times New Roman" w:cs="Times New Roman"/>
                <w:sz w:val="24"/>
                <w:szCs w:val="24"/>
              </w:rPr>
              <w:t>2021</w:t>
            </w:r>
          </w:p>
        </w:tc>
        <w:tc>
          <w:tcPr>
            <w:tcW w:w="1571" w:type="dxa"/>
            <w:tcBorders>
              <w:bottom w:val="single" w:sz="4" w:space="0" w:color="FFFFFF" w:themeColor="background1"/>
            </w:tcBorders>
            <w:noWrap/>
            <w:hideMark/>
          </w:tcPr>
          <w:p w14:paraId="67B7054F" w14:textId="77777777" w:rsidR="00EE476E" w:rsidRPr="00EE476E" w:rsidRDefault="00EE476E" w:rsidP="00EE476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E476E">
              <w:rPr>
                <w:rFonts w:ascii="Times New Roman" w:hAnsi="Times New Roman" w:cs="Times New Roman"/>
                <w:sz w:val="24"/>
                <w:szCs w:val="24"/>
              </w:rPr>
              <w:t>2022</w:t>
            </w:r>
          </w:p>
        </w:tc>
        <w:tc>
          <w:tcPr>
            <w:tcW w:w="1416" w:type="dxa"/>
            <w:tcBorders>
              <w:bottom w:val="single" w:sz="4" w:space="0" w:color="FFFFFF" w:themeColor="background1"/>
            </w:tcBorders>
            <w:noWrap/>
            <w:hideMark/>
          </w:tcPr>
          <w:p w14:paraId="73539085" w14:textId="77777777" w:rsidR="00EE476E" w:rsidRPr="00EE476E" w:rsidRDefault="00EE476E" w:rsidP="00EE476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E476E">
              <w:rPr>
                <w:rFonts w:ascii="Times New Roman" w:hAnsi="Times New Roman" w:cs="Times New Roman"/>
                <w:sz w:val="24"/>
                <w:szCs w:val="24"/>
              </w:rPr>
              <w:t>2023</w:t>
            </w:r>
          </w:p>
        </w:tc>
        <w:tc>
          <w:tcPr>
            <w:tcW w:w="1416" w:type="dxa"/>
            <w:tcBorders>
              <w:bottom w:val="single" w:sz="4" w:space="0" w:color="FFFFFF" w:themeColor="background1"/>
            </w:tcBorders>
            <w:noWrap/>
            <w:hideMark/>
          </w:tcPr>
          <w:p w14:paraId="67DC42F0" w14:textId="77777777" w:rsidR="00EE476E" w:rsidRPr="00EE476E" w:rsidRDefault="00EE476E" w:rsidP="00EE476E">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E476E">
              <w:rPr>
                <w:rFonts w:ascii="Times New Roman" w:hAnsi="Times New Roman" w:cs="Times New Roman"/>
                <w:sz w:val="24"/>
                <w:szCs w:val="24"/>
              </w:rPr>
              <w:t>2024</w:t>
            </w:r>
          </w:p>
        </w:tc>
      </w:tr>
      <w:tr w:rsidR="00EE476E" w:rsidRPr="00EE476E" w14:paraId="1F139DFD" w14:textId="77777777" w:rsidTr="00EE476E">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696" w:type="dxa"/>
            <w:tcBorders>
              <w:top w:val="single" w:sz="4" w:space="0" w:color="FFFFFF" w:themeColor="background1"/>
              <w:bottom w:val="single" w:sz="4" w:space="0" w:color="FFFFFF" w:themeColor="background1"/>
              <w:right w:val="single" w:sz="4" w:space="0" w:color="FFFFFF" w:themeColor="background1"/>
            </w:tcBorders>
            <w:noWrap/>
            <w:vAlign w:val="center"/>
            <w:hideMark/>
          </w:tcPr>
          <w:p w14:paraId="2464FB98" w14:textId="77777777" w:rsidR="00EE476E" w:rsidRPr="00EE476E" w:rsidRDefault="00EE476E" w:rsidP="00EE476E">
            <w:pPr>
              <w:jc w:val="center"/>
              <w:rPr>
                <w:rFonts w:ascii="Times New Roman" w:hAnsi="Times New Roman" w:cs="Times New Roman"/>
                <w:sz w:val="24"/>
                <w:szCs w:val="24"/>
              </w:rPr>
            </w:pPr>
            <w:r w:rsidRPr="00EE476E">
              <w:rPr>
                <w:rFonts w:ascii="Times New Roman" w:hAnsi="Times New Roman" w:cs="Times New Roman"/>
                <w:sz w:val="24"/>
                <w:szCs w:val="24"/>
              </w:rPr>
              <w:t>4004</w:t>
            </w:r>
          </w:p>
        </w:tc>
        <w:tc>
          <w:tcPr>
            <w:tcW w:w="43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5114ABF1" w14:textId="77777777" w:rsidR="00EE476E" w:rsidRPr="00EE476E" w:rsidRDefault="00EE476E" w:rsidP="00EE4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E476E">
              <w:rPr>
                <w:rFonts w:ascii="Times New Roman" w:hAnsi="Times New Roman" w:cs="Times New Roman"/>
                <w:bCs/>
                <w:sz w:val="24"/>
                <w:szCs w:val="24"/>
              </w:rPr>
              <w:t>ИПА 2018-Конкурентност</w:t>
            </w:r>
          </w:p>
        </w:tc>
        <w:tc>
          <w:tcPr>
            <w:tcW w:w="14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21151F75"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220.779.000</w:t>
            </w:r>
          </w:p>
        </w:tc>
        <w:tc>
          <w:tcPr>
            <w:tcW w:w="15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42649C5A"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464.896.740</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28CF0229"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464.896.740</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2892B417"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464.896.741</w:t>
            </w:r>
          </w:p>
        </w:tc>
      </w:tr>
      <w:tr w:rsidR="00EE476E" w:rsidRPr="00EE476E" w14:paraId="550ECB10" w14:textId="77777777" w:rsidTr="00EE476E">
        <w:trPr>
          <w:trHeight w:val="408"/>
          <w:jc w:val="center"/>
        </w:trPr>
        <w:tc>
          <w:tcPr>
            <w:cnfStyle w:val="001000000000" w:firstRow="0" w:lastRow="0" w:firstColumn="1" w:lastColumn="0" w:oddVBand="0" w:evenVBand="0" w:oddHBand="0" w:evenHBand="0" w:firstRowFirstColumn="0" w:firstRowLastColumn="0" w:lastRowFirstColumn="0" w:lastRowLastColumn="0"/>
            <w:tcW w:w="696" w:type="dxa"/>
            <w:tcBorders>
              <w:top w:val="single" w:sz="4" w:space="0" w:color="FFFFFF" w:themeColor="background1"/>
              <w:bottom w:val="single" w:sz="4" w:space="0" w:color="FFFFFF" w:themeColor="background1"/>
              <w:right w:val="single" w:sz="4" w:space="0" w:color="FFFFFF" w:themeColor="background1"/>
            </w:tcBorders>
            <w:noWrap/>
            <w:vAlign w:val="center"/>
            <w:hideMark/>
          </w:tcPr>
          <w:p w14:paraId="4EA0BF43" w14:textId="77777777" w:rsidR="00EE476E" w:rsidRPr="00EE476E" w:rsidRDefault="00EE476E" w:rsidP="00EE476E">
            <w:pPr>
              <w:jc w:val="center"/>
              <w:rPr>
                <w:rFonts w:ascii="Times New Roman" w:hAnsi="Times New Roman" w:cs="Times New Roman"/>
                <w:sz w:val="24"/>
                <w:szCs w:val="24"/>
              </w:rPr>
            </w:pPr>
            <w:r w:rsidRPr="00EE476E">
              <w:rPr>
                <w:rFonts w:ascii="Times New Roman" w:hAnsi="Times New Roman" w:cs="Times New Roman"/>
                <w:sz w:val="24"/>
                <w:szCs w:val="24"/>
              </w:rPr>
              <w:t>7023</w:t>
            </w:r>
          </w:p>
        </w:tc>
        <w:tc>
          <w:tcPr>
            <w:tcW w:w="43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07D64AB4" w14:textId="77777777" w:rsidR="00EE476E" w:rsidRPr="00EE476E" w:rsidRDefault="00EE476E" w:rsidP="00EE476E">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E476E">
              <w:rPr>
                <w:rFonts w:ascii="Times New Roman" w:hAnsi="Times New Roman" w:cs="Times New Roman"/>
                <w:bCs/>
                <w:sz w:val="24"/>
                <w:szCs w:val="24"/>
              </w:rPr>
              <w:t>ИПА 2014- Сектор конкурентност</w:t>
            </w:r>
          </w:p>
        </w:tc>
        <w:tc>
          <w:tcPr>
            <w:tcW w:w="14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42FC9B4E"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71.690.000</w:t>
            </w:r>
          </w:p>
        </w:tc>
        <w:tc>
          <w:tcPr>
            <w:tcW w:w="15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6FDED6D9"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30.000.000</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52E54907"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412F77AC" w14:textId="77777777" w:rsidR="00EE476E" w:rsidRPr="00EE476E" w:rsidRDefault="00EE476E" w:rsidP="00EE476E">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w:t>
            </w:r>
          </w:p>
        </w:tc>
      </w:tr>
      <w:tr w:rsidR="00EE476E" w:rsidRPr="00EE476E" w14:paraId="1A9A07AF" w14:textId="77777777" w:rsidTr="00EE476E">
        <w:trPr>
          <w:cnfStyle w:val="000000100000" w:firstRow="0" w:lastRow="0" w:firstColumn="0" w:lastColumn="0" w:oddVBand="0" w:evenVBand="0" w:oddHBand="1" w:evenHBand="0" w:firstRowFirstColumn="0" w:firstRowLastColumn="0" w:lastRowFirstColumn="0" w:lastRowLastColumn="0"/>
          <w:trHeight w:val="408"/>
          <w:jc w:val="center"/>
        </w:trPr>
        <w:tc>
          <w:tcPr>
            <w:cnfStyle w:val="001000000000" w:firstRow="0" w:lastRow="0" w:firstColumn="1" w:lastColumn="0" w:oddVBand="0" w:evenVBand="0" w:oddHBand="0" w:evenHBand="0" w:firstRowFirstColumn="0" w:firstRowLastColumn="0" w:lastRowFirstColumn="0" w:lastRowLastColumn="0"/>
            <w:tcW w:w="696" w:type="dxa"/>
            <w:tcBorders>
              <w:top w:val="single" w:sz="4" w:space="0" w:color="FFFFFF" w:themeColor="background1"/>
              <w:right w:val="single" w:sz="4" w:space="0" w:color="FFFFFF" w:themeColor="background1"/>
            </w:tcBorders>
            <w:noWrap/>
            <w:vAlign w:val="center"/>
            <w:hideMark/>
          </w:tcPr>
          <w:p w14:paraId="33910CE4" w14:textId="77777777" w:rsidR="00EE476E" w:rsidRPr="00EE476E" w:rsidRDefault="00EE476E" w:rsidP="00EE476E">
            <w:pPr>
              <w:jc w:val="center"/>
              <w:rPr>
                <w:rFonts w:ascii="Times New Roman" w:hAnsi="Times New Roman" w:cs="Times New Roman"/>
                <w:sz w:val="24"/>
                <w:szCs w:val="24"/>
              </w:rPr>
            </w:pPr>
            <w:r w:rsidRPr="00EE476E">
              <w:rPr>
                <w:rFonts w:ascii="Times New Roman" w:hAnsi="Times New Roman" w:cs="Times New Roman"/>
                <w:sz w:val="24"/>
                <w:szCs w:val="24"/>
              </w:rPr>
              <w:t>7079</w:t>
            </w:r>
          </w:p>
        </w:tc>
        <w:tc>
          <w:tcPr>
            <w:tcW w:w="43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5EA845C4" w14:textId="77777777" w:rsidR="00EE476E" w:rsidRPr="00EE476E" w:rsidRDefault="00EE476E" w:rsidP="00EE476E">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ИПА 2019-Конкурентност и иновације</w:t>
            </w:r>
          </w:p>
        </w:tc>
        <w:tc>
          <w:tcPr>
            <w:tcW w:w="148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hideMark/>
          </w:tcPr>
          <w:p w14:paraId="78896038"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w:t>
            </w:r>
          </w:p>
        </w:tc>
        <w:tc>
          <w:tcPr>
            <w:tcW w:w="15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493D3363" w14:textId="54D4EE2F" w:rsidR="00EE476E" w:rsidRPr="00EE476E" w:rsidRDefault="008B15A7" w:rsidP="00EE476E">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8B15A7">
              <w:rPr>
                <w:rFonts w:ascii="Times New Roman" w:hAnsi="Times New Roman" w:cs="Times New Roman"/>
                <w:bCs/>
                <w:sz w:val="24"/>
                <w:szCs w:val="24"/>
              </w:rPr>
              <w:t>420.000.000</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4BE93E4C"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420.000.000</w:t>
            </w:r>
          </w:p>
        </w:tc>
        <w:tc>
          <w:tcPr>
            <w:tcW w:w="141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noWrap/>
            <w:hideMark/>
          </w:tcPr>
          <w:p w14:paraId="4E07C193" w14:textId="77777777" w:rsidR="00EE476E" w:rsidRPr="00EE476E" w:rsidRDefault="00EE476E" w:rsidP="00EE476E">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EE476E">
              <w:rPr>
                <w:rFonts w:ascii="Times New Roman" w:hAnsi="Times New Roman" w:cs="Times New Roman"/>
                <w:bCs/>
                <w:sz w:val="24"/>
                <w:szCs w:val="24"/>
              </w:rPr>
              <w:t>420.000.000</w:t>
            </w:r>
          </w:p>
        </w:tc>
      </w:tr>
    </w:tbl>
    <w:p w14:paraId="222591E7" w14:textId="77777777" w:rsidR="0072171E" w:rsidRPr="00F550F7" w:rsidRDefault="0072171E" w:rsidP="0072171E">
      <w:pPr>
        <w:jc w:val="both"/>
        <w:rPr>
          <w:rFonts w:ascii="Times New Roman" w:hAnsi="Times New Roman" w:cs="Times New Roman"/>
          <w:sz w:val="24"/>
          <w:szCs w:val="24"/>
        </w:rPr>
      </w:pPr>
    </w:p>
    <w:p w14:paraId="165B0FC8" w14:textId="56F828D9" w:rsidR="00BB3401" w:rsidRPr="00F550F7" w:rsidRDefault="00294A2A" w:rsidP="00AB3493">
      <w:pPr>
        <w:ind w:firstLine="720"/>
        <w:jc w:val="both"/>
        <w:rPr>
          <w:rFonts w:ascii="Times New Roman" w:hAnsi="Times New Roman" w:cs="Times New Roman"/>
          <w:sz w:val="24"/>
          <w:szCs w:val="24"/>
        </w:rPr>
      </w:pPr>
      <w:r>
        <w:rPr>
          <w:rFonts w:ascii="Times New Roman" w:hAnsi="Times New Roman" w:cs="Times New Roman"/>
          <w:sz w:val="24"/>
          <w:szCs w:val="24"/>
        </w:rPr>
        <w:t>Уз средст</w:t>
      </w:r>
      <w:r w:rsidR="00BB3401" w:rsidRPr="008A77C1">
        <w:rPr>
          <w:rFonts w:ascii="Times New Roman" w:hAnsi="Times New Roman" w:cs="Times New Roman"/>
          <w:sz w:val="24"/>
          <w:szCs w:val="24"/>
        </w:rPr>
        <w:t>ва одобрена из буџета, планирана су и средства по основу Споразума о зајму (Пројекат акцелерације иновација и подстицања раста предузетништва у Републици Србији) потписаног између Републике Србије и Међународне банке за обнову и разво</w:t>
      </w:r>
      <w:r w:rsidR="00342F9E">
        <w:rPr>
          <w:rFonts w:ascii="Times New Roman" w:hAnsi="Times New Roman" w:cs="Times New Roman"/>
          <w:sz w:val="24"/>
          <w:szCs w:val="24"/>
        </w:rPr>
        <w:t>ј</w:t>
      </w:r>
      <w:r w:rsidR="00BB3401" w:rsidRPr="008A77C1">
        <w:rPr>
          <w:rFonts w:ascii="Times New Roman" w:hAnsi="Times New Roman" w:cs="Times New Roman"/>
          <w:sz w:val="24"/>
          <w:szCs w:val="24"/>
        </w:rPr>
        <w:t xml:space="preserve">, (број </w:t>
      </w:r>
      <w:r w:rsidR="002B79B7">
        <w:rPr>
          <w:rFonts w:ascii="Times New Roman" w:hAnsi="Times New Roman" w:cs="Times New Roman"/>
          <w:sz w:val="24"/>
          <w:szCs w:val="24"/>
        </w:rPr>
        <w:t>I</w:t>
      </w:r>
      <w:r w:rsidR="00BB3401" w:rsidRPr="008A77C1">
        <w:rPr>
          <w:rFonts w:ascii="Times New Roman" w:hAnsi="Times New Roman" w:cs="Times New Roman"/>
          <w:sz w:val="24"/>
          <w:szCs w:val="24"/>
        </w:rPr>
        <w:t>B</w:t>
      </w:r>
      <w:r w:rsidR="002B79B7">
        <w:rPr>
          <w:rFonts w:ascii="Times New Roman" w:hAnsi="Times New Roman" w:cs="Times New Roman"/>
          <w:sz w:val="24"/>
          <w:szCs w:val="24"/>
        </w:rPr>
        <w:t>R</w:t>
      </w:r>
      <w:r w:rsidR="00BB3401" w:rsidRPr="008A77C1">
        <w:rPr>
          <w:rFonts w:ascii="Times New Roman" w:hAnsi="Times New Roman" w:cs="Times New Roman"/>
          <w:sz w:val="24"/>
          <w:szCs w:val="24"/>
        </w:rPr>
        <w:t>D 90290Y</w:t>
      </w:r>
      <w:r w:rsidR="002B79B7">
        <w:rPr>
          <w:rFonts w:ascii="Times New Roman" w:hAnsi="Times New Roman" w:cs="Times New Roman"/>
          <w:sz w:val="24"/>
          <w:szCs w:val="24"/>
        </w:rPr>
        <w:t>F</w:t>
      </w:r>
      <w:r w:rsidR="00BB3401" w:rsidRPr="008A77C1">
        <w:rPr>
          <w:rFonts w:ascii="Times New Roman" w:hAnsi="Times New Roman" w:cs="Times New Roman"/>
          <w:sz w:val="24"/>
          <w:szCs w:val="24"/>
        </w:rPr>
        <w:t>), у складу са Законом о потврђивању Споразума о зајму („Службени гласник РС - М</w:t>
      </w:r>
      <w:r w:rsidR="008A77C1">
        <w:rPr>
          <w:rFonts w:ascii="Times New Roman" w:hAnsi="Times New Roman" w:cs="Times New Roman"/>
          <w:sz w:val="24"/>
          <w:szCs w:val="24"/>
        </w:rPr>
        <w:t>еђународни уговори”, број 3/20)</w:t>
      </w:r>
      <w:r w:rsidR="00BB3401" w:rsidRPr="008A77C1">
        <w:rPr>
          <w:rFonts w:ascii="Times New Roman" w:hAnsi="Times New Roman" w:cs="Times New Roman"/>
          <w:sz w:val="24"/>
          <w:szCs w:val="24"/>
        </w:rPr>
        <w:t xml:space="preserve"> и осталих извора.</w:t>
      </w:r>
    </w:p>
    <w:p w14:paraId="3E791C5C" w14:textId="03B6C06F" w:rsidR="0072171E" w:rsidRPr="00F550F7" w:rsidRDefault="0072171E" w:rsidP="0072171E">
      <w:pPr>
        <w:ind w:firstLine="720"/>
        <w:jc w:val="both"/>
        <w:rPr>
          <w:rFonts w:ascii="Times New Roman" w:hAnsi="Times New Roman" w:cs="Times New Roman"/>
          <w:sz w:val="24"/>
          <w:szCs w:val="24"/>
        </w:rPr>
      </w:pPr>
      <w:r w:rsidRPr="00F550F7">
        <w:rPr>
          <w:rFonts w:ascii="Times New Roman" w:hAnsi="Times New Roman" w:cs="Times New Roman"/>
          <w:sz w:val="24"/>
          <w:szCs w:val="24"/>
        </w:rPr>
        <w:t>Подршка реализацији интереса у иновационој делатности</w:t>
      </w:r>
      <w:r w:rsidR="00DB3406">
        <w:rPr>
          <w:rFonts w:ascii="Times New Roman" w:hAnsi="Times New Roman" w:cs="Times New Roman"/>
          <w:sz w:val="24"/>
          <w:szCs w:val="24"/>
        </w:rPr>
        <w:t xml:space="preserve"> </w:t>
      </w:r>
      <w:r w:rsidRPr="00F550F7">
        <w:rPr>
          <w:rFonts w:ascii="Times New Roman" w:hAnsi="Times New Roman" w:cs="Times New Roman"/>
          <w:sz w:val="24"/>
          <w:szCs w:val="24"/>
        </w:rPr>
        <w:t>реализује из разлога поспешивања иновационе делатности, са циљем примене научних сазнања, техничких и технолошких знања, инвентивности и проналазаштва, у функцији стварања и реализације, у односу на постојећу техничко-технолошку основу, нових и побољшаних производа, процеса и услуга, као покретача развоја Републике Србије. Кроз</w:t>
      </w:r>
      <w:r w:rsidR="00AB3493" w:rsidRPr="00F550F7">
        <w:rPr>
          <w:rFonts w:ascii="Times New Roman" w:hAnsi="Times New Roman" w:cs="Times New Roman"/>
          <w:sz w:val="24"/>
          <w:szCs w:val="24"/>
        </w:rPr>
        <w:t xml:space="preserve"> ову</w:t>
      </w:r>
      <w:r w:rsidRPr="00F550F7">
        <w:rPr>
          <w:rFonts w:ascii="Times New Roman" w:hAnsi="Times New Roman" w:cs="Times New Roman"/>
          <w:sz w:val="24"/>
          <w:szCs w:val="24"/>
        </w:rPr>
        <w:t xml:space="preserve"> програмску активност се врши финансирање програма трансфера знања и технологија и подстицање примене резултата научноистраживачког рада, а који доприносе реализацији иновационе политике, подстичу технопредузетништво, трансфер знања и технологија у привреду, развој и унапређење иновационог система у Републици Србији. Програмска активност се реализује у циљу пружања подршке развоју или значајној измени постојећих иновативних производа, технологија, процеса и услуга, ради подстицања примене и комерцијализације научноистраживачких резултата, као и пружање подршке коришћењу савремених технологија и изградњи иновационих организација за инфраструктурну подршку иновационој делатности. У циљу повећања применљивости резултата истраживања овом програмском активношћу се подржава формирање, развој и рад нових, малих и средњих иновативних предузећа, који треба да створе оптималне услове за рад новоформираних предузећа у фази инкубације и научно технолошких паркова који треба да обезбеде оптималне услове за рад пословних инкубатора, истраживачко развојних центара, развојно производних центара, иновативних предузећа и др.</w:t>
      </w:r>
    </w:p>
    <w:p w14:paraId="4741D1CF" w14:textId="092CE7DE" w:rsidR="0072171E" w:rsidRPr="00F550F7" w:rsidRDefault="008A77C1" w:rsidP="0072171E">
      <w:pPr>
        <w:ind w:firstLine="720"/>
        <w:jc w:val="both"/>
        <w:rPr>
          <w:rFonts w:ascii="Times New Roman" w:hAnsi="Times New Roman" w:cs="Times New Roman"/>
          <w:sz w:val="24"/>
          <w:szCs w:val="24"/>
        </w:rPr>
      </w:pPr>
      <w:r>
        <w:rPr>
          <w:rFonts w:ascii="Times New Roman" w:hAnsi="Times New Roman" w:cs="Times New Roman"/>
          <w:sz w:val="24"/>
          <w:szCs w:val="24"/>
        </w:rPr>
        <w:t xml:space="preserve">Програмска активност </w:t>
      </w:r>
      <w:r w:rsidR="0072171E" w:rsidRPr="008A77C1">
        <w:rPr>
          <w:rFonts w:ascii="Times New Roman" w:hAnsi="Times New Roman" w:cs="Times New Roman"/>
          <w:i/>
          <w:sz w:val="24"/>
          <w:szCs w:val="24"/>
        </w:rPr>
        <w:t>Подршка раду Фонду за иновациону делатност</w:t>
      </w:r>
      <w:r w:rsidR="00A92E47">
        <w:rPr>
          <w:rFonts w:ascii="Times New Roman" w:hAnsi="Times New Roman" w:cs="Times New Roman"/>
          <w:i/>
          <w:sz w:val="24"/>
          <w:szCs w:val="24"/>
        </w:rPr>
        <w:t xml:space="preserve"> </w:t>
      </w:r>
      <w:r>
        <w:rPr>
          <w:rFonts w:ascii="Times New Roman" w:hAnsi="Times New Roman" w:cs="Times New Roman"/>
          <w:sz w:val="24"/>
          <w:szCs w:val="24"/>
        </w:rPr>
        <w:t>односи се на</w:t>
      </w:r>
      <w:r w:rsidR="0072171E" w:rsidRPr="00F550F7">
        <w:rPr>
          <w:rFonts w:ascii="Times New Roman" w:hAnsi="Times New Roman" w:cs="Times New Roman"/>
          <w:sz w:val="24"/>
          <w:szCs w:val="24"/>
        </w:rPr>
        <w:t xml:space="preserve"> припреме, реализације и развоја програма, пројеката и других активности у области спровођења иновационе политике</w:t>
      </w:r>
      <w:r>
        <w:rPr>
          <w:rFonts w:ascii="Times New Roman" w:hAnsi="Times New Roman" w:cs="Times New Roman"/>
          <w:sz w:val="24"/>
          <w:szCs w:val="24"/>
        </w:rPr>
        <w:t>,</w:t>
      </w:r>
      <w:r w:rsidR="0072171E" w:rsidRPr="00F550F7">
        <w:rPr>
          <w:rFonts w:ascii="Times New Roman" w:hAnsi="Times New Roman" w:cs="Times New Roman"/>
          <w:sz w:val="24"/>
          <w:szCs w:val="24"/>
        </w:rPr>
        <w:t xml:space="preserve"> а посебно стручних и других послова у вези са прибављањем средстава Фонда</w:t>
      </w:r>
      <w:r>
        <w:rPr>
          <w:rFonts w:ascii="Times New Roman" w:hAnsi="Times New Roman" w:cs="Times New Roman"/>
          <w:sz w:val="24"/>
          <w:szCs w:val="24"/>
        </w:rPr>
        <w:t xml:space="preserve"> за иновациону делатност</w:t>
      </w:r>
      <w:r w:rsidR="0072171E" w:rsidRPr="00F550F7">
        <w:rPr>
          <w:rFonts w:ascii="Times New Roman" w:hAnsi="Times New Roman" w:cs="Times New Roman"/>
          <w:sz w:val="24"/>
          <w:szCs w:val="24"/>
        </w:rPr>
        <w:t>; управљања тим средствима и њиховим коришћењем; подстицања, успостављања и остваривања сарадње са међународним финансијским институцијама; посредовања у вези финансирања иновационе делатности из средстава међународних организација и финансијских институција.</w:t>
      </w:r>
    </w:p>
    <w:p w14:paraId="431ACA9D" w14:textId="77777777" w:rsidR="00120227" w:rsidRPr="008A77C1" w:rsidRDefault="008A77C1" w:rsidP="00F450FD">
      <w:pPr>
        <w:ind w:firstLine="720"/>
        <w:jc w:val="both"/>
        <w:rPr>
          <w:rFonts w:ascii="Times New Roman" w:hAnsi="Times New Roman" w:cs="Times New Roman"/>
          <w:sz w:val="24"/>
          <w:szCs w:val="24"/>
        </w:rPr>
      </w:pPr>
      <w:r w:rsidRPr="008A77C1">
        <w:rPr>
          <w:rFonts w:ascii="Times New Roman" w:hAnsi="Times New Roman" w:cs="Times New Roman"/>
          <w:sz w:val="24"/>
          <w:szCs w:val="24"/>
        </w:rPr>
        <w:t xml:space="preserve">Програмска активност </w:t>
      </w:r>
      <w:r w:rsidR="00654A31" w:rsidRPr="008A77C1">
        <w:rPr>
          <w:rFonts w:ascii="Times New Roman" w:hAnsi="Times New Roman" w:cs="Times New Roman"/>
          <w:i/>
          <w:sz w:val="24"/>
          <w:szCs w:val="24"/>
        </w:rPr>
        <w:t>Подршка раду Научно-технолошког парка Београд</w:t>
      </w:r>
      <w:r w:rsidR="00654A31" w:rsidRPr="008A77C1">
        <w:rPr>
          <w:rFonts w:ascii="Times New Roman" w:hAnsi="Times New Roman" w:cs="Times New Roman"/>
          <w:sz w:val="24"/>
          <w:szCs w:val="24"/>
        </w:rPr>
        <w:t xml:space="preserve"> као прво</w:t>
      </w:r>
      <w:r w:rsidR="00AB3493" w:rsidRPr="008A77C1">
        <w:rPr>
          <w:rFonts w:ascii="Times New Roman" w:hAnsi="Times New Roman" w:cs="Times New Roman"/>
          <w:sz w:val="24"/>
          <w:szCs w:val="24"/>
        </w:rPr>
        <w:t>м</w:t>
      </w:r>
      <w:r w:rsidR="00654A31" w:rsidRPr="008A77C1">
        <w:rPr>
          <w:rFonts w:ascii="Times New Roman" w:hAnsi="Times New Roman" w:cs="Times New Roman"/>
          <w:sz w:val="24"/>
          <w:szCs w:val="24"/>
        </w:rPr>
        <w:t xml:space="preserve"> функционално</w:t>
      </w:r>
      <w:r w:rsidR="00AB3493" w:rsidRPr="008A77C1">
        <w:rPr>
          <w:rFonts w:ascii="Times New Roman" w:hAnsi="Times New Roman" w:cs="Times New Roman"/>
          <w:sz w:val="24"/>
          <w:szCs w:val="24"/>
        </w:rPr>
        <w:t>м</w:t>
      </w:r>
      <w:r w:rsidR="00654A31" w:rsidRPr="008A77C1">
        <w:rPr>
          <w:rFonts w:ascii="Times New Roman" w:hAnsi="Times New Roman" w:cs="Times New Roman"/>
          <w:sz w:val="24"/>
          <w:szCs w:val="24"/>
        </w:rPr>
        <w:t xml:space="preserve"> научнотехнолошко</w:t>
      </w:r>
      <w:r w:rsidR="00AB3493" w:rsidRPr="008A77C1">
        <w:rPr>
          <w:rFonts w:ascii="Times New Roman" w:hAnsi="Times New Roman" w:cs="Times New Roman"/>
          <w:sz w:val="24"/>
          <w:szCs w:val="24"/>
        </w:rPr>
        <w:t>м</w:t>
      </w:r>
      <w:r w:rsidR="00654A31" w:rsidRPr="008A77C1">
        <w:rPr>
          <w:rFonts w:ascii="Times New Roman" w:hAnsi="Times New Roman" w:cs="Times New Roman"/>
          <w:sz w:val="24"/>
          <w:szCs w:val="24"/>
        </w:rPr>
        <w:t xml:space="preserve"> парк</w:t>
      </w:r>
      <w:r w:rsidR="00AB3493" w:rsidRPr="008A77C1">
        <w:rPr>
          <w:rFonts w:ascii="Times New Roman" w:hAnsi="Times New Roman" w:cs="Times New Roman"/>
          <w:sz w:val="24"/>
          <w:szCs w:val="24"/>
        </w:rPr>
        <w:t>у</w:t>
      </w:r>
      <w:r w:rsidR="00654A31" w:rsidRPr="008A77C1">
        <w:rPr>
          <w:rFonts w:ascii="Times New Roman" w:hAnsi="Times New Roman" w:cs="Times New Roman"/>
          <w:sz w:val="24"/>
          <w:szCs w:val="24"/>
        </w:rPr>
        <w:t xml:space="preserve"> у Србији усмерена је ка убрзано</w:t>
      </w:r>
      <w:r w:rsidR="00AB3493" w:rsidRPr="008A77C1">
        <w:rPr>
          <w:rFonts w:ascii="Times New Roman" w:hAnsi="Times New Roman" w:cs="Times New Roman"/>
          <w:sz w:val="24"/>
          <w:szCs w:val="24"/>
        </w:rPr>
        <w:t>м</w:t>
      </w:r>
      <w:r w:rsidR="00654A31" w:rsidRPr="008A77C1">
        <w:rPr>
          <w:rFonts w:ascii="Times New Roman" w:hAnsi="Times New Roman" w:cs="Times New Roman"/>
          <w:sz w:val="24"/>
          <w:szCs w:val="24"/>
        </w:rPr>
        <w:t xml:space="preserve"> технолошко</w:t>
      </w:r>
      <w:r w:rsidR="00AB3493" w:rsidRPr="008A77C1">
        <w:rPr>
          <w:rFonts w:ascii="Times New Roman" w:hAnsi="Times New Roman" w:cs="Times New Roman"/>
          <w:sz w:val="24"/>
          <w:szCs w:val="24"/>
        </w:rPr>
        <w:t>м</w:t>
      </w:r>
      <w:r w:rsidR="00654A31" w:rsidRPr="008A77C1">
        <w:rPr>
          <w:rFonts w:ascii="Times New Roman" w:hAnsi="Times New Roman" w:cs="Times New Roman"/>
          <w:sz w:val="24"/>
          <w:szCs w:val="24"/>
        </w:rPr>
        <w:t xml:space="preserve"> развој</w:t>
      </w:r>
      <w:r w:rsidR="00AB3493" w:rsidRPr="008A77C1">
        <w:rPr>
          <w:rFonts w:ascii="Times New Roman" w:hAnsi="Times New Roman" w:cs="Times New Roman"/>
          <w:sz w:val="24"/>
          <w:szCs w:val="24"/>
        </w:rPr>
        <w:t xml:space="preserve">у </w:t>
      </w:r>
      <w:r w:rsidR="00654A31" w:rsidRPr="008A77C1">
        <w:rPr>
          <w:rFonts w:ascii="Times New Roman" w:hAnsi="Times New Roman" w:cs="Times New Roman"/>
          <w:sz w:val="24"/>
          <w:szCs w:val="24"/>
        </w:rPr>
        <w:t>земље, а у складу са добром међународном праксом. НТП Београд има улогу да привуче иновативне, технолошко развојне компаније (домаће и стране) и створи услове за развој економије засноване на знању, тј. комерцијализацију иновација насталих у процесу истраживања и развоја, и на тај начин поспеши извоз производа и услуга са додатном вредношћу и самим тим ојача конкуретнску позицију наше привреде.</w:t>
      </w:r>
    </w:p>
    <w:p w14:paraId="75DBCFC2" w14:textId="1DF06C51" w:rsidR="0072171E" w:rsidRPr="008A77C1" w:rsidRDefault="008A77C1" w:rsidP="008A77C1">
      <w:pPr>
        <w:ind w:firstLine="720"/>
        <w:jc w:val="both"/>
        <w:rPr>
          <w:rFonts w:ascii="Times New Roman" w:hAnsi="Times New Roman" w:cs="Times New Roman"/>
          <w:sz w:val="24"/>
          <w:szCs w:val="24"/>
        </w:rPr>
      </w:pPr>
      <w:r w:rsidRPr="008A77C1">
        <w:rPr>
          <w:rFonts w:ascii="Times New Roman" w:hAnsi="Times New Roman" w:cs="Times New Roman"/>
          <w:sz w:val="24"/>
          <w:szCs w:val="24"/>
        </w:rPr>
        <w:t>Кроз програмску активност</w:t>
      </w:r>
      <w:r w:rsidR="00CF3587">
        <w:rPr>
          <w:rFonts w:ascii="Times New Roman" w:hAnsi="Times New Roman" w:cs="Times New Roman"/>
          <w:sz w:val="24"/>
          <w:szCs w:val="24"/>
        </w:rPr>
        <w:t xml:space="preserve"> </w:t>
      </w:r>
      <w:r w:rsidRPr="008A77C1">
        <w:rPr>
          <w:rFonts w:ascii="Times New Roman" w:hAnsi="Times New Roman" w:cs="Times New Roman"/>
          <w:i/>
          <w:sz w:val="24"/>
          <w:szCs w:val="24"/>
        </w:rPr>
        <w:t>П</w:t>
      </w:r>
      <w:r w:rsidR="00654A31" w:rsidRPr="008A77C1">
        <w:rPr>
          <w:rFonts w:ascii="Times New Roman" w:hAnsi="Times New Roman" w:cs="Times New Roman"/>
          <w:i/>
          <w:sz w:val="24"/>
          <w:szCs w:val="24"/>
        </w:rPr>
        <w:t>одршка раду Фонда за науку</w:t>
      </w:r>
      <w:r w:rsidR="00CF3587">
        <w:rPr>
          <w:rFonts w:ascii="Times New Roman" w:hAnsi="Times New Roman" w:cs="Times New Roman"/>
          <w:i/>
          <w:sz w:val="24"/>
          <w:szCs w:val="24"/>
        </w:rPr>
        <w:t xml:space="preserve"> </w:t>
      </w:r>
      <w:r w:rsidRPr="008A77C1">
        <w:rPr>
          <w:rFonts w:ascii="Times New Roman" w:hAnsi="Times New Roman" w:cs="Times New Roman"/>
          <w:sz w:val="24"/>
          <w:szCs w:val="24"/>
        </w:rPr>
        <w:t>спроводи</w:t>
      </w:r>
      <w:r w:rsidR="00654A31" w:rsidRPr="008A77C1">
        <w:rPr>
          <w:rFonts w:ascii="Times New Roman" w:hAnsi="Times New Roman" w:cs="Times New Roman"/>
          <w:sz w:val="24"/>
          <w:szCs w:val="24"/>
        </w:rPr>
        <w:t xml:space="preserve"> се финансирање научноистраживачких програма кроз успостављен нов административни и компетитивни систем финансирања научних пројеката. Фонд подржава истраживачке и развојне пројекте кроз научну и технолошку сарадњу.</w:t>
      </w:r>
    </w:p>
    <w:p w14:paraId="0CBE46CE" w14:textId="77777777" w:rsidR="008C03BE" w:rsidRDefault="008C03BE">
      <w:pPr>
        <w:ind w:left="720"/>
        <w:jc w:val="both"/>
        <w:rPr>
          <w:rFonts w:ascii="Times New Roman" w:hAnsi="Times New Roman" w:cs="Times New Roman"/>
          <w:sz w:val="24"/>
          <w:szCs w:val="24"/>
        </w:rPr>
      </w:pPr>
    </w:p>
    <w:p w14:paraId="3C5CDE83" w14:textId="77777777" w:rsidR="008C03BE" w:rsidRPr="00F550F7" w:rsidRDefault="004A2E90">
      <w:pPr>
        <w:ind w:left="720"/>
        <w:jc w:val="center"/>
        <w:rPr>
          <w:rFonts w:ascii="Times New Roman" w:hAnsi="Times New Roman" w:cs="Times New Roman"/>
          <w:b/>
          <w:sz w:val="24"/>
          <w:szCs w:val="24"/>
          <w:u w:val="single"/>
        </w:rPr>
      </w:pPr>
      <w:r w:rsidRPr="00F550F7">
        <w:rPr>
          <w:rFonts w:ascii="Times New Roman" w:hAnsi="Times New Roman" w:cs="Times New Roman"/>
          <w:b/>
          <w:sz w:val="24"/>
          <w:szCs w:val="24"/>
          <w:u w:val="single"/>
        </w:rPr>
        <w:t>Кључна питања за анализу економских ефеката</w:t>
      </w:r>
    </w:p>
    <w:p w14:paraId="51D11B22" w14:textId="77777777" w:rsidR="008C03BE" w:rsidRPr="00F550F7" w:rsidRDefault="008C03BE">
      <w:pPr>
        <w:ind w:left="720"/>
        <w:jc w:val="both"/>
        <w:rPr>
          <w:rFonts w:ascii="Times New Roman" w:hAnsi="Times New Roman" w:cs="Times New Roman"/>
          <w:sz w:val="24"/>
          <w:szCs w:val="24"/>
        </w:rPr>
      </w:pPr>
    </w:p>
    <w:p w14:paraId="5E0AD57F" w14:textId="2073D0FB" w:rsidR="008C03BE" w:rsidRPr="005D7AB9" w:rsidRDefault="00074960" w:rsidP="00074960">
      <w:pPr>
        <w:numPr>
          <w:ilvl w:val="0"/>
          <w:numId w:val="3"/>
        </w:numPr>
        <w:jc w:val="both"/>
        <w:rPr>
          <w:rFonts w:ascii="Times New Roman" w:hAnsi="Times New Roman" w:cs="Times New Roman"/>
          <w:sz w:val="24"/>
          <w:szCs w:val="24"/>
        </w:rPr>
      </w:pPr>
      <w:r w:rsidRPr="008A77C1">
        <w:rPr>
          <w:rFonts w:ascii="Times New Roman" w:hAnsi="Times New Roman" w:cs="Times New Roman"/>
          <w:b/>
          <w:sz w:val="24"/>
          <w:szCs w:val="24"/>
        </w:rPr>
        <w:t>Које тр</w:t>
      </w:r>
      <w:r w:rsidR="004A2E90" w:rsidRPr="008A77C1">
        <w:rPr>
          <w:rFonts w:ascii="Times New Roman" w:hAnsi="Times New Roman" w:cs="Times New Roman"/>
          <w:b/>
          <w:sz w:val="24"/>
          <w:szCs w:val="24"/>
        </w:rPr>
        <w:t>ошкове и користи (материјалне и нематеријалне) ће изабрана опција проузроковати привреди, поједино</w:t>
      </w:r>
      <w:r w:rsidR="000F7BC1" w:rsidRPr="008A77C1">
        <w:rPr>
          <w:rFonts w:ascii="Times New Roman" w:hAnsi="Times New Roman" w:cs="Times New Roman"/>
          <w:b/>
          <w:sz w:val="24"/>
          <w:szCs w:val="24"/>
        </w:rPr>
        <w:t>ј</w:t>
      </w:r>
      <w:r w:rsidR="004A2E90" w:rsidRPr="008A77C1">
        <w:rPr>
          <w:rFonts w:ascii="Times New Roman" w:hAnsi="Times New Roman" w:cs="Times New Roman"/>
          <w:b/>
          <w:sz w:val="24"/>
          <w:szCs w:val="24"/>
        </w:rPr>
        <w:t xml:space="preserve"> грани, односно одређеној категорији привредних субјеката?</w:t>
      </w:r>
      <w:r w:rsidR="00CF3587">
        <w:rPr>
          <w:rFonts w:ascii="Times New Roman" w:hAnsi="Times New Roman" w:cs="Times New Roman"/>
          <w:b/>
          <w:sz w:val="24"/>
          <w:szCs w:val="24"/>
        </w:rPr>
        <w:t xml:space="preserve"> </w:t>
      </w:r>
      <w:r w:rsidR="004A2E90" w:rsidRPr="008A77C1">
        <w:rPr>
          <w:rFonts w:ascii="Times New Roman" w:hAnsi="Times New Roman" w:cs="Times New Roman"/>
          <w:b/>
          <w:sz w:val="24"/>
          <w:szCs w:val="24"/>
        </w:rPr>
        <w:t>Да ли изабрана опција утиче на конкурентност привредних субјеката на домаћем и иностраном тржишту (укључујући и ефекте на конкурентост цена) и на који начин?</w:t>
      </w:r>
      <w:r w:rsidRPr="008A77C1">
        <w:rPr>
          <w:rFonts w:ascii="Times New Roman" w:hAnsi="Times New Roman" w:cs="Times New Roman"/>
          <w:b/>
          <w:sz w:val="24"/>
          <w:szCs w:val="24"/>
        </w:rPr>
        <w:t xml:space="preserve"> Да ли изабране опције утичу на услове конкуренције и на који начин? Какве ће ефекте изабрана опција имати на квалитет и статус радне снаге (права, обавезе и одговорности), као и права, обавезе и одговорности послодавца?</w:t>
      </w:r>
    </w:p>
    <w:p w14:paraId="60AD436C" w14:textId="77777777" w:rsidR="005D7AB9" w:rsidRPr="008A77C1" w:rsidRDefault="005D7AB9" w:rsidP="005D7AB9">
      <w:pPr>
        <w:ind w:left="720"/>
        <w:jc w:val="both"/>
        <w:rPr>
          <w:rFonts w:ascii="Times New Roman" w:hAnsi="Times New Roman" w:cs="Times New Roman"/>
          <w:sz w:val="24"/>
          <w:szCs w:val="24"/>
        </w:rPr>
      </w:pPr>
    </w:p>
    <w:p w14:paraId="720081B7" w14:textId="55564F1F" w:rsidR="002E411B" w:rsidRPr="00F550F7" w:rsidRDefault="003F127F" w:rsidP="00074960">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Увођењем јединственог регистра </w:t>
      </w:r>
      <w:r w:rsidR="00A92E47">
        <w:rPr>
          <w:rFonts w:ascii="Times New Roman" w:hAnsi="Times New Roman" w:cs="Times New Roman"/>
          <w:sz w:val="24"/>
          <w:szCs w:val="24"/>
          <w:lang w:val="sr-Cyrl-RS"/>
        </w:rPr>
        <w:t xml:space="preserve">субјеката </w:t>
      </w:r>
      <w:r w:rsidRPr="00F550F7">
        <w:rPr>
          <w:rFonts w:ascii="Times New Roman" w:hAnsi="Times New Roman" w:cs="Times New Roman"/>
          <w:sz w:val="24"/>
          <w:szCs w:val="24"/>
        </w:rPr>
        <w:t>националног иновационог система отвара се прилика свим субјектима националног иновационог система да се на добровољној основи у њега упишу што ће омогућити да се без додатних процедура легитимишу пред државним органима (и другим субјектима – пре свега инвеститорима). У следећем кораку ће надлежни органи Републике Србије, аутономне покрајине или јединице локалне самоуправе, као и свако правно лице које управља и/или располаже јавним средствима, моћи да искористи податке из предметног регистра како би се на једноставан начин подржали субјекте националног иновационог система, укључујући стартапе.</w:t>
      </w:r>
    </w:p>
    <w:p w14:paraId="187D3082" w14:textId="77777777" w:rsidR="003F127F" w:rsidRPr="00F550F7" w:rsidRDefault="002E411B" w:rsidP="00074960">
      <w:pPr>
        <w:ind w:firstLine="720"/>
        <w:jc w:val="both"/>
        <w:rPr>
          <w:rFonts w:ascii="Times New Roman" w:hAnsi="Times New Roman" w:cs="Times New Roman"/>
          <w:sz w:val="24"/>
          <w:szCs w:val="24"/>
        </w:rPr>
      </w:pPr>
      <w:r w:rsidRPr="0023002B">
        <w:rPr>
          <w:rFonts w:ascii="Times New Roman" w:hAnsi="Times New Roman" w:cs="Times New Roman"/>
          <w:sz w:val="24"/>
          <w:szCs w:val="24"/>
        </w:rPr>
        <w:t>Кроз институционалну и финансијску подршку иновативних компанија и омогућавање сарадње са домаћим институтима и светским стручњацима прошириће се постојећи иновациони потенцијали, што је предуслов за јачање конкурентности српске привреде и постизање високих стопа привредног раста.</w:t>
      </w:r>
    </w:p>
    <w:p w14:paraId="15BABBC7" w14:textId="55D1452B" w:rsidR="008C03BE" w:rsidRPr="00F550F7" w:rsidRDefault="0065412C" w:rsidP="00074960">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Са обзиром на то да нови </w:t>
      </w:r>
      <w:r w:rsidR="009C1CB5">
        <w:rPr>
          <w:rFonts w:ascii="Times New Roman" w:hAnsi="Times New Roman" w:cs="Times New Roman"/>
          <w:sz w:val="24"/>
          <w:szCs w:val="24"/>
          <w:lang w:val="sr-Cyrl-RS"/>
        </w:rPr>
        <w:t>Предлог</w:t>
      </w:r>
      <w:r w:rsidRPr="00F550F7">
        <w:rPr>
          <w:rFonts w:ascii="Times New Roman" w:hAnsi="Times New Roman" w:cs="Times New Roman"/>
          <w:sz w:val="24"/>
          <w:szCs w:val="24"/>
        </w:rPr>
        <w:t xml:space="preserve"> </w:t>
      </w:r>
      <w:r w:rsidR="009C1CB5">
        <w:rPr>
          <w:rFonts w:ascii="Times New Roman" w:hAnsi="Times New Roman" w:cs="Times New Roman"/>
          <w:sz w:val="24"/>
          <w:szCs w:val="24"/>
          <w:lang w:val="sr-Cyrl-RS"/>
        </w:rPr>
        <w:t>з</w:t>
      </w:r>
      <w:r w:rsidRPr="00F550F7">
        <w:rPr>
          <w:rFonts w:ascii="Times New Roman" w:hAnsi="Times New Roman" w:cs="Times New Roman"/>
          <w:sz w:val="24"/>
          <w:szCs w:val="24"/>
        </w:rPr>
        <w:t xml:space="preserve">акона о иновационој делатности уређује иновациону делатност на системски начин на територији Републике Србије не може се рећи да постоји утицај на конкурентност привредних субјеката на домаћем тржишту, будући да они представљају једну целину. Креирање повољног амбијента за развој иновационе делатности у Републици </w:t>
      </w:r>
      <w:r w:rsidR="0023002B">
        <w:rPr>
          <w:rFonts w:ascii="Times New Roman" w:hAnsi="Times New Roman" w:cs="Times New Roman"/>
          <w:sz w:val="24"/>
          <w:szCs w:val="24"/>
        </w:rPr>
        <w:t xml:space="preserve">Србији </w:t>
      </w:r>
      <w:r w:rsidRPr="00F550F7">
        <w:rPr>
          <w:rFonts w:ascii="Times New Roman" w:hAnsi="Times New Roman" w:cs="Times New Roman"/>
          <w:sz w:val="24"/>
          <w:szCs w:val="24"/>
        </w:rPr>
        <w:t xml:space="preserve">као главни циљ новог </w:t>
      </w:r>
      <w:r w:rsidR="009C1CB5">
        <w:rPr>
          <w:rFonts w:ascii="Times New Roman" w:hAnsi="Times New Roman" w:cs="Times New Roman"/>
          <w:sz w:val="24"/>
          <w:szCs w:val="24"/>
          <w:lang w:val="sr-Cyrl-RS"/>
        </w:rPr>
        <w:t>Предлога</w:t>
      </w:r>
      <w:r w:rsidR="009C1CB5" w:rsidRPr="00F550F7">
        <w:rPr>
          <w:rFonts w:ascii="Times New Roman" w:hAnsi="Times New Roman" w:cs="Times New Roman"/>
          <w:sz w:val="24"/>
          <w:szCs w:val="24"/>
        </w:rPr>
        <w:t xml:space="preserve"> </w:t>
      </w:r>
      <w:r w:rsidR="009C1CB5">
        <w:rPr>
          <w:rFonts w:ascii="Times New Roman" w:hAnsi="Times New Roman" w:cs="Times New Roman"/>
          <w:sz w:val="24"/>
          <w:szCs w:val="24"/>
          <w:lang w:val="sr-Cyrl-RS"/>
        </w:rPr>
        <w:t>з</w:t>
      </w:r>
      <w:r w:rsidR="009C1CB5" w:rsidRPr="00F550F7">
        <w:rPr>
          <w:rFonts w:ascii="Times New Roman" w:hAnsi="Times New Roman" w:cs="Times New Roman"/>
          <w:sz w:val="24"/>
          <w:szCs w:val="24"/>
        </w:rPr>
        <w:t xml:space="preserve">акона </w:t>
      </w:r>
      <w:r w:rsidRPr="00F550F7">
        <w:rPr>
          <w:rFonts w:ascii="Times New Roman" w:hAnsi="Times New Roman" w:cs="Times New Roman"/>
          <w:sz w:val="24"/>
          <w:szCs w:val="24"/>
        </w:rPr>
        <w:t xml:space="preserve">за крајњи резултат треба да има подизање конкурентности иновативних привредних субјеката из Републике Србије и отварање могућности за њихово препознавање на иностраном тржишту.  </w:t>
      </w:r>
    </w:p>
    <w:p w14:paraId="37C27EE3" w14:textId="77777777" w:rsidR="004830A0" w:rsidRPr="00F550F7" w:rsidRDefault="004830A0" w:rsidP="00074960">
      <w:pPr>
        <w:ind w:firstLine="720"/>
        <w:jc w:val="both"/>
        <w:rPr>
          <w:rFonts w:ascii="Times New Roman" w:hAnsi="Times New Roman" w:cs="Times New Roman"/>
          <w:sz w:val="24"/>
          <w:szCs w:val="24"/>
        </w:rPr>
      </w:pPr>
      <w:r w:rsidRPr="00F550F7">
        <w:rPr>
          <w:rFonts w:ascii="Times New Roman" w:hAnsi="Times New Roman" w:cs="Times New Roman"/>
          <w:sz w:val="24"/>
          <w:szCs w:val="24"/>
        </w:rPr>
        <w:t>Унапређењем законског оквира у овој области створиће се предуслови за даљи развој финансијских механизама подршке. Континуирана примена механизама за јачање иновационог потенцијала привреде и науке подстиче развој производа и технологија високе додате вредности, који ће бити глобално препознати. Спровођење ових мера допринеће унапређењу конкурентске позиције Републике Србије на европском тржишту.</w:t>
      </w:r>
    </w:p>
    <w:p w14:paraId="3B8A89C8" w14:textId="22ECA9A0" w:rsidR="0065412C" w:rsidRPr="00F550F7" w:rsidRDefault="0065412C" w:rsidP="0065412C">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Креирање повољног амбијента за развој иновационе делатности не може бити ограничена на одређена тржишта </w:t>
      </w:r>
      <w:r w:rsidR="00525FA6" w:rsidRPr="00F550F7">
        <w:rPr>
          <w:rFonts w:ascii="Times New Roman" w:hAnsi="Times New Roman" w:cs="Times New Roman"/>
          <w:sz w:val="24"/>
          <w:szCs w:val="24"/>
        </w:rPr>
        <w:t xml:space="preserve">и специфичне привредне субјекте. У том смислу, </w:t>
      </w:r>
      <w:r w:rsidR="009C1CB5">
        <w:rPr>
          <w:rFonts w:ascii="Times New Roman" w:hAnsi="Times New Roman" w:cs="Times New Roman"/>
          <w:sz w:val="24"/>
          <w:szCs w:val="24"/>
          <w:lang w:val="sr-Cyrl-RS"/>
        </w:rPr>
        <w:t>Предлог</w:t>
      </w:r>
      <w:r w:rsidR="00525FA6" w:rsidRPr="00F550F7">
        <w:rPr>
          <w:rFonts w:ascii="Times New Roman" w:hAnsi="Times New Roman" w:cs="Times New Roman"/>
          <w:sz w:val="24"/>
          <w:szCs w:val="24"/>
        </w:rPr>
        <w:t xml:space="preserve">ом новог Закона о иновационој делатности предвиђено је да се у национални регистар иновационих субјеката може уписати било које правно или физичко лице које се бави иновативном делатношћу. Узимајући наведено у обзир, поштују се принципи слободног тржишта, те се може рећи да </w:t>
      </w:r>
      <w:r w:rsidR="009C1CB5">
        <w:rPr>
          <w:rFonts w:ascii="Times New Roman" w:hAnsi="Times New Roman" w:cs="Times New Roman"/>
          <w:sz w:val="24"/>
          <w:szCs w:val="24"/>
          <w:lang w:val="sr-Cyrl-RS"/>
        </w:rPr>
        <w:t>Предлог</w:t>
      </w:r>
      <w:r w:rsidR="009C1CB5" w:rsidRPr="00F550F7">
        <w:rPr>
          <w:rFonts w:ascii="Times New Roman" w:hAnsi="Times New Roman" w:cs="Times New Roman"/>
          <w:sz w:val="24"/>
          <w:szCs w:val="24"/>
        </w:rPr>
        <w:t xml:space="preserve"> </w:t>
      </w:r>
      <w:r w:rsidR="00525FA6" w:rsidRPr="00F550F7">
        <w:rPr>
          <w:rFonts w:ascii="Times New Roman" w:hAnsi="Times New Roman" w:cs="Times New Roman"/>
          <w:sz w:val="24"/>
          <w:szCs w:val="24"/>
        </w:rPr>
        <w:t xml:space="preserve">новог Закона о иновационој делатности не нарушава </w:t>
      </w:r>
      <w:r w:rsidR="00CF7765" w:rsidRPr="00F550F7">
        <w:rPr>
          <w:rFonts w:ascii="Times New Roman" w:hAnsi="Times New Roman" w:cs="Times New Roman"/>
          <w:sz w:val="24"/>
          <w:szCs w:val="24"/>
        </w:rPr>
        <w:t xml:space="preserve">услове конкуренције у Републици Србији. </w:t>
      </w:r>
    </w:p>
    <w:p w14:paraId="4CD483CA" w14:textId="2B0B78B0" w:rsidR="008C03BE" w:rsidRPr="00F550F7" w:rsidRDefault="003F127F" w:rsidP="003F127F">
      <w:pPr>
        <w:ind w:firstLine="720"/>
        <w:jc w:val="both"/>
        <w:rPr>
          <w:rFonts w:ascii="Times New Roman" w:hAnsi="Times New Roman" w:cs="Times New Roman"/>
          <w:sz w:val="24"/>
          <w:szCs w:val="24"/>
        </w:rPr>
      </w:pPr>
      <w:r w:rsidRPr="00F550F7">
        <w:rPr>
          <w:rFonts w:ascii="Times New Roman" w:hAnsi="Times New Roman" w:cs="Times New Roman"/>
          <w:sz w:val="24"/>
          <w:szCs w:val="24"/>
        </w:rPr>
        <w:t>Свака квалитативна промена која се огледа у развоју иновационе делатности привредних субјеката који се баве иновацијама последично отвара могућности за нова радна места.</w:t>
      </w:r>
      <w:r w:rsidR="00CF3587">
        <w:rPr>
          <w:rFonts w:ascii="Times New Roman" w:hAnsi="Times New Roman" w:cs="Times New Roman"/>
          <w:sz w:val="24"/>
          <w:szCs w:val="24"/>
        </w:rPr>
        <w:t xml:space="preserve"> </w:t>
      </w:r>
      <w:r w:rsidR="009C1CB5">
        <w:rPr>
          <w:rFonts w:ascii="Times New Roman" w:hAnsi="Times New Roman" w:cs="Times New Roman"/>
          <w:sz w:val="24"/>
          <w:szCs w:val="24"/>
          <w:lang w:val="sr-Cyrl-RS"/>
        </w:rPr>
        <w:t>Предлог</w:t>
      </w:r>
      <w:r w:rsidR="009C1CB5" w:rsidRPr="00F550F7">
        <w:rPr>
          <w:rFonts w:ascii="Times New Roman" w:hAnsi="Times New Roman" w:cs="Times New Roman"/>
          <w:sz w:val="24"/>
          <w:szCs w:val="24"/>
        </w:rPr>
        <w:t xml:space="preserve"> </w:t>
      </w:r>
      <w:r w:rsidR="002E411B" w:rsidRPr="00195801">
        <w:rPr>
          <w:rFonts w:ascii="Times New Roman" w:hAnsi="Times New Roman" w:cs="Times New Roman"/>
          <w:sz w:val="24"/>
          <w:szCs w:val="24"/>
        </w:rPr>
        <w:t>новог Закона о иновационој делатности одразиће се и кроз</w:t>
      </w:r>
      <w:r w:rsidR="00E373A6">
        <w:rPr>
          <w:rFonts w:ascii="Times New Roman" w:hAnsi="Times New Roman" w:cs="Times New Roman"/>
          <w:sz w:val="24"/>
          <w:szCs w:val="24"/>
          <w:lang w:val="sr-Cyrl-RS"/>
        </w:rPr>
        <w:t xml:space="preserve"> </w:t>
      </w:r>
      <w:r w:rsidR="002E411B" w:rsidRPr="00195801">
        <w:rPr>
          <w:rFonts w:ascii="Times New Roman" w:hAnsi="Times New Roman" w:cs="Times New Roman"/>
          <w:sz w:val="24"/>
          <w:szCs w:val="24"/>
        </w:rPr>
        <w:t>позитиван ефекат на повећање запослености и то кроз допринос стварању дугорочно одрживих и одговарајуће плаћених висококвалификованих радних места.</w:t>
      </w:r>
    </w:p>
    <w:p w14:paraId="0FD0B6D3" w14:textId="77777777" w:rsidR="008C03BE" w:rsidRPr="00F550F7" w:rsidRDefault="008C03BE">
      <w:pPr>
        <w:ind w:left="720"/>
        <w:jc w:val="both"/>
        <w:rPr>
          <w:rFonts w:ascii="Times New Roman" w:hAnsi="Times New Roman" w:cs="Times New Roman"/>
          <w:sz w:val="24"/>
          <w:szCs w:val="24"/>
        </w:rPr>
      </w:pPr>
    </w:p>
    <w:p w14:paraId="55027958" w14:textId="77777777" w:rsidR="008C03BE" w:rsidRPr="00F550F7" w:rsidRDefault="00327223">
      <w:pPr>
        <w:ind w:left="720"/>
        <w:jc w:val="center"/>
        <w:rPr>
          <w:rFonts w:ascii="Times New Roman" w:hAnsi="Times New Roman" w:cs="Times New Roman"/>
          <w:b/>
          <w:sz w:val="24"/>
          <w:szCs w:val="24"/>
          <w:u w:val="single"/>
        </w:rPr>
      </w:pPr>
      <w:r w:rsidRPr="00F550F7">
        <w:rPr>
          <w:rFonts w:ascii="Times New Roman" w:hAnsi="Times New Roman" w:cs="Times New Roman"/>
          <w:b/>
          <w:sz w:val="24"/>
          <w:szCs w:val="24"/>
          <w:u w:val="single"/>
        </w:rPr>
        <w:t xml:space="preserve">Кључна </w:t>
      </w:r>
      <w:r w:rsidR="004A2E90" w:rsidRPr="00F550F7">
        <w:rPr>
          <w:rFonts w:ascii="Times New Roman" w:hAnsi="Times New Roman" w:cs="Times New Roman"/>
          <w:b/>
          <w:sz w:val="24"/>
          <w:szCs w:val="24"/>
          <w:u w:val="single"/>
        </w:rPr>
        <w:t>питања за анализу ефеката на друштво</w:t>
      </w:r>
    </w:p>
    <w:p w14:paraId="5AF603C0" w14:textId="77777777" w:rsidR="008C03BE" w:rsidRPr="00F550F7" w:rsidRDefault="008C03BE">
      <w:pPr>
        <w:ind w:left="720"/>
        <w:jc w:val="both"/>
        <w:rPr>
          <w:rFonts w:ascii="Times New Roman" w:hAnsi="Times New Roman" w:cs="Times New Roman"/>
          <w:sz w:val="24"/>
          <w:szCs w:val="24"/>
        </w:rPr>
      </w:pPr>
    </w:p>
    <w:p w14:paraId="2AFAD456" w14:textId="77777777" w:rsidR="008C03BE" w:rsidRPr="00195801" w:rsidRDefault="004A2E90">
      <w:pPr>
        <w:numPr>
          <w:ilvl w:val="0"/>
          <w:numId w:val="4"/>
        </w:numPr>
        <w:jc w:val="both"/>
        <w:rPr>
          <w:rFonts w:ascii="Times New Roman" w:hAnsi="Times New Roman" w:cs="Times New Roman"/>
          <w:sz w:val="24"/>
          <w:szCs w:val="24"/>
        </w:rPr>
      </w:pPr>
      <w:r w:rsidRPr="00195801">
        <w:rPr>
          <w:rFonts w:ascii="Times New Roman" w:hAnsi="Times New Roman" w:cs="Times New Roman"/>
          <w:b/>
          <w:sz w:val="24"/>
          <w:szCs w:val="24"/>
        </w:rPr>
        <w:t>Колике трошкове и користи (материјалне и нематеријалне) ће изабрана опција проузроковати грађанима?</w:t>
      </w:r>
    </w:p>
    <w:p w14:paraId="73B0BD2F" w14:textId="77777777" w:rsidR="008C03BE" w:rsidRPr="00F550F7" w:rsidRDefault="008C03BE">
      <w:pPr>
        <w:ind w:left="720"/>
        <w:jc w:val="both"/>
        <w:rPr>
          <w:rFonts w:ascii="Times New Roman" w:hAnsi="Times New Roman" w:cs="Times New Roman"/>
          <w:sz w:val="24"/>
          <w:szCs w:val="24"/>
        </w:rPr>
      </w:pPr>
    </w:p>
    <w:p w14:paraId="5A52786F" w14:textId="185F3E4E" w:rsidR="008C03BE" w:rsidRPr="00F550F7" w:rsidRDefault="007773DD" w:rsidP="00C4657D">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У складу са националном Стратегијом научног и технолошког развоја Републике Србије за период од 2021. до 2025. године, са мотом „Моћ знања” („Службени гласник РС”, број 10/2021), нове технологије и иновације имају потенцијал да у кратком периоду од само неколико година у потпуности измене тржишне услове, начин комуникације, саобраћаја и трговине, да створе нове потребе и животне навике. Овакве технологије деле свет на две категорије – на оне који је развијају, користе и успешно се прилагођавају променама, и на оне који не успевају да премосте новонастали технолошки и друштвени јаз. </w:t>
      </w:r>
      <w:r w:rsidR="00C47E1A" w:rsidRPr="00C47E1A">
        <w:rPr>
          <w:rFonts w:ascii="Times New Roman" w:hAnsi="Times New Roman" w:cs="Times New Roman"/>
          <w:sz w:val="24"/>
          <w:szCs w:val="24"/>
        </w:rPr>
        <w:t>Наука и технологија очигледно играју важну улогу у припремању одговора на такве изазове. Управо кризе каква је пандемија КОВИД-19, кад су друштва најслабија, а неопходност откривања и примене научног знања израженија него иначе, показују исправност уверења да је снага једног друштва сразмерна знању којим располаже. Наука би требало да прошири фонд знања и технологија које нам могу помоћи у суочавању са проблемима које је немогуће предвидети, али ће се појављивати у будућности.</w:t>
      </w:r>
      <w:r w:rsidR="00CF3587">
        <w:rPr>
          <w:rFonts w:ascii="Times New Roman" w:hAnsi="Times New Roman" w:cs="Times New Roman"/>
          <w:sz w:val="24"/>
          <w:szCs w:val="24"/>
        </w:rPr>
        <w:t xml:space="preserve"> </w:t>
      </w:r>
      <w:r w:rsidRPr="00F550F7">
        <w:rPr>
          <w:rFonts w:ascii="Times New Roman" w:hAnsi="Times New Roman" w:cs="Times New Roman"/>
          <w:sz w:val="24"/>
          <w:szCs w:val="24"/>
        </w:rPr>
        <w:t xml:space="preserve">Република Србија препознаје ове глобалне токове и тежи оснаживању научноистраживачких институција, људских ресурса и административних оквира, како би довела до жељеног стања у коме ће бити оспособљена за брз и ефикасан одговор на друштвене изазове. Нови </w:t>
      </w:r>
      <w:r w:rsidR="009C1CB5">
        <w:rPr>
          <w:rFonts w:ascii="Times New Roman" w:hAnsi="Times New Roman" w:cs="Times New Roman"/>
          <w:sz w:val="24"/>
          <w:szCs w:val="24"/>
          <w:lang w:val="sr-Cyrl-RS"/>
        </w:rPr>
        <w:t>Предлог</w:t>
      </w:r>
      <w:r w:rsidR="009C1CB5" w:rsidRPr="00F550F7">
        <w:rPr>
          <w:rFonts w:ascii="Times New Roman" w:hAnsi="Times New Roman" w:cs="Times New Roman"/>
          <w:sz w:val="24"/>
          <w:szCs w:val="24"/>
        </w:rPr>
        <w:t xml:space="preserve"> </w:t>
      </w:r>
      <w:r w:rsidR="009C1CB5">
        <w:rPr>
          <w:rFonts w:ascii="Times New Roman" w:hAnsi="Times New Roman" w:cs="Times New Roman"/>
          <w:sz w:val="24"/>
          <w:szCs w:val="24"/>
          <w:lang w:val="sr-Cyrl-RS"/>
        </w:rPr>
        <w:t>з</w:t>
      </w:r>
      <w:r w:rsidRPr="00F550F7">
        <w:rPr>
          <w:rFonts w:ascii="Times New Roman" w:hAnsi="Times New Roman" w:cs="Times New Roman"/>
          <w:sz w:val="24"/>
          <w:szCs w:val="24"/>
        </w:rPr>
        <w:t xml:space="preserve">акона о иновационој делатности планиран је у духу идеје да Република Србија буде друштво које успешно одговара на друштвене изазове, користећи ресурсе националног иновационог система. Стварање повољног окружења за развој иновационе делатности </w:t>
      </w:r>
      <w:r w:rsidR="002908E4" w:rsidRPr="00F550F7">
        <w:rPr>
          <w:rFonts w:ascii="Times New Roman" w:hAnsi="Times New Roman" w:cs="Times New Roman"/>
          <w:sz w:val="24"/>
          <w:szCs w:val="24"/>
        </w:rPr>
        <w:t xml:space="preserve">утицаће на целокупни </w:t>
      </w:r>
      <w:r w:rsidRPr="00F550F7">
        <w:rPr>
          <w:rFonts w:ascii="Times New Roman" w:hAnsi="Times New Roman" w:cs="Times New Roman"/>
          <w:sz w:val="24"/>
          <w:szCs w:val="24"/>
        </w:rPr>
        <w:t xml:space="preserve">економски </w:t>
      </w:r>
      <w:r w:rsidR="002908E4" w:rsidRPr="00F550F7">
        <w:rPr>
          <w:rFonts w:ascii="Times New Roman" w:hAnsi="Times New Roman" w:cs="Times New Roman"/>
          <w:sz w:val="24"/>
          <w:szCs w:val="24"/>
        </w:rPr>
        <w:t xml:space="preserve">раст </w:t>
      </w:r>
      <w:r w:rsidRPr="00F550F7">
        <w:rPr>
          <w:rFonts w:ascii="Times New Roman" w:hAnsi="Times New Roman" w:cs="Times New Roman"/>
          <w:sz w:val="24"/>
          <w:szCs w:val="24"/>
        </w:rPr>
        <w:t>Републике Србије</w:t>
      </w:r>
      <w:r w:rsidR="002908E4" w:rsidRPr="00F550F7">
        <w:rPr>
          <w:rFonts w:ascii="Times New Roman" w:hAnsi="Times New Roman" w:cs="Times New Roman"/>
          <w:sz w:val="24"/>
          <w:szCs w:val="24"/>
        </w:rPr>
        <w:t xml:space="preserve"> што ће се индиректно одразити на благостање свих грађана Републике Србије</w:t>
      </w:r>
      <w:r w:rsidRPr="00F550F7">
        <w:rPr>
          <w:rFonts w:ascii="Times New Roman" w:hAnsi="Times New Roman" w:cs="Times New Roman"/>
          <w:sz w:val="24"/>
          <w:szCs w:val="24"/>
        </w:rPr>
        <w:t>.</w:t>
      </w:r>
      <w:r w:rsidR="002908E4" w:rsidRPr="00F550F7">
        <w:rPr>
          <w:rFonts w:ascii="Times New Roman" w:hAnsi="Times New Roman" w:cs="Times New Roman"/>
          <w:sz w:val="24"/>
          <w:szCs w:val="24"/>
        </w:rPr>
        <w:t xml:space="preserve"> Такође, нов</w:t>
      </w:r>
      <w:r w:rsidR="00812461">
        <w:rPr>
          <w:rFonts w:ascii="Times New Roman" w:hAnsi="Times New Roman" w:cs="Times New Roman"/>
          <w:sz w:val="24"/>
          <w:szCs w:val="24"/>
        </w:rPr>
        <w:t>и</w:t>
      </w:r>
      <w:r w:rsidR="00E373A6">
        <w:rPr>
          <w:rFonts w:ascii="Times New Roman" w:hAnsi="Times New Roman" w:cs="Times New Roman"/>
          <w:sz w:val="24"/>
          <w:szCs w:val="24"/>
        </w:rPr>
        <w:t xml:space="preserve"> </w:t>
      </w:r>
      <w:r w:rsidR="009C1CB5">
        <w:rPr>
          <w:rFonts w:ascii="Times New Roman" w:hAnsi="Times New Roman" w:cs="Times New Roman"/>
          <w:sz w:val="24"/>
          <w:szCs w:val="24"/>
          <w:lang w:val="sr-Cyrl-RS"/>
        </w:rPr>
        <w:t>Предлог</w:t>
      </w:r>
      <w:r w:rsidR="009C1CB5" w:rsidRPr="00F550F7">
        <w:rPr>
          <w:rFonts w:ascii="Times New Roman" w:hAnsi="Times New Roman" w:cs="Times New Roman"/>
          <w:sz w:val="24"/>
          <w:szCs w:val="24"/>
        </w:rPr>
        <w:t xml:space="preserve"> </w:t>
      </w:r>
      <w:r w:rsidR="009C1CB5">
        <w:rPr>
          <w:rFonts w:ascii="Times New Roman" w:hAnsi="Times New Roman" w:cs="Times New Roman"/>
          <w:sz w:val="24"/>
          <w:szCs w:val="24"/>
          <w:lang w:val="sr-Cyrl-RS"/>
        </w:rPr>
        <w:t>з</w:t>
      </w:r>
      <w:r w:rsidR="009C1CB5" w:rsidRPr="00F550F7">
        <w:rPr>
          <w:rFonts w:ascii="Times New Roman" w:hAnsi="Times New Roman" w:cs="Times New Roman"/>
          <w:sz w:val="24"/>
          <w:szCs w:val="24"/>
        </w:rPr>
        <w:t xml:space="preserve">акона </w:t>
      </w:r>
      <w:r w:rsidR="002908E4" w:rsidRPr="00F550F7">
        <w:rPr>
          <w:rFonts w:ascii="Times New Roman" w:hAnsi="Times New Roman" w:cs="Times New Roman"/>
          <w:sz w:val="24"/>
          <w:szCs w:val="24"/>
        </w:rPr>
        <w:t xml:space="preserve">о иновационој делатности </w:t>
      </w:r>
      <w:r w:rsidR="00812461">
        <w:rPr>
          <w:rFonts w:ascii="Times New Roman" w:hAnsi="Times New Roman" w:cs="Times New Roman"/>
          <w:sz w:val="24"/>
          <w:szCs w:val="24"/>
        </w:rPr>
        <w:t xml:space="preserve">предвиђа </w:t>
      </w:r>
      <w:r w:rsidR="002908E4" w:rsidRPr="00F550F7">
        <w:rPr>
          <w:rFonts w:ascii="Times New Roman" w:hAnsi="Times New Roman" w:cs="Times New Roman"/>
          <w:sz w:val="24"/>
          <w:szCs w:val="24"/>
        </w:rPr>
        <w:t>да било које физичко или правно лице које се бави иновационом делатнош</w:t>
      </w:r>
      <w:r w:rsidR="00F550F7">
        <w:rPr>
          <w:rFonts w:ascii="Times New Roman" w:hAnsi="Times New Roman" w:cs="Times New Roman"/>
          <w:sz w:val="24"/>
          <w:szCs w:val="24"/>
        </w:rPr>
        <w:t>ћ</w:t>
      </w:r>
      <w:r w:rsidR="002908E4" w:rsidRPr="00F550F7">
        <w:rPr>
          <w:rFonts w:ascii="Times New Roman" w:hAnsi="Times New Roman" w:cs="Times New Roman"/>
          <w:sz w:val="24"/>
          <w:szCs w:val="24"/>
        </w:rPr>
        <w:t xml:space="preserve">у може бити препознато као субјекат националног иновационог система. </w:t>
      </w:r>
    </w:p>
    <w:p w14:paraId="28E32AB8" w14:textId="77777777" w:rsidR="008C03BE" w:rsidRPr="00F550F7" w:rsidRDefault="00327223" w:rsidP="00327223">
      <w:pPr>
        <w:jc w:val="center"/>
        <w:rPr>
          <w:rFonts w:ascii="Times New Roman" w:hAnsi="Times New Roman" w:cs="Times New Roman"/>
          <w:b/>
          <w:sz w:val="24"/>
          <w:szCs w:val="24"/>
          <w:u w:val="single"/>
        </w:rPr>
      </w:pPr>
      <w:r w:rsidRPr="00F550F7">
        <w:rPr>
          <w:rFonts w:ascii="Times New Roman" w:hAnsi="Times New Roman" w:cs="Times New Roman"/>
          <w:b/>
          <w:sz w:val="24"/>
          <w:szCs w:val="24"/>
          <w:u w:val="single"/>
        </w:rPr>
        <w:t xml:space="preserve">Кључна питања </w:t>
      </w:r>
      <w:r w:rsidR="004A2E90" w:rsidRPr="00F550F7">
        <w:rPr>
          <w:rFonts w:ascii="Times New Roman" w:hAnsi="Times New Roman" w:cs="Times New Roman"/>
          <w:b/>
          <w:sz w:val="24"/>
          <w:szCs w:val="24"/>
          <w:u w:val="single"/>
        </w:rPr>
        <w:t>за анализу управљачких ефеката</w:t>
      </w:r>
    </w:p>
    <w:p w14:paraId="2DEA9A01" w14:textId="77777777" w:rsidR="008C03BE" w:rsidRPr="00F550F7" w:rsidRDefault="008C03BE">
      <w:pPr>
        <w:ind w:left="720"/>
        <w:jc w:val="both"/>
        <w:rPr>
          <w:rFonts w:ascii="Times New Roman" w:hAnsi="Times New Roman" w:cs="Times New Roman"/>
          <w:sz w:val="24"/>
          <w:szCs w:val="24"/>
        </w:rPr>
      </w:pPr>
    </w:p>
    <w:p w14:paraId="1C22E4F1" w14:textId="77777777" w:rsidR="008C03BE" w:rsidRPr="00195801" w:rsidRDefault="004A2E90">
      <w:pPr>
        <w:numPr>
          <w:ilvl w:val="0"/>
          <w:numId w:val="5"/>
        </w:numPr>
        <w:spacing w:before="120" w:after="120"/>
        <w:jc w:val="both"/>
        <w:rPr>
          <w:rFonts w:ascii="Times New Roman" w:hAnsi="Times New Roman" w:cs="Times New Roman"/>
          <w:sz w:val="24"/>
          <w:szCs w:val="24"/>
        </w:rPr>
      </w:pPr>
      <w:r w:rsidRPr="00195801">
        <w:rPr>
          <w:rFonts w:ascii="Times New Roman" w:hAnsi="Times New Roman" w:cs="Times New Roman"/>
          <w:b/>
          <w:sz w:val="24"/>
          <w:szCs w:val="24"/>
        </w:rPr>
        <w:t>Какве се организационе, управљачке или институционалне промене уводе као последица увођења нових регистара?</w:t>
      </w:r>
    </w:p>
    <w:p w14:paraId="01B5BD75" w14:textId="77777777" w:rsidR="005D7AB9" w:rsidRDefault="005D7AB9" w:rsidP="00B947A1">
      <w:pPr>
        <w:ind w:firstLine="720"/>
        <w:jc w:val="both"/>
        <w:rPr>
          <w:rFonts w:ascii="Times New Roman" w:hAnsi="Times New Roman" w:cs="Times New Roman"/>
          <w:sz w:val="24"/>
          <w:szCs w:val="24"/>
        </w:rPr>
      </w:pPr>
    </w:p>
    <w:p w14:paraId="544D71A9" w14:textId="6A2F2B6C" w:rsidR="006817EB" w:rsidRPr="00064EEC" w:rsidRDefault="0072171E" w:rsidP="006817EB">
      <w:pPr>
        <w:ind w:firstLine="720"/>
        <w:jc w:val="both"/>
        <w:rPr>
          <w:rFonts w:ascii="Times New Roman" w:hAnsi="Times New Roman" w:cs="Times New Roman"/>
          <w:sz w:val="24"/>
          <w:szCs w:val="24"/>
          <w:lang w:val="sr-Cyrl-RS"/>
        </w:rPr>
      </w:pPr>
      <w:r w:rsidRPr="00C63606">
        <w:rPr>
          <w:rFonts w:ascii="Times New Roman" w:hAnsi="Times New Roman" w:cs="Times New Roman"/>
          <w:sz w:val="24"/>
          <w:szCs w:val="24"/>
        </w:rPr>
        <w:t>Важећим Законом о иновационој делатности успостављен је регистар иновационе делатности који се води у оквиру Групе за национални иновациони систем при Сектору за технолошки развој, трансфер техноло</w:t>
      </w:r>
      <w:r w:rsidR="006817EB">
        <w:rPr>
          <w:rFonts w:ascii="Times New Roman" w:hAnsi="Times New Roman" w:cs="Times New Roman"/>
          <w:sz w:val="24"/>
          <w:szCs w:val="24"/>
          <w:lang w:val="sr-Cyrl-RS"/>
        </w:rPr>
        <w:t>г</w:t>
      </w:r>
      <w:r w:rsidRPr="00C63606">
        <w:rPr>
          <w:rFonts w:ascii="Times New Roman" w:hAnsi="Times New Roman" w:cs="Times New Roman"/>
          <w:sz w:val="24"/>
          <w:szCs w:val="24"/>
        </w:rPr>
        <w:t>ија и иновациони систем у Министарству просвете, науке и технолошког развоја Републике Србије. Поступак уписа у регистар регулисан је Правилником о условима за упис у Регистар иновационе делатности и за брисање из Регистра („Службени гласник РС“</w:t>
      </w:r>
      <w:r w:rsidR="002B4EBC">
        <w:rPr>
          <w:rFonts w:ascii="Times New Roman" w:hAnsi="Times New Roman" w:cs="Times New Roman"/>
          <w:sz w:val="24"/>
          <w:szCs w:val="24"/>
          <w:lang w:val="sr-Cyrl-RS"/>
        </w:rPr>
        <w:t>,</w:t>
      </w:r>
      <w:r w:rsidRPr="00C63606">
        <w:rPr>
          <w:rFonts w:ascii="Times New Roman" w:hAnsi="Times New Roman" w:cs="Times New Roman"/>
          <w:sz w:val="24"/>
          <w:szCs w:val="24"/>
        </w:rPr>
        <w:t xml:space="preserve"> број 16/11 и 39/21) као и Правилником о облику, садржају и начину вођења Регистра иновационе делатности („Службени гласник РС</w:t>
      </w:r>
      <w:r w:rsidR="00C55012" w:rsidRPr="00C63606">
        <w:rPr>
          <w:rFonts w:ascii="Times New Roman" w:hAnsi="Times New Roman" w:cs="Times New Roman"/>
          <w:sz w:val="24"/>
          <w:szCs w:val="24"/>
        </w:rPr>
        <w:t>“, број 16/11</w:t>
      </w:r>
      <w:r w:rsidRPr="00C63606">
        <w:rPr>
          <w:rFonts w:ascii="Times New Roman" w:hAnsi="Times New Roman" w:cs="Times New Roman"/>
          <w:sz w:val="24"/>
          <w:szCs w:val="24"/>
        </w:rPr>
        <w:t>)</w:t>
      </w:r>
      <w:r w:rsidR="00812461" w:rsidRPr="00C63606">
        <w:rPr>
          <w:rFonts w:ascii="Times New Roman" w:hAnsi="Times New Roman" w:cs="Times New Roman"/>
          <w:sz w:val="24"/>
          <w:szCs w:val="24"/>
        </w:rPr>
        <w:t xml:space="preserve">. </w:t>
      </w:r>
      <w:r w:rsidR="009C1CB5">
        <w:rPr>
          <w:rFonts w:ascii="Times New Roman" w:hAnsi="Times New Roman" w:cs="Times New Roman"/>
          <w:sz w:val="24"/>
          <w:szCs w:val="24"/>
          <w:lang w:val="sr-Cyrl-RS"/>
        </w:rPr>
        <w:t>Предлог</w:t>
      </w:r>
      <w:r w:rsidR="00C55012" w:rsidRPr="00C63606">
        <w:rPr>
          <w:rFonts w:ascii="Times New Roman" w:hAnsi="Times New Roman" w:cs="Times New Roman"/>
          <w:sz w:val="24"/>
          <w:szCs w:val="24"/>
        </w:rPr>
        <w:t xml:space="preserve">ом новог Закона предвиђено је да </w:t>
      </w:r>
      <w:r w:rsidR="005617AE">
        <w:rPr>
          <w:rFonts w:ascii="Times New Roman" w:hAnsi="Times New Roman" w:cs="Times New Roman"/>
          <w:sz w:val="24"/>
          <w:szCs w:val="24"/>
          <w:lang w:val="sr-Cyrl-RS"/>
        </w:rPr>
        <w:t xml:space="preserve">се </w:t>
      </w:r>
      <w:r w:rsidR="00C55012" w:rsidRPr="00C63606">
        <w:rPr>
          <w:rFonts w:ascii="Times New Roman" w:hAnsi="Times New Roman" w:cs="Times New Roman"/>
          <w:sz w:val="24"/>
          <w:szCs w:val="24"/>
        </w:rPr>
        <w:t xml:space="preserve">послови вођења постојећег регистра </w:t>
      </w:r>
      <w:r w:rsidR="005617AE">
        <w:rPr>
          <w:rFonts w:ascii="Times New Roman" w:hAnsi="Times New Roman" w:cs="Times New Roman"/>
          <w:sz w:val="24"/>
          <w:szCs w:val="24"/>
          <w:lang w:val="sr-Cyrl-RS"/>
        </w:rPr>
        <w:t>воде у оквиру</w:t>
      </w:r>
      <w:r w:rsidR="00C55012" w:rsidRPr="00C63606">
        <w:rPr>
          <w:rFonts w:ascii="Times New Roman" w:hAnsi="Times New Roman" w:cs="Times New Roman"/>
          <w:sz w:val="24"/>
          <w:szCs w:val="24"/>
        </w:rPr>
        <w:t xml:space="preserve"> Фонд</w:t>
      </w:r>
      <w:r w:rsidR="005617AE">
        <w:rPr>
          <w:rFonts w:ascii="Times New Roman" w:hAnsi="Times New Roman" w:cs="Times New Roman"/>
          <w:sz w:val="24"/>
          <w:szCs w:val="24"/>
          <w:lang w:val="sr-Cyrl-RS"/>
        </w:rPr>
        <w:t>а</w:t>
      </w:r>
      <w:r w:rsidR="00C55012" w:rsidRPr="00C63606">
        <w:rPr>
          <w:rFonts w:ascii="Times New Roman" w:hAnsi="Times New Roman" w:cs="Times New Roman"/>
          <w:sz w:val="24"/>
          <w:szCs w:val="24"/>
        </w:rPr>
        <w:t xml:space="preserve"> за иновациону делатност. </w:t>
      </w:r>
      <w:r w:rsidR="006817EB" w:rsidRPr="006817EB">
        <w:rPr>
          <w:rFonts w:ascii="Times New Roman" w:hAnsi="Times New Roman" w:cs="Times New Roman"/>
          <w:sz w:val="24"/>
          <w:szCs w:val="24"/>
        </w:rPr>
        <w:t xml:space="preserve">Вођење регистра ће бити у надлежности Сектора за правне и економске послове у оквиру Фонда за иновациону делатност. </w:t>
      </w:r>
      <w:r w:rsidRPr="00C63606">
        <w:rPr>
          <w:rFonts w:ascii="Times New Roman" w:hAnsi="Times New Roman" w:cs="Times New Roman"/>
          <w:sz w:val="24"/>
          <w:szCs w:val="24"/>
        </w:rPr>
        <w:t xml:space="preserve">За успостављање новог регистра </w:t>
      </w:r>
      <w:r w:rsidR="00EC6328" w:rsidRPr="00C63606">
        <w:rPr>
          <w:rFonts w:ascii="Times New Roman" w:hAnsi="Times New Roman" w:cs="Times New Roman"/>
          <w:sz w:val="24"/>
          <w:szCs w:val="24"/>
          <w:lang w:val="sr-Cyrl-RS"/>
        </w:rPr>
        <w:t xml:space="preserve">потребна су </w:t>
      </w:r>
      <w:r w:rsidRPr="00C63606">
        <w:rPr>
          <w:rFonts w:ascii="Times New Roman" w:hAnsi="Times New Roman" w:cs="Times New Roman"/>
          <w:sz w:val="24"/>
          <w:szCs w:val="24"/>
        </w:rPr>
        <w:t>издвајањ</w:t>
      </w:r>
      <w:r w:rsidR="00EC6328" w:rsidRPr="00C63606">
        <w:rPr>
          <w:rFonts w:ascii="Times New Roman" w:hAnsi="Times New Roman" w:cs="Times New Roman"/>
          <w:sz w:val="24"/>
          <w:szCs w:val="24"/>
          <w:lang w:val="sr-Cyrl-RS"/>
        </w:rPr>
        <w:t>а</w:t>
      </w:r>
      <w:r w:rsidRPr="00C63606">
        <w:rPr>
          <w:rFonts w:ascii="Times New Roman" w:hAnsi="Times New Roman" w:cs="Times New Roman"/>
          <w:sz w:val="24"/>
          <w:szCs w:val="24"/>
        </w:rPr>
        <w:t xml:space="preserve"> додатних средстава, </w:t>
      </w:r>
      <w:r w:rsidR="00EC6328" w:rsidRPr="00C63606">
        <w:rPr>
          <w:rFonts w:ascii="Times New Roman" w:hAnsi="Times New Roman" w:cs="Times New Roman"/>
          <w:sz w:val="24"/>
          <w:szCs w:val="24"/>
          <w:lang w:val="sr-Cyrl-RS"/>
        </w:rPr>
        <w:t xml:space="preserve">будући да Фонд за иновациону делатност преузима нову функцију, која при том превазилази оквире сада постојећег Регистра. </w:t>
      </w:r>
      <w:r w:rsidR="006817EB">
        <w:rPr>
          <w:rFonts w:ascii="Times New Roman" w:hAnsi="Times New Roman" w:cs="Times New Roman"/>
          <w:sz w:val="24"/>
          <w:szCs w:val="24"/>
          <w:lang w:val="sr-Cyrl-RS"/>
        </w:rPr>
        <w:t xml:space="preserve">Законом је предвиђена могућност реализације нових програма Фонда за иновациону делатност. Ови програми биће реализовани у оквиру Сектора за управљање програмима. </w:t>
      </w:r>
    </w:p>
    <w:p w14:paraId="3431E50E" w14:textId="6A25BE8D" w:rsidR="008C03BE" w:rsidRPr="006817EB" w:rsidRDefault="008C03BE" w:rsidP="00B947A1">
      <w:pPr>
        <w:ind w:firstLine="720"/>
        <w:jc w:val="both"/>
        <w:rPr>
          <w:rFonts w:ascii="Times New Roman" w:hAnsi="Times New Roman" w:cs="Times New Roman"/>
          <w:sz w:val="24"/>
          <w:szCs w:val="24"/>
          <w:lang w:val="sr-Latn-RS"/>
        </w:rPr>
      </w:pPr>
    </w:p>
    <w:p w14:paraId="30C6252D" w14:textId="77777777" w:rsidR="00C4657D" w:rsidRDefault="00C4657D" w:rsidP="00B947A1">
      <w:pPr>
        <w:ind w:firstLine="720"/>
        <w:jc w:val="both"/>
        <w:rPr>
          <w:rFonts w:ascii="Times New Roman" w:hAnsi="Times New Roman" w:cs="Times New Roman"/>
          <w:sz w:val="24"/>
          <w:szCs w:val="24"/>
        </w:rPr>
      </w:pPr>
    </w:p>
    <w:p w14:paraId="3C8D04C4" w14:textId="77777777" w:rsidR="00C4657D" w:rsidRDefault="00C4657D" w:rsidP="00B947A1">
      <w:pPr>
        <w:ind w:firstLine="720"/>
        <w:jc w:val="both"/>
        <w:rPr>
          <w:rFonts w:ascii="Times New Roman" w:hAnsi="Times New Roman" w:cs="Times New Roman"/>
          <w:sz w:val="24"/>
          <w:szCs w:val="24"/>
        </w:rPr>
      </w:pPr>
    </w:p>
    <w:p w14:paraId="08FCAFBE" w14:textId="77777777" w:rsidR="00C4657D" w:rsidRDefault="00C4657D" w:rsidP="00B947A1">
      <w:pPr>
        <w:ind w:firstLine="720"/>
        <w:jc w:val="both"/>
        <w:rPr>
          <w:rFonts w:ascii="Times New Roman" w:hAnsi="Times New Roman" w:cs="Times New Roman"/>
          <w:sz w:val="24"/>
          <w:szCs w:val="24"/>
        </w:rPr>
      </w:pPr>
    </w:p>
    <w:p w14:paraId="60EECC03" w14:textId="77777777" w:rsidR="00C4657D" w:rsidRDefault="00C4657D" w:rsidP="00B947A1">
      <w:pPr>
        <w:ind w:firstLine="720"/>
        <w:jc w:val="both"/>
        <w:rPr>
          <w:rFonts w:ascii="Times New Roman" w:hAnsi="Times New Roman" w:cs="Times New Roman"/>
          <w:sz w:val="24"/>
          <w:szCs w:val="24"/>
        </w:rPr>
      </w:pPr>
    </w:p>
    <w:p w14:paraId="539A25D7" w14:textId="7129304E" w:rsidR="00B947A1" w:rsidRPr="00195801" w:rsidRDefault="004A2E90" w:rsidP="00B947A1">
      <w:pPr>
        <w:numPr>
          <w:ilvl w:val="0"/>
          <w:numId w:val="5"/>
        </w:numPr>
        <w:jc w:val="both"/>
        <w:rPr>
          <w:rFonts w:ascii="Times New Roman" w:hAnsi="Times New Roman" w:cs="Times New Roman"/>
          <w:sz w:val="24"/>
          <w:szCs w:val="24"/>
        </w:rPr>
      </w:pPr>
      <w:r w:rsidRPr="00195801">
        <w:rPr>
          <w:rFonts w:ascii="Times New Roman" w:hAnsi="Times New Roman" w:cs="Times New Roman"/>
          <w:b/>
          <w:sz w:val="24"/>
          <w:szCs w:val="24"/>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r w:rsidR="00E373A6">
        <w:rPr>
          <w:rFonts w:ascii="Times New Roman" w:hAnsi="Times New Roman" w:cs="Times New Roman"/>
          <w:b/>
          <w:sz w:val="24"/>
          <w:szCs w:val="24"/>
        </w:rPr>
        <w:t xml:space="preserve"> </w:t>
      </w:r>
      <w:r w:rsidRPr="00195801">
        <w:rPr>
          <w:rFonts w:ascii="Times New Roman" w:hAnsi="Times New Roman" w:cs="Times New Roman"/>
          <w:b/>
          <w:sz w:val="24"/>
          <w:szCs w:val="24"/>
        </w:rPr>
        <w:t>Да ли је за реализацију изабране опције б</w:t>
      </w:r>
      <w:r w:rsidR="002B4EBC">
        <w:rPr>
          <w:rFonts w:ascii="Times New Roman" w:hAnsi="Times New Roman" w:cs="Times New Roman"/>
          <w:b/>
          <w:sz w:val="24"/>
          <w:szCs w:val="24"/>
        </w:rPr>
        <w:t>ило потребно извршити реструкту</w:t>
      </w:r>
      <w:r w:rsidRPr="00195801">
        <w:rPr>
          <w:rFonts w:ascii="Times New Roman" w:hAnsi="Times New Roman" w:cs="Times New Roman"/>
          <w:b/>
          <w:sz w:val="24"/>
          <w:szCs w:val="24"/>
        </w:rPr>
        <w:t>ирање постојећег државног органа, односно другог субјекта јавног сектора (нпр. проширење, укидање, промене функција/хијерархије, унапређење техничких и љу</w:t>
      </w:r>
      <w:r w:rsidR="002B4EBC">
        <w:rPr>
          <w:rFonts w:ascii="Times New Roman" w:hAnsi="Times New Roman" w:cs="Times New Roman"/>
          <w:b/>
          <w:sz w:val="24"/>
          <w:szCs w:val="24"/>
        </w:rPr>
        <w:t>дских капацитета и сл.) и у ко</w:t>
      </w:r>
      <w:r w:rsidRPr="00195801">
        <w:rPr>
          <w:rFonts w:ascii="Times New Roman" w:hAnsi="Times New Roman" w:cs="Times New Roman"/>
          <w:b/>
          <w:sz w:val="24"/>
          <w:szCs w:val="24"/>
        </w:rPr>
        <w:t>м временском периоду је то потребно спровести?</w:t>
      </w:r>
    </w:p>
    <w:p w14:paraId="5BAA9513" w14:textId="77777777" w:rsidR="00B947A1" w:rsidRPr="00F550F7" w:rsidRDefault="00B947A1" w:rsidP="00B947A1">
      <w:pPr>
        <w:jc w:val="both"/>
        <w:rPr>
          <w:rFonts w:ascii="Times New Roman" w:hAnsi="Times New Roman" w:cs="Times New Roman"/>
          <w:sz w:val="24"/>
          <w:szCs w:val="24"/>
        </w:rPr>
      </w:pPr>
    </w:p>
    <w:p w14:paraId="5C80206C" w14:textId="7B00B820" w:rsidR="00120227" w:rsidRDefault="002908E4" w:rsidP="002D281B">
      <w:pPr>
        <w:ind w:firstLine="720"/>
        <w:jc w:val="both"/>
        <w:rPr>
          <w:rFonts w:ascii="Times New Roman" w:hAnsi="Times New Roman" w:cs="Times New Roman"/>
          <w:sz w:val="24"/>
          <w:szCs w:val="24"/>
        </w:rPr>
      </w:pPr>
      <w:r w:rsidRPr="00F1435F">
        <w:rPr>
          <w:rFonts w:ascii="Times New Roman" w:hAnsi="Times New Roman" w:cs="Times New Roman"/>
          <w:sz w:val="24"/>
          <w:szCs w:val="24"/>
        </w:rPr>
        <w:t xml:space="preserve">Постојећи Закон о иновационој делатности не уређује иновациони систем Републике Србије на начин који изискује ангажовање капацитета јавне управе, осим у делу који се тиче вођења Регистра иновационих субјеката. </w:t>
      </w:r>
      <w:r w:rsidR="00F450FD">
        <w:rPr>
          <w:rFonts w:ascii="Times New Roman" w:hAnsi="Times New Roman" w:cs="Times New Roman"/>
          <w:sz w:val="24"/>
          <w:szCs w:val="24"/>
        </w:rPr>
        <w:t>Н</w:t>
      </w:r>
      <w:r w:rsidRPr="00F1435F">
        <w:rPr>
          <w:rFonts w:ascii="Times New Roman" w:hAnsi="Times New Roman" w:cs="Times New Roman"/>
          <w:sz w:val="24"/>
          <w:szCs w:val="24"/>
        </w:rPr>
        <w:t>ов</w:t>
      </w:r>
      <w:r w:rsidR="00812461" w:rsidRPr="00F1435F">
        <w:rPr>
          <w:rFonts w:ascii="Times New Roman" w:hAnsi="Times New Roman" w:cs="Times New Roman"/>
          <w:sz w:val="24"/>
          <w:szCs w:val="24"/>
        </w:rPr>
        <w:t>и</w:t>
      </w:r>
      <w:r w:rsidR="00E373A6">
        <w:rPr>
          <w:rFonts w:ascii="Times New Roman" w:hAnsi="Times New Roman" w:cs="Times New Roman"/>
          <w:sz w:val="24"/>
          <w:szCs w:val="24"/>
        </w:rPr>
        <w:t xml:space="preserve"> </w:t>
      </w:r>
      <w:r w:rsidR="009C1CB5">
        <w:rPr>
          <w:rFonts w:ascii="Times New Roman" w:hAnsi="Times New Roman" w:cs="Times New Roman"/>
          <w:sz w:val="24"/>
          <w:szCs w:val="24"/>
          <w:lang w:val="sr-Cyrl-RS"/>
        </w:rPr>
        <w:t>Предлог</w:t>
      </w:r>
      <w:r w:rsidR="009C1CB5" w:rsidRPr="00F550F7">
        <w:rPr>
          <w:rFonts w:ascii="Times New Roman" w:hAnsi="Times New Roman" w:cs="Times New Roman"/>
          <w:sz w:val="24"/>
          <w:szCs w:val="24"/>
        </w:rPr>
        <w:t xml:space="preserve"> </w:t>
      </w:r>
      <w:r w:rsidR="009C1CB5">
        <w:rPr>
          <w:rFonts w:ascii="Times New Roman" w:hAnsi="Times New Roman" w:cs="Times New Roman"/>
          <w:sz w:val="24"/>
          <w:szCs w:val="24"/>
          <w:lang w:val="sr-Cyrl-RS"/>
        </w:rPr>
        <w:t>з</w:t>
      </w:r>
      <w:r w:rsidR="009C1CB5" w:rsidRPr="00F550F7">
        <w:rPr>
          <w:rFonts w:ascii="Times New Roman" w:hAnsi="Times New Roman" w:cs="Times New Roman"/>
          <w:sz w:val="24"/>
          <w:szCs w:val="24"/>
        </w:rPr>
        <w:t>акона</w:t>
      </w:r>
      <w:r w:rsidRPr="00F1435F">
        <w:rPr>
          <w:rFonts w:ascii="Times New Roman" w:hAnsi="Times New Roman" w:cs="Times New Roman"/>
          <w:sz w:val="24"/>
          <w:szCs w:val="24"/>
        </w:rPr>
        <w:t xml:space="preserve"> о иновационој делатности предвиђа да вођење регистра</w:t>
      </w:r>
      <w:r w:rsidR="00B947A1" w:rsidRPr="00F1435F">
        <w:rPr>
          <w:rFonts w:ascii="Times New Roman" w:hAnsi="Times New Roman" w:cs="Times New Roman"/>
          <w:sz w:val="24"/>
          <w:szCs w:val="24"/>
        </w:rPr>
        <w:t xml:space="preserve"> прелази из круга послова Министарства просве</w:t>
      </w:r>
      <w:r w:rsidR="00877F2E" w:rsidRPr="00F1435F">
        <w:rPr>
          <w:rFonts w:ascii="Times New Roman" w:hAnsi="Times New Roman" w:cs="Times New Roman"/>
          <w:sz w:val="24"/>
          <w:szCs w:val="24"/>
        </w:rPr>
        <w:t>те, науке и технолошког развоја</w:t>
      </w:r>
      <w:r w:rsidR="00B947A1" w:rsidRPr="00F1435F">
        <w:rPr>
          <w:rFonts w:ascii="Times New Roman" w:hAnsi="Times New Roman" w:cs="Times New Roman"/>
          <w:sz w:val="24"/>
          <w:szCs w:val="24"/>
        </w:rPr>
        <w:t xml:space="preserve"> </w:t>
      </w:r>
      <w:r w:rsidR="00B947A1" w:rsidRPr="00BA299F">
        <w:rPr>
          <w:rFonts w:ascii="Times New Roman" w:hAnsi="Times New Roman" w:cs="Times New Roman"/>
          <w:sz w:val="24"/>
          <w:szCs w:val="24"/>
        </w:rPr>
        <w:t>Фонду за иновациону делатност</w:t>
      </w:r>
      <w:r w:rsidR="00812461" w:rsidRPr="00BA299F">
        <w:rPr>
          <w:rFonts w:ascii="Times New Roman" w:hAnsi="Times New Roman" w:cs="Times New Roman"/>
          <w:sz w:val="24"/>
          <w:szCs w:val="24"/>
        </w:rPr>
        <w:t xml:space="preserve"> те</w:t>
      </w:r>
      <w:r w:rsidR="00B947A1" w:rsidRPr="00BA299F">
        <w:rPr>
          <w:rFonts w:ascii="Times New Roman" w:hAnsi="Times New Roman" w:cs="Times New Roman"/>
          <w:sz w:val="24"/>
          <w:szCs w:val="24"/>
        </w:rPr>
        <w:t xml:space="preserve"> питање капацитета јавне управе и одређених мера за њихово побољшање није релевантно.</w:t>
      </w:r>
    </w:p>
    <w:p w14:paraId="3A68AB66" w14:textId="77777777" w:rsidR="00F450FD" w:rsidRDefault="00F450FD" w:rsidP="00B947A1">
      <w:pPr>
        <w:ind w:firstLine="720"/>
        <w:jc w:val="both"/>
        <w:rPr>
          <w:rFonts w:ascii="Times New Roman" w:hAnsi="Times New Roman" w:cs="Times New Roman"/>
          <w:sz w:val="24"/>
          <w:szCs w:val="24"/>
        </w:rPr>
      </w:pPr>
    </w:p>
    <w:p w14:paraId="4BCD3FE4" w14:textId="77777777" w:rsidR="008C03BE" w:rsidRPr="00F550F7" w:rsidRDefault="00327223">
      <w:pPr>
        <w:pBdr>
          <w:top w:val="nil"/>
          <w:left w:val="nil"/>
          <w:bottom w:val="nil"/>
          <w:right w:val="nil"/>
          <w:between w:val="nil"/>
        </w:pBdr>
        <w:jc w:val="center"/>
        <w:rPr>
          <w:rFonts w:ascii="Times New Roman" w:hAnsi="Times New Roman" w:cs="Times New Roman"/>
          <w:b/>
          <w:sz w:val="24"/>
          <w:szCs w:val="24"/>
          <w:u w:val="single"/>
        </w:rPr>
      </w:pPr>
      <w:r w:rsidRPr="00F550F7">
        <w:rPr>
          <w:rFonts w:ascii="Times New Roman" w:hAnsi="Times New Roman" w:cs="Times New Roman"/>
          <w:b/>
          <w:sz w:val="24"/>
          <w:szCs w:val="24"/>
          <w:u w:val="single"/>
        </w:rPr>
        <w:t xml:space="preserve">Кључна </w:t>
      </w:r>
      <w:r w:rsidR="004A2E90" w:rsidRPr="00F550F7">
        <w:rPr>
          <w:rFonts w:ascii="Times New Roman" w:hAnsi="Times New Roman" w:cs="Times New Roman"/>
          <w:b/>
          <w:sz w:val="24"/>
          <w:szCs w:val="24"/>
          <w:u w:val="single"/>
        </w:rPr>
        <w:t>питања за анализу ризика</w:t>
      </w:r>
    </w:p>
    <w:p w14:paraId="1C18D995" w14:textId="77777777" w:rsidR="008C03BE" w:rsidRPr="00F550F7" w:rsidRDefault="008C03BE">
      <w:pPr>
        <w:pBdr>
          <w:top w:val="nil"/>
          <w:left w:val="nil"/>
          <w:bottom w:val="nil"/>
          <w:right w:val="nil"/>
          <w:between w:val="nil"/>
        </w:pBdr>
        <w:ind w:left="720"/>
        <w:jc w:val="both"/>
        <w:rPr>
          <w:rFonts w:ascii="Times New Roman" w:hAnsi="Times New Roman" w:cs="Times New Roman"/>
          <w:sz w:val="24"/>
          <w:szCs w:val="24"/>
        </w:rPr>
      </w:pPr>
    </w:p>
    <w:p w14:paraId="005FF51C" w14:textId="3E6F581D" w:rsidR="008C03BE" w:rsidRPr="00195801" w:rsidRDefault="004A2E90" w:rsidP="005550D6">
      <w:pPr>
        <w:numPr>
          <w:ilvl w:val="0"/>
          <w:numId w:val="7"/>
        </w:numPr>
        <w:pBdr>
          <w:top w:val="nil"/>
          <w:left w:val="nil"/>
          <w:bottom w:val="nil"/>
          <w:right w:val="nil"/>
          <w:between w:val="nil"/>
        </w:pBdr>
        <w:jc w:val="both"/>
        <w:rPr>
          <w:rFonts w:ascii="Times New Roman" w:hAnsi="Times New Roman" w:cs="Times New Roman"/>
          <w:sz w:val="24"/>
          <w:szCs w:val="24"/>
        </w:rPr>
      </w:pPr>
      <w:r w:rsidRPr="00195801">
        <w:rPr>
          <w:rFonts w:ascii="Times New Roman" w:hAnsi="Times New Roman" w:cs="Times New Roman"/>
          <w:b/>
          <w:sz w:val="24"/>
          <w:szCs w:val="24"/>
        </w:rPr>
        <w:t>Да ли је за спровођење изабране опције обезбеђено довољно времена за спровођење поступка јавне набавке уколико је она потребна?</w:t>
      </w:r>
      <w:r w:rsidR="00CF3587">
        <w:rPr>
          <w:rFonts w:ascii="Times New Roman" w:hAnsi="Times New Roman" w:cs="Times New Roman"/>
          <w:b/>
          <w:sz w:val="24"/>
          <w:szCs w:val="24"/>
        </w:rPr>
        <w:t xml:space="preserve"> </w:t>
      </w:r>
      <w:r w:rsidRPr="00195801">
        <w:rPr>
          <w:rFonts w:ascii="Times New Roman" w:hAnsi="Times New Roman" w:cs="Times New Roman"/>
          <w:b/>
          <w:sz w:val="24"/>
          <w:szCs w:val="24"/>
        </w:rPr>
        <w:t>Да ли постоји још неки ризик за спровођење изабране опције?</w:t>
      </w:r>
    </w:p>
    <w:p w14:paraId="7C4AEDB0" w14:textId="77777777" w:rsidR="008C03BE" w:rsidRPr="00F550F7" w:rsidRDefault="008C03BE">
      <w:pPr>
        <w:pBdr>
          <w:top w:val="nil"/>
          <w:left w:val="nil"/>
          <w:bottom w:val="nil"/>
          <w:right w:val="nil"/>
          <w:between w:val="nil"/>
        </w:pBdr>
        <w:ind w:left="720"/>
        <w:jc w:val="both"/>
        <w:rPr>
          <w:rFonts w:ascii="Times New Roman" w:hAnsi="Times New Roman" w:cs="Times New Roman"/>
          <w:sz w:val="24"/>
          <w:szCs w:val="24"/>
        </w:rPr>
      </w:pPr>
    </w:p>
    <w:p w14:paraId="618D73D2" w14:textId="77777777" w:rsidR="009F346D" w:rsidRPr="00F550F7" w:rsidRDefault="009F346D" w:rsidP="00195801">
      <w:pPr>
        <w:ind w:firstLine="720"/>
        <w:jc w:val="both"/>
        <w:rPr>
          <w:rFonts w:ascii="Times New Roman" w:hAnsi="Times New Roman" w:cs="Times New Roman"/>
          <w:sz w:val="24"/>
          <w:szCs w:val="24"/>
        </w:rPr>
      </w:pPr>
      <w:r w:rsidRPr="00F550F7">
        <w:rPr>
          <w:rFonts w:ascii="Times New Roman" w:hAnsi="Times New Roman" w:cs="Times New Roman"/>
          <w:sz w:val="24"/>
          <w:szCs w:val="24"/>
        </w:rPr>
        <w:t xml:space="preserve">Ефикасност трансфера технологије зависи од квалитета научних резултата и тачне и благовремене селекције оних резултата који имају потенцијал да прерасту у технологије. Као ризик је идентификован недостатак квалификованих кадрова да квалитетно обављају селекцију, послове заштите интелектуалне својине, послове комуникације са привредом и послове комерцијализације. Да би трансфер технологија био успешан, потребна је свеобухватна и континуирана обука научноистраживачког кадра о основним принципима овог поступка. Са друге стране, директна комуникација са привредом захтева ангажовање стручњака који разумеју потребе тржишта и који су способни да обезбеде додатно финансирање за развој и комерцијализацију технологија. </w:t>
      </w:r>
    </w:p>
    <w:p w14:paraId="5C505765" w14:textId="4FECB2A9" w:rsidR="00CF3587" w:rsidRDefault="009C1CB5" w:rsidP="00F1435F">
      <w:pPr>
        <w:ind w:firstLine="720"/>
        <w:jc w:val="both"/>
        <w:rPr>
          <w:rFonts w:ascii="Times New Roman" w:hAnsi="Times New Roman" w:cs="Times New Roman"/>
          <w:sz w:val="24"/>
          <w:szCs w:val="24"/>
        </w:rPr>
      </w:pPr>
      <w:r>
        <w:rPr>
          <w:rFonts w:ascii="Times New Roman" w:hAnsi="Times New Roman" w:cs="Times New Roman"/>
          <w:sz w:val="24"/>
          <w:szCs w:val="24"/>
          <w:lang w:val="sr-Cyrl-RS"/>
        </w:rPr>
        <w:t>Предлог</w:t>
      </w:r>
      <w:r w:rsidR="00AB1843" w:rsidRPr="00F550F7">
        <w:rPr>
          <w:rFonts w:ascii="Times New Roman" w:hAnsi="Times New Roman" w:cs="Times New Roman"/>
          <w:sz w:val="24"/>
          <w:szCs w:val="24"/>
        </w:rPr>
        <w:t>ом новог Закона</w:t>
      </w:r>
      <w:r w:rsidR="009F346D" w:rsidRPr="00F550F7">
        <w:rPr>
          <w:rFonts w:ascii="Times New Roman" w:hAnsi="Times New Roman" w:cs="Times New Roman"/>
          <w:sz w:val="24"/>
          <w:szCs w:val="24"/>
        </w:rPr>
        <w:t xml:space="preserve"> је предвиђено успостављање мре</w:t>
      </w:r>
      <w:r w:rsidR="00AB1843" w:rsidRPr="00F550F7">
        <w:rPr>
          <w:rFonts w:ascii="Times New Roman" w:hAnsi="Times New Roman" w:cs="Times New Roman"/>
          <w:sz w:val="24"/>
          <w:szCs w:val="24"/>
        </w:rPr>
        <w:t>же научно-технолошких паркова</w:t>
      </w:r>
      <w:r w:rsidR="009F346D" w:rsidRPr="00F550F7">
        <w:rPr>
          <w:rFonts w:ascii="Times New Roman" w:hAnsi="Times New Roman" w:cs="Times New Roman"/>
          <w:sz w:val="24"/>
          <w:szCs w:val="24"/>
        </w:rPr>
        <w:t xml:space="preserve">, као саветодавног тела. </w:t>
      </w:r>
      <w:r w:rsidR="00922109" w:rsidRPr="00F550F7">
        <w:rPr>
          <w:rFonts w:ascii="Times New Roman" w:hAnsi="Times New Roman" w:cs="Times New Roman"/>
          <w:sz w:val="24"/>
          <w:szCs w:val="24"/>
        </w:rPr>
        <w:t>Како се ради о потпуно новом приступу умрежавања субјек</w:t>
      </w:r>
      <w:r w:rsidR="00AB1843" w:rsidRPr="00F550F7">
        <w:rPr>
          <w:rFonts w:ascii="Times New Roman" w:hAnsi="Times New Roman" w:cs="Times New Roman"/>
          <w:sz w:val="24"/>
          <w:szCs w:val="24"/>
        </w:rPr>
        <w:t xml:space="preserve">ата иновационе инфраструктуре реалан ризик представља степен потреба јединица локалних самоуправа и стратешких праваца дефинисаних на републичком нивоу. </w:t>
      </w:r>
    </w:p>
    <w:p w14:paraId="0AA12352" w14:textId="50941757" w:rsidR="00A32FFA" w:rsidRPr="00F550F7" w:rsidRDefault="00195801" w:rsidP="00F1435F">
      <w:pPr>
        <w:ind w:firstLine="720"/>
        <w:jc w:val="both"/>
        <w:rPr>
          <w:rFonts w:ascii="Times New Roman" w:hAnsi="Times New Roman" w:cs="Times New Roman"/>
          <w:sz w:val="24"/>
          <w:szCs w:val="24"/>
        </w:rPr>
      </w:pPr>
      <w:r w:rsidRPr="00F1435F">
        <w:rPr>
          <w:rFonts w:ascii="Times New Roman" w:hAnsi="Times New Roman" w:cs="Times New Roman"/>
          <w:sz w:val="24"/>
          <w:szCs w:val="24"/>
        </w:rPr>
        <w:t xml:space="preserve">Са циљем постизања боље сарадње са приватним сектором, </w:t>
      </w:r>
      <w:r w:rsidR="00877F2E" w:rsidRPr="00F1435F">
        <w:rPr>
          <w:rFonts w:ascii="Times New Roman" w:hAnsi="Times New Roman" w:cs="Times New Roman"/>
          <w:sz w:val="24"/>
          <w:szCs w:val="24"/>
        </w:rPr>
        <w:t>планира се да Регистар</w:t>
      </w:r>
      <w:r w:rsidRPr="00F1435F">
        <w:rPr>
          <w:rFonts w:ascii="Times New Roman" w:hAnsi="Times New Roman" w:cs="Times New Roman"/>
          <w:sz w:val="24"/>
          <w:szCs w:val="24"/>
        </w:rPr>
        <w:t xml:space="preserve"> субјеката националног иновационог система </w:t>
      </w:r>
      <w:r w:rsidR="00877F2E" w:rsidRPr="00F1435F">
        <w:rPr>
          <w:rFonts w:ascii="Times New Roman" w:hAnsi="Times New Roman" w:cs="Times New Roman"/>
          <w:sz w:val="24"/>
          <w:szCs w:val="24"/>
        </w:rPr>
        <w:t>води Фонд</w:t>
      </w:r>
      <w:r w:rsidRPr="00F1435F">
        <w:rPr>
          <w:rFonts w:ascii="Times New Roman" w:hAnsi="Times New Roman" w:cs="Times New Roman"/>
          <w:sz w:val="24"/>
          <w:szCs w:val="24"/>
        </w:rPr>
        <w:t xml:space="preserve"> за иновациону делатност, који има највише искуства у пружању подршке субјектима иновационе инфраструктуре из приватног </w:t>
      </w:r>
      <w:r w:rsidR="00F1435F">
        <w:rPr>
          <w:rFonts w:ascii="Times New Roman" w:hAnsi="Times New Roman" w:cs="Times New Roman"/>
          <w:sz w:val="24"/>
          <w:szCs w:val="24"/>
        </w:rPr>
        <w:t xml:space="preserve">сектора, </w:t>
      </w:r>
      <w:r w:rsidR="00AB1843" w:rsidRPr="00F1435F">
        <w:rPr>
          <w:rFonts w:ascii="Times New Roman" w:hAnsi="Times New Roman" w:cs="Times New Roman"/>
          <w:sz w:val="24"/>
          <w:szCs w:val="24"/>
        </w:rPr>
        <w:t>што креира потенцијални изазов у усклађивању рада Фонда, у организационом и функционалном смислу.</w:t>
      </w:r>
    </w:p>
    <w:sectPr w:rsidR="00A32FFA" w:rsidRPr="00F550F7" w:rsidSect="00CD287D">
      <w:pgSz w:w="12240" w:h="15840"/>
      <w:pgMar w:top="1440" w:right="1440" w:bottom="1440" w:left="1440" w:header="720" w:footer="720"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51BDC" w16cex:dateUtc="2021-10-28T10:53:00Z"/>
  <w16cex:commentExtensible w16cex:durableId="25252291" w16cex:dateUtc="2021-10-28T11:22:00Z"/>
  <w16cex:commentExtensible w16cex:durableId="25254422" w16cex:dateUtc="2021-10-28T13:45:00Z"/>
  <w16cex:commentExtensible w16cex:durableId="25252C99" w16cex:dateUtc="2021-10-28T12:05:00Z"/>
  <w16cex:commentExtensible w16cex:durableId="25252CBC" w16cex:dateUtc="2021-10-28T12:05:00Z"/>
  <w16cex:commentExtensible w16cex:durableId="25252CC2" w16cex:dateUtc="2021-10-28T12:05:00Z"/>
  <w16cex:commentExtensible w16cex:durableId="25252F3F" w16cex:dateUtc="2021-10-28T12:16:00Z"/>
  <w16cex:commentExtensible w16cex:durableId="25252CC8" w16cex:dateUtc="2021-10-28T12:06:00Z"/>
  <w16cex:commentExtensible w16cex:durableId="25253D40" w16cex:dateUtc="2021-10-28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DEF3C2" w16cid:durableId="25251BDC"/>
  <w16cid:commentId w16cid:paraId="1CC16D41" w16cid:durableId="25252208"/>
  <w16cid:commentId w16cid:paraId="3A80CF2A" w16cid:durableId="25252291"/>
  <w16cid:commentId w16cid:paraId="43890D50" w16cid:durableId="25252207"/>
  <w16cid:commentId w16cid:paraId="14B3E033" w16cid:durableId="25254422"/>
  <w16cid:commentId w16cid:paraId="7BD08ED9" w16cid:durableId="25252206"/>
  <w16cid:commentId w16cid:paraId="3B81A498" w16cid:durableId="25252C99"/>
  <w16cid:commentId w16cid:paraId="0B052467" w16cid:durableId="25252205"/>
  <w16cid:commentId w16cid:paraId="643D602B" w16cid:durableId="25252CBC"/>
  <w16cid:commentId w16cid:paraId="5F5249C6" w16cid:durableId="25252204"/>
  <w16cid:commentId w16cid:paraId="33EDB2CC" w16cid:durableId="25252CC2"/>
  <w16cid:commentId w16cid:paraId="72E52045" w16cid:durableId="25252203"/>
  <w16cid:commentId w16cid:paraId="64B09624" w16cid:durableId="25252F3F"/>
  <w16cid:commentId w16cid:paraId="5B13F41F" w16cid:durableId="25252202"/>
  <w16cid:commentId w16cid:paraId="495824B9" w16cid:durableId="25252CC8"/>
  <w16cid:commentId w16cid:paraId="3927E26A" w16cid:durableId="25251A94"/>
  <w16cid:commentId w16cid:paraId="097A0D9D" w16cid:durableId="25251A95"/>
  <w16cid:commentId w16cid:paraId="1A894799" w16cid:durableId="25251A96"/>
  <w16cid:commentId w16cid:paraId="3643734A" w16cid:durableId="25251A97"/>
  <w16cid:commentId w16cid:paraId="6CDD9AF0" w16cid:durableId="25251A98"/>
  <w16cid:commentId w16cid:paraId="673B9550" w16cid:durableId="25251A99"/>
  <w16cid:commentId w16cid:paraId="5918A5B4" w16cid:durableId="25251A9A"/>
  <w16cid:commentId w16cid:paraId="7E353808" w16cid:durableId="25251A9B"/>
  <w16cid:commentId w16cid:paraId="5D8A4EFC" w16cid:durableId="25253D40"/>
  <w16cid:commentId w16cid:paraId="09E86932" w16cid:durableId="25251A9C"/>
  <w16cid:commentId w16cid:paraId="2D993EB8" w16cid:durableId="25251A9D"/>
  <w16cid:commentId w16cid:paraId="7142DFBE" w16cid:durableId="25251A9E"/>
  <w16cid:commentId w16cid:paraId="14850D46" w16cid:durableId="25251A9F"/>
  <w16cid:commentId w16cid:paraId="12F37B5B" w16cid:durableId="25251AA0"/>
  <w16cid:commentId w16cid:paraId="04207B2D" w16cid:durableId="25251AA1"/>
  <w16cid:commentId w16cid:paraId="57D43F70" w16cid:durableId="25251AA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BF6FC" w14:textId="77777777" w:rsidR="00034C2E" w:rsidRDefault="00034C2E" w:rsidP="00CF2ED2">
      <w:pPr>
        <w:spacing w:line="240" w:lineRule="auto"/>
      </w:pPr>
      <w:r>
        <w:separator/>
      </w:r>
    </w:p>
  </w:endnote>
  <w:endnote w:type="continuationSeparator" w:id="0">
    <w:p w14:paraId="7172DAC6" w14:textId="77777777" w:rsidR="00034C2E" w:rsidRDefault="00034C2E" w:rsidP="00CF2E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ECCBC" w14:textId="77777777" w:rsidR="00034C2E" w:rsidRDefault="00034C2E" w:rsidP="00CF2ED2">
      <w:pPr>
        <w:spacing w:line="240" w:lineRule="auto"/>
      </w:pPr>
      <w:r>
        <w:separator/>
      </w:r>
    </w:p>
  </w:footnote>
  <w:footnote w:type="continuationSeparator" w:id="0">
    <w:p w14:paraId="36AFEF0B" w14:textId="77777777" w:rsidR="00034C2E" w:rsidRDefault="00034C2E" w:rsidP="00CF2ED2">
      <w:pPr>
        <w:spacing w:line="240" w:lineRule="auto"/>
      </w:pPr>
      <w:r>
        <w:continuationSeparator/>
      </w:r>
    </w:p>
  </w:footnote>
  <w:footnote w:id="1">
    <w:p w14:paraId="700B43F0" w14:textId="6252620C" w:rsidR="00034C2E" w:rsidRPr="00D31210" w:rsidRDefault="00034C2E" w:rsidP="00CF2ED2">
      <w:pPr>
        <w:pStyle w:val="FootnoteText"/>
        <w:jc w:val="both"/>
        <w:rPr>
          <w:rFonts w:ascii="Times New Roman" w:hAnsi="Times New Roman" w:cs="Times New Roman"/>
          <w:lang w:val="sr-Cyrl-RS"/>
        </w:rPr>
      </w:pPr>
      <w:r w:rsidRPr="00F550F7">
        <w:rPr>
          <w:rStyle w:val="FootnoteReference"/>
          <w:rFonts w:ascii="Times New Roman" w:hAnsi="Times New Roman" w:cs="Times New Roman"/>
        </w:rPr>
        <w:footnoteRef/>
      </w:r>
      <w:r w:rsidRPr="00F550F7">
        <w:rPr>
          <w:rFonts w:ascii="Times New Roman" w:hAnsi="Times New Roman" w:cs="Times New Roman"/>
        </w:rPr>
        <w:t xml:space="preserve"> Извештај о стању у науци у 2019. години, Националног савета за научни и технолошки развој </w:t>
      </w:r>
      <w:hyperlink r:id="rId1" w:history="1">
        <w:r w:rsidRPr="003658E7">
          <w:rPr>
            <w:rStyle w:val="Hyperlink"/>
            <w:rFonts w:ascii="Times New Roman" w:hAnsi="Times New Roman" w:cs="Times New Roman"/>
          </w:rPr>
          <w:t>https://www.mpn.gov.rs/wp-content/uploads/2020/12/IZVESTAJ-O-STANJU-U-NAUCI-u-2019-god-dostavljen-VLADI-17-decembar-2020.pdf</w:t>
        </w:r>
      </w:hyperlink>
      <w:r>
        <w:rPr>
          <w:rFonts w:ascii="Times New Roman" w:hAnsi="Times New Roman" w:cs="Times New Roman"/>
          <w:lang w:val="sr-Cyrl-RS"/>
        </w:rPr>
        <w:t xml:space="preserve"> </w:t>
      </w:r>
    </w:p>
  </w:footnote>
  <w:footnote w:id="2">
    <w:p w14:paraId="7B3A459F" w14:textId="77777777" w:rsidR="00034C2E" w:rsidRPr="00322065" w:rsidRDefault="00034C2E" w:rsidP="00B13C96">
      <w:pPr>
        <w:pStyle w:val="FootnoteText"/>
        <w:jc w:val="both"/>
      </w:pPr>
      <w:r w:rsidRPr="00322065">
        <w:rPr>
          <w:rStyle w:val="FootnoteReference"/>
          <w:rFonts w:ascii="Times New Roman" w:hAnsi="Times New Roman" w:cs="Times New Roman"/>
        </w:rPr>
        <w:footnoteRef/>
      </w:r>
      <w:r w:rsidRPr="00322065">
        <w:rPr>
          <w:rFonts w:ascii="Times New Roman" w:hAnsi="Times New Roman" w:cs="Times New Roman"/>
        </w:rPr>
        <w:t>Извор</w:t>
      </w:r>
      <w:r>
        <w:rPr>
          <w:rFonts w:ascii="Times New Roman" w:hAnsi="Times New Roman" w:cs="Times New Roman"/>
        </w:rPr>
        <w:t xml:space="preserve">: </w:t>
      </w:r>
      <w:r w:rsidRPr="00322065">
        <w:rPr>
          <w:rFonts w:ascii="Times New Roman" w:hAnsi="Times New Roman" w:cs="Times New Roman"/>
        </w:rPr>
        <w:t>Стратегија научног и технолошког развоја Републике Србије за период од 2021. до 2025. године („Служ</w:t>
      </w:r>
      <w:r>
        <w:rPr>
          <w:rFonts w:ascii="Times New Roman" w:hAnsi="Times New Roman" w:cs="Times New Roman"/>
        </w:rPr>
        <w:t>бени гласник РС”, број 10/2021), Прилог 3</w:t>
      </w:r>
    </w:p>
  </w:footnote>
  <w:footnote w:id="3">
    <w:p w14:paraId="058DD349" w14:textId="426FBBA9" w:rsidR="00034C2E" w:rsidRPr="00D5262A" w:rsidRDefault="00034C2E" w:rsidP="00B056F2">
      <w:pPr>
        <w:pStyle w:val="FootnoteText"/>
        <w:jc w:val="both"/>
      </w:pPr>
      <w:r w:rsidRPr="00B13C96">
        <w:rPr>
          <w:rStyle w:val="FootnoteReference"/>
          <w:rFonts w:ascii="Times New Roman" w:hAnsi="Times New Roman" w:cs="Times New Roman"/>
        </w:rPr>
        <w:footnoteRef/>
      </w:r>
      <w:r w:rsidRPr="00D5262A">
        <w:rPr>
          <w:rFonts w:ascii="Times New Roman" w:hAnsi="Times New Roman" w:cs="Times New Roman"/>
        </w:rPr>
        <w:t>Извор:</w:t>
      </w:r>
      <w:r>
        <w:rPr>
          <w:rFonts w:ascii="Times New Roman" w:hAnsi="Times New Roman" w:cs="Times New Roman"/>
          <w:lang w:val="sr-Cyrl-RS"/>
        </w:rPr>
        <w:t xml:space="preserve"> </w:t>
      </w:r>
      <w:r w:rsidRPr="00322065">
        <w:rPr>
          <w:rFonts w:ascii="Times New Roman" w:hAnsi="Times New Roman" w:cs="Times New Roman"/>
        </w:rPr>
        <w:t>Стратегија научног и технолошког развоја Републике Србије за период од 2021. до 2025. године („Служ</w:t>
      </w:r>
      <w:r>
        <w:rPr>
          <w:rFonts w:ascii="Times New Roman" w:hAnsi="Times New Roman" w:cs="Times New Roman"/>
        </w:rPr>
        <w:t>бени гласник РС”, број 10/2021)</w:t>
      </w:r>
    </w:p>
  </w:footnote>
  <w:footnote w:id="4">
    <w:p w14:paraId="37DF37EE" w14:textId="77777777" w:rsidR="00034C2E" w:rsidRPr="00F450FD" w:rsidRDefault="00034C2E" w:rsidP="00D31210">
      <w:pPr>
        <w:pStyle w:val="FootnoteText"/>
        <w:rPr>
          <w:rFonts w:ascii="Times New Roman" w:hAnsi="Times New Roman" w:cs="Times New Roman"/>
        </w:rPr>
      </w:pPr>
      <w:r w:rsidRPr="00F450FD">
        <w:rPr>
          <w:rStyle w:val="FootnoteReference"/>
          <w:rFonts w:ascii="Times New Roman" w:hAnsi="Times New Roman" w:cs="Times New Roman"/>
        </w:rPr>
        <w:footnoteRef/>
      </w:r>
      <w:r>
        <w:rPr>
          <w:rFonts w:ascii="Times New Roman" w:hAnsi="Times New Roman" w:cs="Times New Roman"/>
        </w:rPr>
        <w:t xml:space="preserve">WESP: </w:t>
      </w:r>
      <w:r w:rsidRPr="00F450FD">
        <w:rPr>
          <w:rFonts w:ascii="Times New Roman" w:hAnsi="Times New Roman" w:cs="Times New Roman"/>
        </w:rPr>
        <w:t xml:space="preserve">World Economic Situation and Prospects </w:t>
      </w:r>
      <w:r>
        <w:rPr>
          <w:rFonts w:ascii="Times New Roman" w:hAnsi="Times New Roman" w:cs="Times New Roman"/>
        </w:rPr>
        <w:t>R</w:t>
      </w:r>
      <w:r w:rsidRPr="00F450FD">
        <w:rPr>
          <w:rFonts w:ascii="Times New Roman" w:hAnsi="Times New Roman" w:cs="Times New Roman"/>
        </w:rPr>
        <w:t>eport</w:t>
      </w:r>
      <w:r>
        <w:rPr>
          <w:rFonts w:ascii="Times New Roman" w:hAnsi="Times New Roman" w:cs="Times New Roman"/>
        </w:rPr>
        <w:t>, United Nations.</w:t>
      </w:r>
    </w:p>
  </w:footnote>
  <w:footnote w:id="5">
    <w:p w14:paraId="72A9EF7B" w14:textId="77777777" w:rsidR="00034C2E" w:rsidRPr="00F550F7" w:rsidRDefault="00034C2E" w:rsidP="00F550F7">
      <w:pPr>
        <w:pStyle w:val="FootnoteText"/>
        <w:jc w:val="both"/>
        <w:rPr>
          <w:rFonts w:ascii="Times New Roman" w:hAnsi="Times New Roman" w:cs="Times New Roman"/>
        </w:rPr>
      </w:pPr>
      <w:r w:rsidRPr="00F550F7">
        <w:rPr>
          <w:rStyle w:val="FootnoteReference"/>
          <w:rFonts w:ascii="Times New Roman" w:hAnsi="Times New Roman" w:cs="Times New Roman"/>
        </w:rPr>
        <w:footnoteRef/>
      </w:r>
      <w:r w:rsidRPr="00F550F7">
        <w:rPr>
          <w:rFonts w:ascii="Times New Roman" w:hAnsi="Times New Roman" w:cs="Times New Roman"/>
        </w:rPr>
        <w:t>Програм</w:t>
      </w:r>
      <w:r>
        <w:rPr>
          <w:rFonts w:ascii="Times New Roman" w:hAnsi="Times New Roman" w:cs="Times New Roman"/>
        </w:rPr>
        <w:t xml:space="preserve"> економских реформи за период од</w:t>
      </w:r>
      <w:r w:rsidRPr="00F550F7">
        <w:rPr>
          <w:rFonts w:ascii="Times New Roman" w:hAnsi="Times New Roman" w:cs="Times New Roman"/>
        </w:rPr>
        <w:t xml:space="preserve"> 2021. до 2023. године </w:t>
      </w:r>
      <w:hyperlink r:id="rId2" w:history="1">
        <w:r w:rsidRPr="00F550F7">
          <w:rPr>
            <w:rStyle w:val="Hyperlink"/>
            <w:rFonts w:ascii="Times New Roman" w:hAnsi="Times New Roman" w:cs="Times New Roman"/>
          </w:rPr>
          <w:t>https://www.mfin.gov.rs//upload/media/ID63iX_60f11fc3470a8.pdf</w:t>
        </w:r>
      </w:hyperlink>
    </w:p>
  </w:footnote>
  <w:footnote w:id="6">
    <w:p w14:paraId="7C552675" w14:textId="13D75E47" w:rsidR="00034C2E" w:rsidRPr="00F550F7" w:rsidRDefault="00034C2E" w:rsidP="0072171E">
      <w:pPr>
        <w:pStyle w:val="FootnoteText"/>
        <w:jc w:val="both"/>
        <w:rPr>
          <w:rFonts w:ascii="Times New Roman" w:hAnsi="Times New Roman" w:cs="Times New Roman"/>
        </w:rPr>
      </w:pPr>
      <w:r w:rsidRPr="00F550F7">
        <w:rPr>
          <w:rStyle w:val="FootnoteReference"/>
          <w:rFonts w:ascii="Times New Roman" w:hAnsi="Times New Roman" w:cs="Times New Roman"/>
        </w:rPr>
        <w:footnoteRef/>
      </w:r>
      <w:r w:rsidRPr="00F550F7">
        <w:rPr>
          <w:rFonts w:ascii="Times New Roman" w:hAnsi="Times New Roman" w:cs="Times New Roman"/>
        </w:rPr>
        <w:t>Закон о</w:t>
      </w:r>
      <w:r>
        <w:rPr>
          <w:rFonts w:ascii="Times New Roman" w:hAnsi="Times New Roman" w:cs="Times New Roman"/>
        </w:rPr>
        <w:t xml:space="preserve"> изменама закона о </w:t>
      </w:r>
      <w:r w:rsidRPr="00F550F7">
        <w:rPr>
          <w:rFonts w:ascii="Times New Roman" w:hAnsi="Times New Roman" w:cs="Times New Roman"/>
        </w:rPr>
        <w:t xml:space="preserve">буџету </w:t>
      </w:r>
      <w:r>
        <w:rPr>
          <w:rFonts w:ascii="Times New Roman" w:hAnsi="Times New Roman" w:cs="Times New Roman"/>
        </w:rPr>
        <w:t>Републике Србије за 2021. годину</w:t>
      </w:r>
      <w:r>
        <w:rPr>
          <w:rFonts w:ascii="Times New Roman" w:hAnsi="Times New Roman" w:cs="Times New Roman"/>
          <w:lang w:val="sr-Cyrl-RS"/>
        </w:rPr>
        <w:t xml:space="preserve"> </w:t>
      </w:r>
      <w:r>
        <w:rPr>
          <w:rFonts w:ascii="Times New Roman" w:hAnsi="Times New Roman" w:cs="Times New Roman"/>
        </w:rPr>
        <w:t>(„Службени гласник РС</w:t>
      </w:r>
      <w:r>
        <w:rPr>
          <w:rFonts w:ascii="Times New Roman" w:hAnsi="Times New Roman" w:cs="Times New Roman"/>
          <w:lang w:val="sr-Cyrl-RS"/>
        </w:rPr>
        <w:t>“,</w:t>
      </w:r>
      <w:r>
        <w:rPr>
          <w:rFonts w:ascii="Times New Roman" w:hAnsi="Times New Roman" w:cs="Times New Roman"/>
        </w:rPr>
        <w:t xml:space="preserve"> бр.100/21).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11C4E" w14:textId="66504606" w:rsidR="00034C2E" w:rsidRDefault="00034C2E" w:rsidP="00CD287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p w14:paraId="687DB442" w14:textId="77777777" w:rsidR="00034C2E" w:rsidRDefault="00034C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8933" w14:textId="2BC8428F" w:rsidR="00034C2E" w:rsidRDefault="00034C2E" w:rsidP="00CD287D">
    <w:pPr>
      <w:pStyle w:val="Header"/>
      <w:framePr w:wrap="around" w:vAnchor="text" w:hAnchor="margin" w:xAlign="center" w:y="1"/>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A81DA8">
      <w:rPr>
        <w:rStyle w:val="PageNumber"/>
        <w:noProof/>
      </w:rPr>
      <w:t>3</w:t>
    </w:r>
    <w:r>
      <w:rPr>
        <w:rStyle w:val="PageNumber"/>
      </w:rPr>
      <w:fldChar w:fldCharType="end"/>
    </w:r>
  </w:p>
  <w:p w14:paraId="3D77BDBE" w14:textId="00CB7F8A" w:rsidR="00034C2E" w:rsidRDefault="00034C2E" w:rsidP="00CD287D">
    <w:pPr>
      <w:pStyle w:val="Header"/>
      <w:framePr w:wrap="around" w:vAnchor="text" w:hAnchor="margin" w:xAlign="center" w:y="1"/>
      <w:rPr>
        <w:rStyle w:val="PageNumber"/>
      </w:rPr>
    </w:pPr>
  </w:p>
  <w:p w14:paraId="77D6AECE" w14:textId="77777777" w:rsidR="00034C2E" w:rsidRDefault="00034C2E" w:rsidP="00CD287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7604912"/>
      <w:docPartObj>
        <w:docPartGallery w:val="Page Numbers (Top of Page)"/>
        <w:docPartUnique/>
      </w:docPartObj>
    </w:sdtPr>
    <w:sdtEndPr>
      <w:rPr>
        <w:noProof/>
      </w:rPr>
    </w:sdtEndPr>
    <w:sdtContent>
      <w:p w14:paraId="09B8FE50" w14:textId="0C19DD4C" w:rsidR="00034C2E" w:rsidRDefault="00034C2E">
        <w:pPr>
          <w:pStyle w:val="Header"/>
          <w:jc w:val="center"/>
        </w:pPr>
        <w:r>
          <w:fldChar w:fldCharType="begin"/>
        </w:r>
        <w:r>
          <w:instrText xml:space="preserve"> PAGE   \* MERGEFORMAT </w:instrText>
        </w:r>
        <w:r>
          <w:fldChar w:fldCharType="separate"/>
        </w:r>
        <w:r w:rsidR="00A81DA8">
          <w:rPr>
            <w:noProof/>
          </w:rPr>
          <w:t>1</w:t>
        </w:r>
        <w:r>
          <w:rPr>
            <w:noProof/>
          </w:rPr>
          <w:fldChar w:fldCharType="end"/>
        </w:r>
      </w:p>
    </w:sdtContent>
  </w:sdt>
  <w:p w14:paraId="59BAF9B5" w14:textId="77777777" w:rsidR="00034C2E" w:rsidRDefault="00034C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614F"/>
    <w:multiLevelType w:val="multilevel"/>
    <w:tmpl w:val="35EAB444"/>
    <w:lvl w:ilvl="0">
      <w:start w:val="1"/>
      <w:numFmt w:val="decimal"/>
      <w:lvlText w:val="%1)"/>
      <w:lvlJc w:val="left"/>
      <w:pPr>
        <w:ind w:left="720" w:hanging="360"/>
      </w:pPr>
      <w:rPr>
        <w:rFonts w:ascii="Times New Roman" w:eastAsia="Arial" w:hAnsi="Times New Roman" w:cs="Times New Roman"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11211D"/>
    <w:multiLevelType w:val="multilevel"/>
    <w:tmpl w:val="682CFE6A"/>
    <w:lvl w:ilvl="0">
      <w:start w:val="1"/>
      <w:numFmt w:val="decimal"/>
      <w:lvlText w:val="%1)"/>
      <w:lvlJc w:val="left"/>
      <w:pPr>
        <w:ind w:left="720" w:hanging="360"/>
      </w:pPr>
      <w:rPr>
        <w:rFonts w:ascii="Times New Roman" w:eastAsia="Arial" w:hAnsi="Times New Roman" w:cs="Times New Roman"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B1A08C8"/>
    <w:multiLevelType w:val="multilevel"/>
    <w:tmpl w:val="EF72A3DA"/>
    <w:lvl w:ilvl="0">
      <w:start w:val="1"/>
      <w:numFmt w:val="decimal"/>
      <w:lvlText w:val="%1)"/>
      <w:lvlJc w:val="left"/>
      <w:pPr>
        <w:ind w:left="720" w:hanging="360"/>
      </w:pPr>
      <w:rPr>
        <w:rFonts w:ascii="Times New Roman" w:eastAsia="Arial" w:hAnsi="Times New Roman" w:cs="Times New Roman"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A14066D"/>
    <w:multiLevelType w:val="multilevel"/>
    <w:tmpl w:val="21949520"/>
    <w:lvl w:ilvl="0">
      <w:start w:val="1"/>
      <w:numFmt w:val="decimal"/>
      <w:lvlText w:val="%1)"/>
      <w:lvlJc w:val="left"/>
      <w:pPr>
        <w:ind w:left="720" w:hanging="360"/>
      </w:pPr>
      <w:rPr>
        <w:rFonts w:ascii="Times New Roman" w:eastAsia="Arial" w:hAnsi="Times New Roman" w:cs="Times New Roman" w:hint="default"/>
        <w:b/>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009107C"/>
    <w:multiLevelType w:val="multilevel"/>
    <w:tmpl w:val="4492F4CC"/>
    <w:lvl w:ilvl="0">
      <w:start w:val="1"/>
      <w:numFmt w:val="decimal"/>
      <w:lvlText w:val="%1)"/>
      <w:lvlJc w:val="left"/>
      <w:pPr>
        <w:ind w:left="720" w:hanging="360"/>
      </w:pPr>
      <w:rPr>
        <w:rFonts w:ascii="Times New Roman" w:eastAsia="Arial" w:hAnsi="Times New Roman" w:cs="Times New Roman"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3A1D36F9"/>
    <w:multiLevelType w:val="hybridMultilevel"/>
    <w:tmpl w:val="EDEC2CCA"/>
    <w:lvl w:ilvl="0" w:tplc="F41C7270">
      <w:start w:val="1"/>
      <w:numFmt w:val="bullet"/>
      <w:lvlText w:val="-"/>
      <w:lvlJc w:val="right"/>
      <w:pPr>
        <w:ind w:left="1080" w:hanging="360"/>
      </w:pPr>
      <w:rPr>
        <w:rFonts w:ascii="Agency FB" w:hAnsi="Agency FB"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B1F274F"/>
    <w:multiLevelType w:val="multilevel"/>
    <w:tmpl w:val="FC32BDD4"/>
    <w:lvl w:ilvl="0">
      <w:start w:val="1"/>
      <w:numFmt w:val="decimal"/>
      <w:lvlText w:val="%1)"/>
      <w:lvlJc w:val="left"/>
      <w:pPr>
        <w:ind w:left="720" w:hanging="360"/>
      </w:pPr>
      <w:rPr>
        <w:rFonts w:ascii="Times New Roman" w:eastAsia="Arial" w:hAnsi="Times New Roman" w:cs="Times New Roman"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AA47DA9"/>
    <w:multiLevelType w:val="multilevel"/>
    <w:tmpl w:val="2B7C777E"/>
    <w:lvl w:ilvl="0">
      <w:start w:val="1"/>
      <w:numFmt w:val="decimal"/>
      <w:lvlText w:val="%1)"/>
      <w:lvlJc w:val="left"/>
      <w:pPr>
        <w:ind w:left="720" w:hanging="360"/>
      </w:pPr>
      <w:rPr>
        <w:rFonts w:ascii="Times New Roman" w:eastAsia="Arial" w:hAnsi="Times New Roman" w:cs="Times New Roman"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859763D"/>
    <w:multiLevelType w:val="hybridMultilevel"/>
    <w:tmpl w:val="8BE2F308"/>
    <w:lvl w:ilvl="0" w:tplc="7D9065AA">
      <w:start w:val="1"/>
      <w:numFmt w:val="bullet"/>
      <w:lvlText w:val=""/>
      <w:lvlJc w:val="left"/>
      <w:pPr>
        <w:ind w:left="720" w:hanging="360"/>
      </w:pPr>
      <w:rPr>
        <w:rFonts w:ascii="Symbol" w:hAnsi="Symbol" w:hint="default"/>
        <w:color w:val="808080" w:themeColor="background1" w:themeShade="8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3D6503"/>
    <w:multiLevelType w:val="hybridMultilevel"/>
    <w:tmpl w:val="D2A6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BF5874"/>
    <w:multiLevelType w:val="multilevel"/>
    <w:tmpl w:val="0A1AD0CE"/>
    <w:lvl w:ilvl="0">
      <w:start w:val="1"/>
      <w:numFmt w:val="decimal"/>
      <w:lvlText w:val="%1)"/>
      <w:lvlJc w:val="left"/>
      <w:pPr>
        <w:ind w:left="720" w:hanging="360"/>
      </w:pPr>
      <w:rPr>
        <w:rFonts w:ascii="Times New Roman" w:eastAsia="Arial" w:hAnsi="Times New Roman" w:cs="Times New Roman" w:hint="default"/>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3"/>
  </w:num>
  <w:num w:numId="3">
    <w:abstractNumId w:val="2"/>
  </w:num>
  <w:num w:numId="4">
    <w:abstractNumId w:val="10"/>
  </w:num>
  <w:num w:numId="5">
    <w:abstractNumId w:val="4"/>
  </w:num>
  <w:num w:numId="6">
    <w:abstractNumId w:val="0"/>
  </w:num>
  <w:num w:numId="7">
    <w:abstractNumId w:val="7"/>
  </w:num>
  <w:num w:numId="8">
    <w:abstractNumId w:val="6"/>
  </w:num>
  <w:num w:numId="9">
    <w:abstractNumId w:val="5"/>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7SwNDQ3MDAxMzM2NTBX0lEKTi0uzszPAykwqgUAXf9n7SwAAAA="/>
  </w:docVars>
  <w:rsids>
    <w:rsidRoot w:val="008C03BE"/>
    <w:rsid w:val="000078DC"/>
    <w:rsid w:val="000156B3"/>
    <w:rsid w:val="0002424C"/>
    <w:rsid w:val="000260D9"/>
    <w:rsid w:val="00031C20"/>
    <w:rsid w:val="00034C2E"/>
    <w:rsid w:val="000519C7"/>
    <w:rsid w:val="00074960"/>
    <w:rsid w:val="00075B71"/>
    <w:rsid w:val="00091A07"/>
    <w:rsid w:val="000B2073"/>
    <w:rsid w:val="000B6AE3"/>
    <w:rsid w:val="000B7248"/>
    <w:rsid w:val="000C7511"/>
    <w:rsid w:val="000D1866"/>
    <w:rsid w:val="000E26C2"/>
    <w:rsid w:val="000E520C"/>
    <w:rsid w:val="000F24E5"/>
    <w:rsid w:val="000F7BC1"/>
    <w:rsid w:val="00120227"/>
    <w:rsid w:val="00123BC7"/>
    <w:rsid w:val="001270B0"/>
    <w:rsid w:val="00134054"/>
    <w:rsid w:val="0014140C"/>
    <w:rsid w:val="00144BA4"/>
    <w:rsid w:val="00156BA6"/>
    <w:rsid w:val="00160FCE"/>
    <w:rsid w:val="00172D49"/>
    <w:rsid w:val="00185E95"/>
    <w:rsid w:val="00195801"/>
    <w:rsid w:val="001975C3"/>
    <w:rsid w:val="001A0303"/>
    <w:rsid w:val="001A3680"/>
    <w:rsid w:val="001D39A5"/>
    <w:rsid w:val="001D7EA5"/>
    <w:rsid w:val="002179CB"/>
    <w:rsid w:val="0023002B"/>
    <w:rsid w:val="00265DCE"/>
    <w:rsid w:val="00275CEA"/>
    <w:rsid w:val="00282610"/>
    <w:rsid w:val="0028378A"/>
    <w:rsid w:val="00286076"/>
    <w:rsid w:val="00287E99"/>
    <w:rsid w:val="002908E4"/>
    <w:rsid w:val="00294A2A"/>
    <w:rsid w:val="002B092E"/>
    <w:rsid w:val="002B11C3"/>
    <w:rsid w:val="002B347E"/>
    <w:rsid w:val="002B4EBC"/>
    <w:rsid w:val="002B6723"/>
    <w:rsid w:val="002B79B7"/>
    <w:rsid w:val="002C23EF"/>
    <w:rsid w:val="002D281B"/>
    <w:rsid w:val="002E0FC5"/>
    <w:rsid w:val="002E14F8"/>
    <w:rsid w:val="002E411B"/>
    <w:rsid w:val="002E6A50"/>
    <w:rsid w:val="003041E2"/>
    <w:rsid w:val="00322065"/>
    <w:rsid w:val="00327223"/>
    <w:rsid w:val="003332C1"/>
    <w:rsid w:val="00336944"/>
    <w:rsid w:val="00342F9E"/>
    <w:rsid w:val="00344A0E"/>
    <w:rsid w:val="0036586F"/>
    <w:rsid w:val="003906EE"/>
    <w:rsid w:val="003975BE"/>
    <w:rsid w:val="003A01A6"/>
    <w:rsid w:val="003E150A"/>
    <w:rsid w:val="003E5904"/>
    <w:rsid w:val="003F127F"/>
    <w:rsid w:val="0040588E"/>
    <w:rsid w:val="00413099"/>
    <w:rsid w:val="00455C37"/>
    <w:rsid w:val="004830A0"/>
    <w:rsid w:val="004A2E90"/>
    <w:rsid w:val="004F0789"/>
    <w:rsid w:val="00521CFC"/>
    <w:rsid w:val="00525FA6"/>
    <w:rsid w:val="0053506E"/>
    <w:rsid w:val="0053795C"/>
    <w:rsid w:val="00550D2F"/>
    <w:rsid w:val="005550D6"/>
    <w:rsid w:val="0055701B"/>
    <w:rsid w:val="005617AE"/>
    <w:rsid w:val="0058453D"/>
    <w:rsid w:val="00591544"/>
    <w:rsid w:val="0059557C"/>
    <w:rsid w:val="00595B78"/>
    <w:rsid w:val="005A235C"/>
    <w:rsid w:val="005D7AB9"/>
    <w:rsid w:val="005F4FA9"/>
    <w:rsid w:val="00617372"/>
    <w:rsid w:val="00631F5E"/>
    <w:rsid w:val="0065412C"/>
    <w:rsid w:val="00654A31"/>
    <w:rsid w:val="0066199A"/>
    <w:rsid w:val="006713B9"/>
    <w:rsid w:val="006817EB"/>
    <w:rsid w:val="0069008C"/>
    <w:rsid w:val="006960E9"/>
    <w:rsid w:val="006A6617"/>
    <w:rsid w:val="006B6854"/>
    <w:rsid w:val="006C7E42"/>
    <w:rsid w:val="006D5D70"/>
    <w:rsid w:val="006F389C"/>
    <w:rsid w:val="006F3EB1"/>
    <w:rsid w:val="006F52C6"/>
    <w:rsid w:val="00701D1E"/>
    <w:rsid w:val="0071338B"/>
    <w:rsid w:val="0072171E"/>
    <w:rsid w:val="00724BA7"/>
    <w:rsid w:val="007301CF"/>
    <w:rsid w:val="00741DE7"/>
    <w:rsid w:val="007773DD"/>
    <w:rsid w:val="0079172B"/>
    <w:rsid w:val="00797A3A"/>
    <w:rsid w:val="007A21B4"/>
    <w:rsid w:val="007C7C77"/>
    <w:rsid w:val="007D11AA"/>
    <w:rsid w:val="007D1AB9"/>
    <w:rsid w:val="007D1DA9"/>
    <w:rsid w:val="007D5326"/>
    <w:rsid w:val="00812461"/>
    <w:rsid w:val="00840731"/>
    <w:rsid w:val="008645B4"/>
    <w:rsid w:val="00870BD1"/>
    <w:rsid w:val="00873D7A"/>
    <w:rsid w:val="00877F2E"/>
    <w:rsid w:val="00882306"/>
    <w:rsid w:val="008A77C1"/>
    <w:rsid w:val="008B15A7"/>
    <w:rsid w:val="008B4D61"/>
    <w:rsid w:val="008C03BE"/>
    <w:rsid w:val="008C46E0"/>
    <w:rsid w:val="008D6B60"/>
    <w:rsid w:val="008D78AB"/>
    <w:rsid w:val="008F6058"/>
    <w:rsid w:val="00903266"/>
    <w:rsid w:val="009143F8"/>
    <w:rsid w:val="00922109"/>
    <w:rsid w:val="00931F88"/>
    <w:rsid w:val="00937786"/>
    <w:rsid w:val="00950636"/>
    <w:rsid w:val="00964DDC"/>
    <w:rsid w:val="0099399C"/>
    <w:rsid w:val="009B2548"/>
    <w:rsid w:val="009C1CB5"/>
    <w:rsid w:val="009C5A9D"/>
    <w:rsid w:val="009D4966"/>
    <w:rsid w:val="009D5A01"/>
    <w:rsid w:val="009D6409"/>
    <w:rsid w:val="009E64A2"/>
    <w:rsid w:val="009F346D"/>
    <w:rsid w:val="00A14FB6"/>
    <w:rsid w:val="00A25437"/>
    <w:rsid w:val="00A32FFA"/>
    <w:rsid w:val="00A51BF4"/>
    <w:rsid w:val="00A661FF"/>
    <w:rsid w:val="00A72A84"/>
    <w:rsid w:val="00A81DA8"/>
    <w:rsid w:val="00A92E47"/>
    <w:rsid w:val="00AA2B46"/>
    <w:rsid w:val="00AB1843"/>
    <w:rsid w:val="00AB2AEB"/>
    <w:rsid w:val="00AB3493"/>
    <w:rsid w:val="00AC0509"/>
    <w:rsid w:val="00AC1FF7"/>
    <w:rsid w:val="00B0298E"/>
    <w:rsid w:val="00B056F2"/>
    <w:rsid w:val="00B136BF"/>
    <w:rsid w:val="00B13C96"/>
    <w:rsid w:val="00B1456D"/>
    <w:rsid w:val="00B150BF"/>
    <w:rsid w:val="00B40045"/>
    <w:rsid w:val="00B45B18"/>
    <w:rsid w:val="00B524C7"/>
    <w:rsid w:val="00B60F48"/>
    <w:rsid w:val="00B70849"/>
    <w:rsid w:val="00B72B8A"/>
    <w:rsid w:val="00B833D3"/>
    <w:rsid w:val="00B947A1"/>
    <w:rsid w:val="00BA299F"/>
    <w:rsid w:val="00BB3297"/>
    <w:rsid w:val="00BB3401"/>
    <w:rsid w:val="00BC4639"/>
    <w:rsid w:val="00BF219D"/>
    <w:rsid w:val="00C0232B"/>
    <w:rsid w:val="00C14217"/>
    <w:rsid w:val="00C142F2"/>
    <w:rsid w:val="00C4657D"/>
    <w:rsid w:val="00C47E1A"/>
    <w:rsid w:val="00C5472D"/>
    <w:rsid w:val="00C55012"/>
    <w:rsid w:val="00C61247"/>
    <w:rsid w:val="00C63606"/>
    <w:rsid w:val="00C64F43"/>
    <w:rsid w:val="00C71486"/>
    <w:rsid w:val="00C73950"/>
    <w:rsid w:val="00C75E3B"/>
    <w:rsid w:val="00CA288B"/>
    <w:rsid w:val="00CA75ED"/>
    <w:rsid w:val="00CC128C"/>
    <w:rsid w:val="00CC2A56"/>
    <w:rsid w:val="00CD287D"/>
    <w:rsid w:val="00CE579C"/>
    <w:rsid w:val="00CE5F5D"/>
    <w:rsid w:val="00CF2263"/>
    <w:rsid w:val="00CF2ED2"/>
    <w:rsid w:val="00CF3587"/>
    <w:rsid w:val="00CF451B"/>
    <w:rsid w:val="00CF6A34"/>
    <w:rsid w:val="00CF7765"/>
    <w:rsid w:val="00D12634"/>
    <w:rsid w:val="00D178F3"/>
    <w:rsid w:val="00D17F04"/>
    <w:rsid w:val="00D218C7"/>
    <w:rsid w:val="00D31210"/>
    <w:rsid w:val="00D3155D"/>
    <w:rsid w:val="00D5262A"/>
    <w:rsid w:val="00D74DDE"/>
    <w:rsid w:val="00D823CC"/>
    <w:rsid w:val="00DB3406"/>
    <w:rsid w:val="00DC69B8"/>
    <w:rsid w:val="00DD2C36"/>
    <w:rsid w:val="00DF5B46"/>
    <w:rsid w:val="00DF61B3"/>
    <w:rsid w:val="00DF7217"/>
    <w:rsid w:val="00E146CD"/>
    <w:rsid w:val="00E24530"/>
    <w:rsid w:val="00E308CB"/>
    <w:rsid w:val="00E373A6"/>
    <w:rsid w:val="00E37B72"/>
    <w:rsid w:val="00E40AC9"/>
    <w:rsid w:val="00E45EC9"/>
    <w:rsid w:val="00E80BF6"/>
    <w:rsid w:val="00EC6328"/>
    <w:rsid w:val="00EE476E"/>
    <w:rsid w:val="00F07DEE"/>
    <w:rsid w:val="00F10095"/>
    <w:rsid w:val="00F10674"/>
    <w:rsid w:val="00F107CE"/>
    <w:rsid w:val="00F11C29"/>
    <w:rsid w:val="00F12924"/>
    <w:rsid w:val="00F1435F"/>
    <w:rsid w:val="00F2705C"/>
    <w:rsid w:val="00F450FD"/>
    <w:rsid w:val="00F550F7"/>
    <w:rsid w:val="00F72EF8"/>
    <w:rsid w:val="00F75719"/>
    <w:rsid w:val="00FC62FD"/>
    <w:rsid w:val="00FD468A"/>
    <w:rsid w:val="00FD49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F9F42"/>
  <w15:docId w15:val="{1B08DF34-CC6F-4694-B57D-2E5738A64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4530"/>
  </w:style>
  <w:style w:type="paragraph" w:styleId="Heading1">
    <w:name w:val="heading 1"/>
    <w:basedOn w:val="Normal"/>
    <w:next w:val="Normal"/>
    <w:uiPriority w:val="9"/>
    <w:qFormat/>
    <w:rsid w:val="00E24530"/>
    <w:pPr>
      <w:keepNext/>
      <w:keepLines/>
      <w:spacing w:before="400" w:after="120"/>
      <w:outlineLvl w:val="0"/>
    </w:pPr>
    <w:rPr>
      <w:sz w:val="40"/>
      <w:szCs w:val="40"/>
    </w:rPr>
  </w:style>
  <w:style w:type="paragraph" w:styleId="Heading2">
    <w:name w:val="heading 2"/>
    <w:basedOn w:val="Normal"/>
    <w:next w:val="Normal"/>
    <w:uiPriority w:val="9"/>
    <w:semiHidden/>
    <w:unhideWhenUsed/>
    <w:qFormat/>
    <w:rsid w:val="00E24530"/>
    <w:pPr>
      <w:keepNext/>
      <w:keepLines/>
      <w:spacing w:before="360" w:after="120"/>
      <w:outlineLvl w:val="1"/>
    </w:pPr>
    <w:rPr>
      <w:sz w:val="32"/>
      <w:szCs w:val="32"/>
    </w:rPr>
  </w:style>
  <w:style w:type="paragraph" w:styleId="Heading3">
    <w:name w:val="heading 3"/>
    <w:basedOn w:val="Normal"/>
    <w:next w:val="Normal"/>
    <w:uiPriority w:val="9"/>
    <w:semiHidden/>
    <w:unhideWhenUsed/>
    <w:qFormat/>
    <w:rsid w:val="00E24530"/>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rsid w:val="00E24530"/>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rsid w:val="00E24530"/>
    <w:pPr>
      <w:keepNext/>
      <w:keepLines/>
      <w:spacing w:before="240" w:after="80"/>
      <w:outlineLvl w:val="4"/>
    </w:pPr>
    <w:rPr>
      <w:color w:val="666666"/>
    </w:rPr>
  </w:style>
  <w:style w:type="paragraph" w:styleId="Heading6">
    <w:name w:val="heading 6"/>
    <w:basedOn w:val="Normal"/>
    <w:next w:val="Normal"/>
    <w:uiPriority w:val="9"/>
    <w:semiHidden/>
    <w:unhideWhenUsed/>
    <w:qFormat/>
    <w:rsid w:val="00E2453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E24530"/>
    <w:pPr>
      <w:keepNext/>
      <w:keepLines/>
      <w:spacing w:after="60"/>
    </w:pPr>
    <w:rPr>
      <w:sz w:val="52"/>
      <w:szCs w:val="52"/>
    </w:rPr>
  </w:style>
  <w:style w:type="paragraph" w:styleId="Subtitle">
    <w:name w:val="Subtitle"/>
    <w:basedOn w:val="Normal"/>
    <w:next w:val="Normal"/>
    <w:uiPriority w:val="11"/>
    <w:qFormat/>
    <w:rsid w:val="00E24530"/>
    <w:pPr>
      <w:keepNext/>
      <w:keepLines/>
      <w:spacing w:after="320"/>
    </w:pPr>
    <w:rPr>
      <w:color w:val="666666"/>
      <w:sz w:val="30"/>
      <w:szCs w:val="30"/>
    </w:rPr>
  </w:style>
  <w:style w:type="paragraph" w:styleId="CommentText">
    <w:name w:val="annotation text"/>
    <w:basedOn w:val="Normal"/>
    <w:link w:val="CommentTextChar"/>
    <w:uiPriority w:val="99"/>
    <w:unhideWhenUsed/>
    <w:rsid w:val="00E24530"/>
    <w:pPr>
      <w:spacing w:line="240" w:lineRule="auto"/>
    </w:pPr>
    <w:rPr>
      <w:sz w:val="20"/>
      <w:szCs w:val="20"/>
    </w:rPr>
  </w:style>
  <w:style w:type="character" w:customStyle="1" w:styleId="CommentTextChar">
    <w:name w:val="Comment Text Char"/>
    <w:basedOn w:val="DefaultParagraphFont"/>
    <w:link w:val="CommentText"/>
    <w:uiPriority w:val="99"/>
    <w:rsid w:val="00E24530"/>
    <w:rPr>
      <w:sz w:val="20"/>
      <w:szCs w:val="20"/>
    </w:rPr>
  </w:style>
  <w:style w:type="character" w:styleId="CommentReference">
    <w:name w:val="annotation reference"/>
    <w:basedOn w:val="DefaultParagraphFont"/>
    <w:uiPriority w:val="99"/>
    <w:semiHidden/>
    <w:unhideWhenUsed/>
    <w:rsid w:val="00E24530"/>
    <w:rPr>
      <w:sz w:val="16"/>
      <w:szCs w:val="16"/>
    </w:rPr>
  </w:style>
  <w:style w:type="paragraph" w:styleId="CommentSubject">
    <w:name w:val="annotation subject"/>
    <w:basedOn w:val="CommentText"/>
    <w:next w:val="CommentText"/>
    <w:link w:val="CommentSubjectChar"/>
    <w:uiPriority w:val="99"/>
    <w:semiHidden/>
    <w:unhideWhenUsed/>
    <w:rsid w:val="000F7BC1"/>
    <w:rPr>
      <w:b/>
      <w:bCs/>
    </w:rPr>
  </w:style>
  <w:style w:type="character" w:customStyle="1" w:styleId="CommentSubjectChar">
    <w:name w:val="Comment Subject Char"/>
    <w:basedOn w:val="CommentTextChar"/>
    <w:link w:val="CommentSubject"/>
    <w:uiPriority w:val="99"/>
    <w:semiHidden/>
    <w:rsid w:val="000F7BC1"/>
    <w:rPr>
      <w:b/>
      <w:bCs/>
      <w:sz w:val="20"/>
      <w:szCs w:val="20"/>
    </w:rPr>
  </w:style>
  <w:style w:type="paragraph" w:styleId="BalloonText">
    <w:name w:val="Balloon Text"/>
    <w:basedOn w:val="Normal"/>
    <w:link w:val="BalloonTextChar"/>
    <w:uiPriority w:val="99"/>
    <w:semiHidden/>
    <w:unhideWhenUsed/>
    <w:rsid w:val="00DD2C3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C36"/>
    <w:rPr>
      <w:rFonts w:ascii="Segoe UI" w:hAnsi="Segoe UI" w:cs="Segoe UI"/>
      <w:sz w:val="18"/>
      <w:szCs w:val="18"/>
    </w:rPr>
  </w:style>
  <w:style w:type="paragraph" w:customStyle="1" w:styleId="basic-paragraph">
    <w:name w:val="basic-paragraph"/>
    <w:basedOn w:val="Normal"/>
    <w:rsid w:val="00595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perscript">
    <w:name w:val="superscript"/>
    <w:basedOn w:val="DefaultParagraphFont"/>
    <w:rsid w:val="00595B78"/>
  </w:style>
  <w:style w:type="paragraph" w:styleId="FootnoteText">
    <w:name w:val="footnote text"/>
    <w:basedOn w:val="Normal"/>
    <w:link w:val="FootnoteTextChar"/>
    <w:uiPriority w:val="99"/>
    <w:semiHidden/>
    <w:unhideWhenUsed/>
    <w:rsid w:val="00CF2ED2"/>
    <w:pPr>
      <w:spacing w:line="240" w:lineRule="auto"/>
    </w:pPr>
    <w:rPr>
      <w:sz w:val="20"/>
      <w:szCs w:val="20"/>
    </w:rPr>
  </w:style>
  <w:style w:type="character" w:customStyle="1" w:styleId="FootnoteTextChar">
    <w:name w:val="Footnote Text Char"/>
    <w:basedOn w:val="DefaultParagraphFont"/>
    <w:link w:val="FootnoteText"/>
    <w:uiPriority w:val="99"/>
    <w:semiHidden/>
    <w:rsid w:val="00CF2ED2"/>
    <w:rPr>
      <w:sz w:val="20"/>
      <w:szCs w:val="20"/>
    </w:rPr>
  </w:style>
  <w:style w:type="character" w:styleId="FootnoteReference">
    <w:name w:val="footnote reference"/>
    <w:basedOn w:val="DefaultParagraphFont"/>
    <w:uiPriority w:val="99"/>
    <w:semiHidden/>
    <w:unhideWhenUsed/>
    <w:rsid w:val="00CF2ED2"/>
    <w:rPr>
      <w:vertAlign w:val="superscript"/>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Bullets,Ha"/>
    <w:basedOn w:val="Normal"/>
    <w:link w:val="ListParagraphChar"/>
    <w:uiPriority w:val="34"/>
    <w:qFormat/>
    <w:rsid w:val="00903266"/>
    <w:pPr>
      <w:ind w:left="720"/>
      <w:contextualSpacing/>
    </w:pPr>
  </w:style>
  <w:style w:type="paragraph" w:styleId="NoSpacing">
    <w:name w:val="No Spacing"/>
    <w:link w:val="NoSpacingChar"/>
    <w:uiPriority w:val="1"/>
    <w:qFormat/>
    <w:rsid w:val="0072171E"/>
    <w:pPr>
      <w:spacing w:line="240" w:lineRule="auto"/>
    </w:pPr>
    <w:rPr>
      <w:rFonts w:ascii="Times New Roman" w:eastAsiaTheme="minorHAnsi" w:hAnsi="Times New Roman" w:cstheme="minorBidi"/>
      <w:sz w:val="24"/>
      <w:lang w:val="en-GB"/>
    </w:rPr>
  </w:style>
  <w:style w:type="character" w:styleId="Hyperlink">
    <w:name w:val="Hyperlink"/>
    <w:basedOn w:val="DefaultParagraphFont"/>
    <w:uiPriority w:val="99"/>
    <w:unhideWhenUsed/>
    <w:rsid w:val="0072171E"/>
    <w:rPr>
      <w:color w:val="0000FF" w:themeColor="hyperlink"/>
      <w:u w:val="single"/>
    </w:rPr>
  </w:style>
  <w:style w:type="table" w:styleId="TableGrid">
    <w:name w:val="Table Grid"/>
    <w:basedOn w:val="TableNormal"/>
    <w:uiPriority w:val="39"/>
    <w:rsid w:val="007773D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6">
    <w:name w:val="Grid Table 4 - Accent 116"/>
    <w:basedOn w:val="TableNormal"/>
    <w:uiPriority w:val="49"/>
    <w:rsid w:val="00CE579C"/>
    <w:pPr>
      <w:spacing w:line="240" w:lineRule="auto"/>
    </w:pPr>
    <w:rPr>
      <w:rFonts w:ascii="Calibri" w:eastAsia="Times New Roman" w:hAnsi="Calibri" w:cs="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styleId="Strong">
    <w:name w:val="Strong"/>
    <w:basedOn w:val="DefaultParagraphFont"/>
    <w:uiPriority w:val="22"/>
    <w:qFormat/>
    <w:rsid w:val="006C7E42"/>
    <w:rPr>
      <w:b/>
      <w:bCs/>
    </w:rPr>
  </w:style>
  <w:style w:type="character" w:styleId="Emphasis">
    <w:name w:val="Emphasis"/>
    <w:basedOn w:val="DefaultParagraphFont"/>
    <w:uiPriority w:val="20"/>
    <w:qFormat/>
    <w:rsid w:val="006C7E42"/>
    <w:rPr>
      <w:i/>
      <w:iCs/>
    </w:rPr>
  </w:style>
  <w:style w:type="paragraph" w:customStyle="1" w:styleId="Default">
    <w:name w:val="Default"/>
    <w:rsid w:val="00160FCE"/>
    <w:pPr>
      <w:autoSpaceDE w:val="0"/>
      <w:autoSpaceDN w:val="0"/>
      <w:adjustRightInd w:val="0"/>
      <w:spacing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550F7"/>
    <w:pPr>
      <w:tabs>
        <w:tab w:val="center" w:pos="4513"/>
        <w:tab w:val="right" w:pos="9026"/>
      </w:tabs>
      <w:spacing w:line="240" w:lineRule="auto"/>
    </w:pPr>
  </w:style>
  <w:style w:type="character" w:customStyle="1" w:styleId="HeaderChar">
    <w:name w:val="Header Char"/>
    <w:basedOn w:val="DefaultParagraphFont"/>
    <w:link w:val="Header"/>
    <w:uiPriority w:val="99"/>
    <w:rsid w:val="00F550F7"/>
  </w:style>
  <w:style w:type="paragraph" w:styleId="Footer">
    <w:name w:val="footer"/>
    <w:basedOn w:val="Normal"/>
    <w:link w:val="FooterChar"/>
    <w:uiPriority w:val="99"/>
    <w:unhideWhenUsed/>
    <w:rsid w:val="00F550F7"/>
    <w:pPr>
      <w:tabs>
        <w:tab w:val="center" w:pos="4513"/>
        <w:tab w:val="right" w:pos="9026"/>
      </w:tabs>
      <w:spacing w:line="240" w:lineRule="auto"/>
    </w:pPr>
  </w:style>
  <w:style w:type="character" w:customStyle="1" w:styleId="FooterChar">
    <w:name w:val="Footer Char"/>
    <w:basedOn w:val="DefaultParagraphFont"/>
    <w:link w:val="Footer"/>
    <w:uiPriority w:val="99"/>
    <w:rsid w:val="00F550F7"/>
  </w:style>
  <w:style w:type="table" w:customStyle="1" w:styleId="GridTable4-Accent61">
    <w:name w:val="Grid Table 4 - Accent 61"/>
    <w:basedOn w:val="TableNormal"/>
    <w:uiPriority w:val="49"/>
    <w:rsid w:val="00322065"/>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2-Accent61">
    <w:name w:val="Grid Table 2 - Accent 61"/>
    <w:basedOn w:val="TableNormal"/>
    <w:uiPriority w:val="47"/>
    <w:rsid w:val="00322065"/>
    <w:pPr>
      <w:spacing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1Light-Accent21">
    <w:name w:val="Grid Table 1 Light - Accent 21"/>
    <w:basedOn w:val="TableNormal"/>
    <w:uiPriority w:val="46"/>
    <w:rsid w:val="008A77C1"/>
    <w:pPr>
      <w:spacing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GridTable5Dark-Accent61">
    <w:name w:val="Grid Table 5 Dark - Accent 61"/>
    <w:basedOn w:val="TableNormal"/>
    <w:uiPriority w:val="50"/>
    <w:rsid w:val="008A77C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character" w:customStyle="1" w:styleId="NoSpacingChar">
    <w:name w:val="No Spacing Char"/>
    <w:basedOn w:val="DefaultParagraphFont"/>
    <w:link w:val="NoSpacing"/>
    <w:uiPriority w:val="1"/>
    <w:rsid w:val="009C5A9D"/>
    <w:rPr>
      <w:rFonts w:ascii="Times New Roman" w:eastAsiaTheme="minorHAnsi" w:hAnsi="Times New Roman" w:cstheme="minorBidi"/>
      <w:sz w:val="24"/>
      <w:lang w:val="en-GB"/>
    </w:rPr>
  </w:style>
  <w:style w:type="table" w:customStyle="1" w:styleId="GridTable4-Accent62">
    <w:name w:val="Grid Table 4 - Accent 62"/>
    <w:basedOn w:val="TableNormal"/>
    <w:uiPriority w:val="49"/>
    <w:rsid w:val="00EE476E"/>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GridTable5Dark-Accent62">
    <w:name w:val="Grid Table 5 Dark - Accent 62"/>
    <w:basedOn w:val="TableNormal"/>
    <w:uiPriority w:val="50"/>
    <w:rsid w:val="00EE476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rsid w:val="00DF61B3"/>
  </w:style>
  <w:style w:type="table" w:customStyle="1" w:styleId="TableGridLight1">
    <w:name w:val="Table Grid Light1"/>
    <w:basedOn w:val="TableNormal"/>
    <w:uiPriority w:val="40"/>
    <w:rsid w:val="00DF61B3"/>
    <w:pPr>
      <w:spacing w:line="240" w:lineRule="auto"/>
    </w:pPr>
    <w:rPr>
      <w:rFonts w:asciiTheme="minorHAnsi" w:eastAsiaTheme="minorHAnsi" w:hAnsiTheme="minorHAnsi" w:cstheme="minorBid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10">
    <w:name w:val="Table Grid Light1"/>
    <w:basedOn w:val="TableNormal"/>
    <w:uiPriority w:val="40"/>
    <w:rsid w:val="002E14F8"/>
    <w:pPr>
      <w:spacing w:line="240" w:lineRule="auto"/>
    </w:pPr>
    <w:rPr>
      <w:rFonts w:asciiTheme="minorHAnsi" w:eastAsiaTheme="minorHAnsi" w:hAnsiTheme="minorHAnsi" w:cstheme="minorBid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DefaultParagraphFont"/>
    <w:uiPriority w:val="99"/>
    <w:semiHidden/>
    <w:unhideWhenUsed/>
    <w:rsid w:val="00B136BF"/>
    <w:rPr>
      <w:color w:val="605E5C"/>
      <w:shd w:val="clear" w:color="auto" w:fill="E1DFDD"/>
    </w:rPr>
  </w:style>
  <w:style w:type="character" w:styleId="PageNumber">
    <w:name w:val="page number"/>
    <w:basedOn w:val="DefaultParagraphFont"/>
    <w:uiPriority w:val="99"/>
    <w:semiHidden/>
    <w:unhideWhenUsed/>
    <w:rsid w:val="002B1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86984">
      <w:bodyDiv w:val="1"/>
      <w:marLeft w:val="0"/>
      <w:marRight w:val="0"/>
      <w:marTop w:val="0"/>
      <w:marBottom w:val="0"/>
      <w:divBdr>
        <w:top w:val="none" w:sz="0" w:space="0" w:color="auto"/>
        <w:left w:val="none" w:sz="0" w:space="0" w:color="auto"/>
        <w:bottom w:val="none" w:sz="0" w:space="0" w:color="auto"/>
        <w:right w:val="none" w:sz="0" w:space="0" w:color="auto"/>
      </w:divBdr>
    </w:div>
    <w:div w:id="796948607">
      <w:bodyDiv w:val="1"/>
      <w:marLeft w:val="0"/>
      <w:marRight w:val="0"/>
      <w:marTop w:val="0"/>
      <w:marBottom w:val="0"/>
      <w:divBdr>
        <w:top w:val="none" w:sz="0" w:space="0" w:color="auto"/>
        <w:left w:val="none" w:sz="0" w:space="0" w:color="auto"/>
        <w:bottom w:val="none" w:sz="0" w:space="0" w:color="auto"/>
        <w:right w:val="none" w:sz="0" w:space="0" w:color="auto"/>
      </w:divBdr>
    </w:div>
    <w:div w:id="1037195978">
      <w:bodyDiv w:val="1"/>
      <w:marLeft w:val="0"/>
      <w:marRight w:val="0"/>
      <w:marTop w:val="0"/>
      <w:marBottom w:val="0"/>
      <w:divBdr>
        <w:top w:val="none" w:sz="0" w:space="0" w:color="auto"/>
        <w:left w:val="none" w:sz="0" w:space="0" w:color="auto"/>
        <w:bottom w:val="none" w:sz="0" w:space="0" w:color="auto"/>
        <w:right w:val="none" w:sz="0" w:space="0" w:color="auto"/>
      </w:divBdr>
    </w:div>
    <w:div w:id="1673143402">
      <w:bodyDiv w:val="1"/>
      <w:marLeft w:val="0"/>
      <w:marRight w:val="0"/>
      <w:marTop w:val="0"/>
      <w:marBottom w:val="0"/>
      <w:divBdr>
        <w:top w:val="none" w:sz="0" w:space="0" w:color="auto"/>
        <w:left w:val="none" w:sz="0" w:space="0" w:color="auto"/>
        <w:bottom w:val="none" w:sz="0" w:space="0" w:color="auto"/>
        <w:right w:val="none" w:sz="0" w:space="0" w:color="auto"/>
      </w:divBdr>
    </w:div>
    <w:div w:id="1680156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novacionifond.rs/program-saradnje-nauke-privre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inovacionifond.rs/program-sufinansiranja-inovacija-o-programu/" TargetMode="External"/><Relationship Id="rId23" Type="http://schemas.microsoft.com/office/2016/09/relationships/commentsIds" Target="commentsId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inovacionifond.rs/program-ranog-razvoja-o-programu/" TargetMode="External"/><Relationship Id="rId22"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www.mfin.gov.rs//upload/media/ID63iX_60f11fc3470a8.pdf" TargetMode="External"/><Relationship Id="rId1" Type="http://schemas.openxmlformats.org/officeDocument/2006/relationships/hyperlink" Target="https://www.mpn.gov.rs/wp-content/uploads/2020/12/IZVESTAJ-O-STANJU-U-NAUCI-u-2019-god-dostavljen-VLADI-17-decembar-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3C1A898-06DE-4D0B-BCCF-C2E1094A5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24</Pages>
  <Words>9037</Words>
  <Characters>51516</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Анализа ефеката Закона о иновационој делатности</vt:lpstr>
    </vt:vector>
  </TitlesOfParts>
  <Company/>
  <LinksUpToDate>false</LinksUpToDate>
  <CharactersWithSpaces>60433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Анализа ефеката Закона о иновационој делатности</dc:title>
  <dc:creator>MPNTR</dc:creator>
  <cp:lastModifiedBy>Daktilobiro09</cp:lastModifiedBy>
  <cp:revision>11</cp:revision>
  <cp:lastPrinted>2021-11-17T12:01:00Z</cp:lastPrinted>
  <dcterms:created xsi:type="dcterms:W3CDTF">2021-11-04T11:56:00Z</dcterms:created>
  <dcterms:modified xsi:type="dcterms:W3CDTF">2021-11-18T13:57:00Z</dcterms:modified>
</cp:coreProperties>
</file>