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62D" w:rsidRPr="00423402" w:rsidRDefault="00F7362D" w:rsidP="00F7362D">
      <w:pPr>
        <w:shd w:val="clear" w:color="auto" w:fill="FFFFFF"/>
        <w:jc w:val="center"/>
        <w:rPr>
          <w:b/>
          <w:sz w:val="28"/>
          <w:lang w:val="sr-Cyrl-CS" w:eastAsia="hr-HR"/>
        </w:rPr>
      </w:pPr>
      <w:r w:rsidRPr="00423402">
        <w:rPr>
          <w:b/>
          <w:sz w:val="28"/>
          <w:lang w:val="sr-Cyrl-CS" w:eastAsia="hr-HR"/>
        </w:rPr>
        <w:t>ИЗЈАВА</w:t>
      </w:r>
    </w:p>
    <w:p w:rsidR="00F7362D" w:rsidRPr="00423402" w:rsidRDefault="00F7362D" w:rsidP="00F7362D">
      <w:pPr>
        <w:shd w:val="clear" w:color="auto" w:fill="FFFFFF"/>
        <w:jc w:val="center"/>
        <w:rPr>
          <w:b/>
          <w:sz w:val="28"/>
          <w:lang w:val="sr-Cyrl-CS" w:eastAsia="hr-HR"/>
        </w:rPr>
      </w:pPr>
      <w:r w:rsidRPr="00423402">
        <w:rPr>
          <w:b/>
          <w:sz w:val="28"/>
          <w:lang w:val="sr-Cyrl-CS" w:eastAsia="hr-HR"/>
        </w:rPr>
        <w:t>О УСКЛАЂЕНОСТИ ПРОПИСА СА ПРОПИСИМА ЕВРОПСКЕ УНИЈЕ</w:t>
      </w:r>
    </w:p>
    <w:p w:rsidR="00F7362D" w:rsidRPr="00423402" w:rsidRDefault="00F7362D" w:rsidP="00F7362D">
      <w:pPr>
        <w:rPr>
          <w:szCs w:val="20"/>
          <w:lang w:val="sr-Cyrl-CS" w:eastAsia="hr-HR"/>
        </w:rPr>
      </w:pPr>
    </w:p>
    <w:p w:rsidR="00F7362D" w:rsidRPr="00F7362D" w:rsidRDefault="00F7362D" w:rsidP="00F7362D">
      <w:pPr>
        <w:spacing w:after="120"/>
        <w:rPr>
          <w:lang w:val="sr-Cyrl-CS" w:eastAsia="hr-HR"/>
        </w:rPr>
      </w:pPr>
      <w:r w:rsidRPr="00423402">
        <w:rPr>
          <w:b/>
          <w:lang w:val="sr-Cyrl-CS" w:eastAsia="hr-HR"/>
        </w:rPr>
        <w:t xml:space="preserve">1. Орган државне управе, односно други овлашћени предлагач прописа </w:t>
      </w:r>
      <w:r>
        <w:rPr>
          <w:b/>
          <w:lang w:val="sr-Cyrl-CS" w:eastAsia="hr-HR"/>
        </w:rPr>
        <w:t xml:space="preserve">- </w:t>
      </w:r>
      <w:r>
        <w:rPr>
          <w:lang w:val="sr-Cyrl-CS" w:eastAsia="hr-HR"/>
        </w:rPr>
        <w:t>Влада</w:t>
      </w:r>
    </w:p>
    <w:p w:rsidR="00F7362D" w:rsidRPr="00423402" w:rsidRDefault="00F7362D" w:rsidP="00F7362D">
      <w:pPr>
        <w:spacing w:after="120"/>
        <w:ind w:firstLine="284"/>
        <w:rPr>
          <w:lang w:val="sr-Cyrl-CS" w:eastAsia="hr-HR"/>
        </w:rPr>
      </w:pPr>
      <w:r>
        <w:rPr>
          <w:b/>
          <w:lang w:val="sr-Cyrl-CS" w:eastAsia="hr-HR"/>
        </w:rPr>
        <w:t xml:space="preserve">Обрађивач - </w:t>
      </w:r>
      <w:r w:rsidRPr="00423402">
        <w:rPr>
          <w:lang w:val="sr-Cyrl-CS" w:eastAsia="hr-HR"/>
        </w:rPr>
        <w:t>Министарство пољопривреде, шумарства и водопривреде</w:t>
      </w:r>
    </w:p>
    <w:p w:rsidR="00F7362D" w:rsidRPr="00423402" w:rsidRDefault="00F7362D" w:rsidP="00F7362D">
      <w:pPr>
        <w:spacing w:after="120"/>
        <w:rPr>
          <w:b/>
          <w:lang w:val="sr-Cyrl-CS" w:eastAsia="hr-HR"/>
        </w:rPr>
      </w:pPr>
      <w:r w:rsidRPr="00423402">
        <w:rPr>
          <w:b/>
          <w:lang w:val="sr-Cyrl-CS" w:eastAsia="hr-HR"/>
        </w:rPr>
        <w:t>2. Назив прописа</w:t>
      </w:r>
    </w:p>
    <w:p w:rsidR="00F7362D" w:rsidRPr="00423402" w:rsidRDefault="00F7362D" w:rsidP="00F7362D">
      <w:pPr>
        <w:spacing w:after="120"/>
        <w:ind w:left="284"/>
        <w:rPr>
          <w:i/>
          <w:lang w:val="sr-Cyrl-CS" w:eastAsia="hr-HR"/>
        </w:rPr>
      </w:pPr>
      <w:r>
        <w:rPr>
          <w:lang w:val="sr-Cyrl-CS" w:eastAsia="hr-HR"/>
        </w:rPr>
        <w:t>Предлог</w:t>
      </w:r>
      <w:r w:rsidRPr="00423402">
        <w:rPr>
          <w:lang w:val="sr-Cyrl-CS" w:eastAsia="hr-HR"/>
        </w:rPr>
        <w:t xml:space="preserve"> закона о изменама и допунама Закона о пољопривреди и руралном развоју </w:t>
      </w:r>
      <w:r w:rsidRPr="00423402">
        <w:rPr>
          <w:i/>
          <w:lang w:val="sr-Cyrl-CS" w:eastAsia="hr-HR"/>
        </w:rPr>
        <w:t>(Draft Law on amendments on the Law on Agriculture and Rural Development)</w:t>
      </w:r>
    </w:p>
    <w:p w:rsidR="00F7362D" w:rsidRPr="00423402" w:rsidRDefault="00F7362D" w:rsidP="00F7362D">
      <w:pPr>
        <w:spacing w:after="120"/>
        <w:rPr>
          <w:b/>
          <w:lang w:val="sr-Cyrl-CS" w:eastAsia="hr-HR"/>
        </w:rPr>
      </w:pPr>
      <w:r w:rsidRPr="00423402">
        <w:rPr>
          <w:b/>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F7362D" w:rsidRPr="00423402" w:rsidRDefault="00F7362D" w:rsidP="00F7362D">
      <w:pPr>
        <w:spacing w:after="120"/>
        <w:rPr>
          <w:b/>
          <w:lang w:val="sr-Cyrl-CS" w:eastAsia="hr-HR"/>
        </w:rPr>
      </w:pPr>
      <w:r w:rsidRPr="00423402">
        <w:rPr>
          <w:b/>
          <w:lang w:val="sr-Cyrl-CS" w:eastAsia="hr-HR"/>
        </w:rPr>
        <w:t>а) Одредба Споразума која се односе на нормативну саржину прописа,</w:t>
      </w:r>
    </w:p>
    <w:p w:rsidR="00F7362D" w:rsidRPr="00423402" w:rsidRDefault="00F7362D" w:rsidP="00F7362D">
      <w:pPr>
        <w:numPr>
          <w:ilvl w:val="0"/>
          <w:numId w:val="1"/>
        </w:numPr>
        <w:spacing w:after="120"/>
        <w:ind w:left="284" w:hanging="284"/>
        <w:rPr>
          <w:lang w:val="sr-Cyrl-CS" w:eastAsia="hr-HR"/>
        </w:rPr>
      </w:pPr>
      <w:r w:rsidRPr="00423402">
        <w:rPr>
          <w:lang w:val="sr-Cyrl-CS" w:eastAsia="hr-HR"/>
        </w:rPr>
        <w:t xml:space="preserve">Нормативна садржина </w:t>
      </w:r>
      <w:r>
        <w:rPr>
          <w:lang w:val="sr-Cyrl-CS" w:eastAsia="hr-HR"/>
        </w:rPr>
        <w:t>Предлога</w:t>
      </w:r>
      <w:r w:rsidRPr="00423402">
        <w:rPr>
          <w:lang w:val="sr-Cyrl-CS" w:eastAsia="hr-HR"/>
        </w:rPr>
        <w:t xml:space="preserve"> закона о изменама и допунама Закона о пољопривреди и руралном развоју није у супротности са одредбама Споразума. </w:t>
      </w:r>
    </w:p>
    <w:p w:rsidR="00F7362D" w:rsidRPr="00423402" w:rsidRDefault="00F7362D" w:rsidP="00F7362D">
      <w:pPr>
        <w:spacing w:after="120"/>
        <w:rPr>
          <w:b/>
          <w:lang w:val="sr-Cyrl-CS" w:eastAsia="hr-HR"/>
        </w:rPr>
      </w:pPr>
      <w:r w:rsidRPr="00423402">
        <w:rPr>
          <w:b/>
          <w:lang w:val="sr-Cyrl-CS" w:eastAsia="hr-HR"/>
        </w:rPr>
        <w:t>б) Прелазни рок за усклађивање законодавства према одредбама Споразума,</w:t>
      </w:r>
    </w:p>
    <w:p w:rsidR="00F7362D" w:rsidRPr="00423402" w:rsidRDefault="00F7362D" w:rsidP="00F7362D">
      <w:pPr>
        <w:numPr>
          <w:ilvl w:val="0"/>
          <w:numId w:val="1"/>
        </w:numPr>
        <w:spacing w:after="120"/>
        <w:ind w:left="284" w:hanging="284"/>
        <w:rPr>
          <w:lang w:val="sr-Cyrl-CS" w:eastAsia="hr-HR"/>
        </w:rPr>
      </w:pPr>
      <w:r w:rsidRPr="00423402">
        <w:rPr>
          <w:lang w:val="sr-Cyrl-CS" w:eastAsia="hr-HR"/>
        </w:rPr>
        <w:t>Нема.</w:t>
      </w:r>
    </w:p>
    <w:p w:rsidR="00F7362D" w:rsidRPr="00423402" w:rsidRDefault="00F7362D" w:rsidP="00F7362D">
      <w:pPr>
        <w:spacing w:after="120"/>
        <w:rPr>
          <w:b/>
          <w:lang w:val="sr-Cyrl-CS" w:eastAsia="hr-HR"/>
        </w:rPr>
      </w:pPr>
      <w:r w:rsidRPr="00423402">
        <w:rPr>
          <w:b/>
          <w:lang w:val="sr-Cyrl-CS" w:eastAsia="hr-HR"/>
        </w:rPr>
        <w:t>в) Оцена испуњености обавезе које произлазе из наведене одредбе Споразума,</w:t>
      </w:r>
    </w:p>
    <w:p w:rsidR="00F7362D" w:rsidRPr="00423402" w:rsidRDefault="00F7362D" w:rsidP="00F7362D">
      <w:pPr>
        <w:numPr>
          <w:ilvl w:val="0"/>
          <w:numId w:val="1"/>
        </w:numPr>
        <w:spacing w:after="120"/>
        <w:ind w:left="284" w:hanging="284"/>
        <w:rPr>
          <w:lang w:val="sr-Cyrl-CS" w:eastAsia="hr-HR"/>
        </w:rPr>
      </w:pPr>
      <w:r w:rsidRPr="00423402">
        <w:rPr>
          <w:lang w:val="sr-Cyrl-CS" w:eastAsia="hr-HR"/>
        </w:rPr>
        <w:t>Нема.</w:t>
      </w:r>
    </w:p>
    <w:p w:rsidR="00F7362D" w:rsidRPr="00423402" w:rsidRDefault="00F7362D" w:rsidP="00F7362D">
      <w:pPr>
        <w:spacing w:after="120"/>
        <w:rPr>
          <w:b/>
          <w:lang w:val="sr-Cyrl-CS" w:eastAsia="hr-HR"/>
        </w:rPr>
      </w:pPr>
      <w:r w:rsidRPr="00423402">
        <w:rPr>
          <w:b/>
          <w:lang w:val="sr-Cyrl-CS" w:eastAsia="hr-HR"/>
        </w:rPr>
        <w:t>г) Разлози за делимично испуњавање, односно неиспуњавање обавеза које произлазе из наведене одредбе Споразума,</w:t>
      </w:r>
    </w:p>
    <w:p w:rsidR="00F7362D" w:rsidRPr="00423402" w:rsidRDefault="00F7362D" w:rsidP="00F7362D">
      <w:pPr>
        <w:numPr>
          <w:ilvl w:val="0"/>
          <w:numId w:val="2"/>
        </w:numPr>
        <w:tabs>
          <w:tab w:val="num" w:pos="284"/>
        </w:tabs>
        <w:spacing w:after="120"/>
        <w:ind w:hanging="720"/>
        <w:rPr>
          <w:lang w:val="sr-Cyrl-CS" w:eastAsia="hr-HR"/>
        </w:rPr>
      </w:pPr>
      <w:r w:rsidRPr="00423402">
        <w:rPr>
          <w:lang w:val="sr-Cyrl-CS" w:eastAsia="hr-HR"/>
        </w:rPr>
        <w:t>Нема.</w:t>
      </w:r>
    </w:p>
    <w:p w:rsidR="00F7362D" w:rsidRPr="00423402" w:rsidRDefault="00F7362D" w:rsidP="00F7362D">
      <w:pPr>
        <w:spacing w:after="120"/>
        <w:rPr>
          <w:b/>
          <w:lang w:val="sr-Cyrl-CS" w:eastAsia="hr-HR"/>
        </w:rPr>
      </w:pPr>
      <w:r w:rsidRPr="00423402">
        <w:rPr>
          <w:b/>
          <w:lang w:val="sr-Cyrl-CS" w:eastAsia="hr-HR"/>
        </w:rPr>
        <w:t>д) Веза са Националним програмом за усвајање правних тековина Европске уније.</w:t>
      </w:r>
    </w:p>
    <w:p w:rsidR="00F7362D" w:rsidRPr="00423402" w:rsidRDefault="00F7362D" w:rsidP="00F7362D">
      <w:pPr>
        <w:shd w:val="clear" w:color="auto" w:fill="FFFFFF"/>
        <w:spacing w:after="150"/>
        <w:rPr>
          <w:lang w:val="sr-Cyrl-CS" w:eastAsia="en-GB"/>
        </w:rPr>
      </w:pPr>
      <w:r>
        <w:rPr>
          <w:lang w:val="sr-Cyrl-CS" w:eastAsia="en-GB"/>
        </w:rPr>
        <w:t>Предлог</w:t>
      </w:r>
      <w:r w:rsidRPr="00423402">
        <w:rPr>
          <w:lang w:val="sr-Cyrl-CS" w:eastAsia="en-GB"/>
        </w:rPr>
        <w:t xml:space="preserve"> закона о изменама и допунама Закона о пољопривреди и руралном развоју се на системски начин уређује област пољопривреде и руралног развоја, тј. циљeви пoљoприврeднe пoлитикe и пoлитикe рурaлнoг рaзвoja, кao и нaчин њихoвoг oствaривaњa, Рeгистaр пoљoприврeдних гaздинстaвa, eвидeнтирaњe и извeштaвaњe у пoљoприврeди, кao и нaдзoр нaд спрoвoђeњeм oвoг зaкoнa. Такође, овим законом урeђуjу сe и прaвилa пoсeбнoг пoступкa спрoвoђeњa и кoнтрoлe ИПAРД прoгрaмa, oбрaзуje сe Упрaвa зa aгрaрнa плaћaњa, кao oргaн упрaвe у сaстaву министaрствa нaдлeжнoг зa пoслoвe пoљoприврeдe  и урeђуje њeнa нaдлeжнoст што је предвиђено Трећом ревизијом Националног програмом за усвајање правних тековина Европске уније, поглавље </w:t>
      </w:r>
      <w:r w:rsidRPr="00423402">
        <w:rPr>
          <w:rFonts w:eastAsia="TimesNewRomanPS-BoldMT"/>
          <w:bCs/>
          <w:lang w:val="sr-Cyrl-CS" w:eastAsia="en-GB"/>
        </w:rPr>
        <w:t xml:space="preserve">3.11. Пољопривреда и рурални развој. </w:t>
      </w:r>
    </w:p>
    <w:p w:rsidR="00F7362D" w:rsidRPr="00423402" w:rsidRDefault="00F7362D" w:rsidP="00F7362D">
      <w:pPr>
        <w:tabs>
          <w:tab w:val="num" w:pos="284"/>
        </w:tabs>
        <w:spacing w:after="120"/>
        <w:rPr>
          <w:lang w:val="sr-Cyrl-CS"/>
        </w:rPr>
      </w:pPr>
      <w:r w:rsidRPr="00423402">
        <w:rPr>
          <w:lang w:val="sr-Cyrl-CS"/>
        </w:rPr>
        <w:t xml:space="preserve">Законом о пољопривреди и руралном развоју и пратећим подзаконским актима ближе се дефинишу механизми имплементације пољопривредне политике и </w:t>
      </w:r>
      <w:r w:rsidRPr="00423402">
        <w:rPr>
          <w:lang w:val="sr-Cyrl-CS"/>
        </w:rPr>
        <w:lastRenderedPageBreak/>
        <w:t xml:space="preserve">политике руралног развоја, а </w:t>
      </w:r>
      <w:r>
        <w:rPr>
          <w:lang w:val="sr-Cyrl-CS"/>
        </w:rPr>
        <w:t>Предлогом</w:t>
      </w:r>
      <w:r w:rsidRPr="00423402">
        <w:rPr>
          <w:lang w:val="sr-Cyrl-CS"/>
        </w:rPr>
        <w:t xml:space="preserve"> закона о изменама и допунама Закона о пољопривреди и руралном развоју исти се унапређују. </w:t>
      </w:r>
    </w:p>
    <w:p w:rsidR="00F7362D" w:rsidRPr="00423402" w:rsidRDefault="00F7362D" w:rsidP="00F7362D">
      <w:pPr>
        <w:spacing w:after="120"/>
        <w:rPr>
          <w:b/>
          <w:lang w:val="sr-Cyrl-CS" w:eastAsia="hr-HR"/>
        </w:rPr>
      </w:pPr>
      <w:r w:rsidRPr="00423402">
        <w:rPr>
          <w:b/>
          <w:lang w:val="sr-Cyrl-CS" w:eastAsia="hr-HR"/>
        </w:rPr>
        <w:t>4. Усклађеност прописа са прописима Европске уније:</w:t>
      </w:r>
    </w:p>
    <w:p w:rsidR="00F7362D" w:rsidRPr="00423402" w:rsidRDefault="00F7362D" w:rsidP="00F7362D">
      <w:pPr>
        <w:rPr>
          <w:b/>
          <w:lang w:val="sr-Cyrl-CS" w:eastAsia="hr-HR"/>
        </w:rPr>
      </w:pPr>
      <w:r w:rsidRPr="00423402">
        <w:rPr>
          <w:b/>
          <w:lang w:val="sr-Cyrl-CS" w:eastAsia="hr-HR"/>
        </w:rPr>
        <w:t>а) Навођење одредби примарних извора права Европске уније и оцене усклађености са њима,</w:t>
      </w:r>
    </w:p>
    <w:p w:rsidR="00F7362D" w:rsidRPr="00423402" w:rsidRDefault="00F7362D" w:rsidP="00F7362D">
      <w:pPr>
        <w:ind w:firstLine="720"/>
        <w:rPr>
          <w:b/>
          <w:lang w:val="sr-Cyrl-CS" w:eastAsia="hr-HR"/>
        </w:rPr>
      </w:pPr>
      <w:r>
        <w:rPr>
          <w:lang w:val="sr-Cyrl-CS" w:eastAsia="hr-HR"/>
        </w:rPr>
        <w:t>Предлог</w:t>
      </w:r>
      <w:r w:rsidRPr="00423402">
        <w:rPr>
          <w:lang w:val="sr-Cyrl-CS" w:eastAsia="hr-HR"/>
        </w:rPr>
        <w:t xml:space="preserve"> закона о изменама и допунама Закона о пољопривреди и руралном развоју</w:t>
      </w:r>
      <w:r w:rsidRPr="00423402">
        <w:rPr>
          <w:bCs/>
          <w:lang w:val="sr-Cyrl-CS" w:eastAsia="hr-HR"/>
        </w:rPr>
        <w:t xml:space="preserve"> </w:t>
      </w:r>
      <w:r w:rsidRPr="00423402">
        <w:rPr>
          <w:lang w:val="sr-Cyrl-CS" w:eastAsia="hr-HR"/>
        </w:rPr>
        <w:t xml:space="preserve">може се довести у везу са Уговором о функционисању Европске уније и то са главом III Пољопривреда и рибарство чл. 39. до 44., а са којима није у сагласности. Национално законодавство Републике Србије не подлеже правилима утврђеним за оснивање и функционисање унутрашњег тржишта држава чланица ЕУ и оснивање организације пољопривредних тржишта ЕУ. Поменутим одредбама Уговора о функционисању ЕУ уређује се унутрашње тржиште пољопривредних производа </w:t>
      </w:r>
      <w:r w:rsidRPr="00423402">
        <w:rPr>
          <w:i/>
          <w:lang w:val="sr-Cyrl-CS" w:eastAsia="hr-HR"/>
        </w:rPr>
        <w:t>СМО</w:t>
      </w:r>
      <w:r w:rsidRPr="00423402">
        <w:rPr>
          <w:lang w:val="sr-Cyrl-CS" w:eastAsia="hr-HR"/>
        </w:rPr>
        <w:t xml:space="preserve"> (</w:t>
      </w:r>
      <w:r w:rsidRPr="00423402">
        <w:rPr>
          <w:i/>
          <w:lang w:val="sr-Cyrl-CS" w:eastAsia="hr-HR"/>
        </w:rPr>
        <w:t>Common Market Organisation</w:t>
      </w:r>
      <w:r w:rsidRPr="00423402">
        <w:rPr>
          <w:lang w:val="sr-Cyrl-CS" w:eastAsia="hr-HR"/>
        </w:rPr>
        <w:t>) и политика подстицаја из ЗПП (Заједничка пољопривредна политика) из које су искључене државе нечланице, па тиме и Република Србија.</w:t>
      </w:r>
    </w:p>
    <w:p w:rsidR="00F7362D" w:rsidRPr="00423402" w:rsidRDefault="00F7362D" w:rsidP="00F7362D">
      <w:pPr>
        <w:rPr>
          <w:b/>
          <w:lang w:val="sr-Cyrl-CS" w:eastAsia="hr-HR"/>
        </w:rPr>
      </w:pPr>
      <w:r w:rsidRPr="00423402">
        <w:rPr>
          <w:b/>
          <w:lang w:val="sr-Cyrl-CS" w:eastAsia="hr-HR"/>
        </w:rPr>
        <w:t>б) Навођење секундарних извора права Европске уније и оцене усклађености са њима,</w:t>
      </w:r>
    </w:p>
    <w:p w:rsidR="00F7362D" w:rsidRPr="00423402" w:rsidRDefault="00F7362D" w:rsidP="00F7362D">
      <w:pPr>
        <w:ind w:firstLine="720"/>
        <w:rPr>
          <w:lang w:val="sr-Cyrl-CS" w:eastAsia="hr-HR"/>
        </w:rPr>
      </w:pPr>
      <w:r>
        <w:rPr>
          <w:lang w:val="sr-Cyrl-CS" w:eastAsia="hr-HR"/>
        </w:rPr>
        <w:t>Предлогом</w:t>
      </w:r>
      <w:r w:rsidRPr="00423402">
        <w:rPr>
          <w:lang w:val="sr-Cyrl-CS" w:eastAsia="hr-HR"/>
        </w:rPr>
        <w:t xml:space="preserve"> закона о изменама и допунама Закона о пољопривреди и руралном развоју не врши се пренос одредби секундарног извора права. Разлоге за доношење </w:t>
      </w:r>
      <w:r w:rsidRPr="00423402">
        <w:rPr>
          <w:lang w:val="sr-Cyrl-CS" w:eastAsia="hr-HR"/>
        </w:rPr>
        <w:t xml:space="preserve">закона </w:t>
      </w:r>
      <w:r w:rsidRPr="00423402">
        <w:rPr>
          <w:lang w:val="sr-Cyrl-CS" w:eastAsia="hr-HR"/>
        </w:rPr>
        <w:t>о измени и допуни Закона о пољопривреди и руралном развоју огледају се у потреби испуњeњa мeђунaрoдних oбaвeзa приликом спровођења и примене захтева из Секторског Споразума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који је закључен 8. априла 2016. године (</w:t>
      </w:r>
      <w:r w:rsidRPr="00423402">
        <w:rPr>
          <w:i/>
          <w:lang w:val="sr-Cyrl-CS" w:eastAsia="hr-HR"/>
        </w:rPr>
        <w:t>Sectoral Agreement between the Government of the Republic of Serbia and the European Commission setting out provisions for the management and implementation of Union financial assistance to the Republic of Serbia under the Instrument for Pre-Accession Assistance in the policy area Agriculture and rural development (IPARD))</w:t>
      </w:r>
      <w:r w:rsidRPr="00423402">
        <w:rPr>
          <w:lang w:val="sr-Cyrl-CS" w:eastAsia="hr-HR"/>
        </w:rPr>
        <w:t xml:space="preserve">. </w:t>
      </w:r>
    </w:p>
    <w:p w:rsidR="00F7362D" w:rsidRPr="00423402" w:rsidRDefault="00F7362D" w:rsidP="00F7362D">
      <w:pPr>
        <w:ind w:firstLine="720"/>
        <w:rPr>
          <w:lang w:val="sr-Cyrl-CS" w:eastAsia="en-GB"/>
        </w:rPr>
      </w:pPr>
      <w:r w:rsidRPr="00423402">
        <w:rPr>
          <w:lang w:val="sr-Cyrl-CS" w:eastAsia="hr-HR"/>
        </w:rPr>
        <w:t xml:space="preserve">Закључкoм Владе 05 </w:t>
      </w:r>
      <w:r w:rsidRPr="00423402">
        <w:rPr>
          <w:lang w:val="sr-Cyrl-CS" w:eastAsia="hr-HR"/>
        </w:rPr>
        <w:t xml:space="preserve">Број </w:t>
      </w:r>
      <w:r w:rsidRPr="00423402">
        <w:rPr>
          <w:lang w:val="sr-Cyrl-CS" w:eastAsia="hr-HR"/>
        </w:rPr>
        <w:t xml:space="preserve">337-9499/2020-1 од 26. новембра 2020. године, усвојен је текст измeна и допуна Сeктoрскoг спoрaзумa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Изменама текста наведеног споразума, у Анексу 2 Оквир интерне контроле у делу </w:t>
      </w:r>
      <w:r w:rsidRPr="00423402">
        <w:rPr>
          <w:lang w:val="sr-Cyrl-CS" w:eastAsia="en-GB"/>
        </w:rPr>
        <w:t xml:space="preserve">Д. Процедуре за аванс и гаранције, омогућена је исплата аванса као дозвољен трошак до 50% јавне помоћи која се односи на пројекат. Аванс подлеже банкарској гаранцији или еквивалентној гаранцији која одговара до 110% авансног износа. </w:t>
      </w:r>
    </w:p>
    <w:p w:rsidR="00F7362D" w:rsidRPr="00423402" w:rsidRDefault="00F7362D" w:rsidP="00F7362D">
      <w:pPr>
        <w:ind w:firstLine="720"/>
        <w:rPr>
          <w:b/>
          <w:lang w:val="sr-Cyrl-CS" w:eastAsia="hr-HR"/>
        </w:rPr>
      </w:pPr>
      <w:r w:rsidRPr="00423402">
        <w:rPr>
          <w:lang w:val="sr-Cyrl-CS" w:eastAsia="hr-HR"/>
        </w:rPr>
        <w:t xml:space="preserve">Наведеном изменом Секторског споразума кoрисницимa ИПAРД подстицаја који до сада нису имали могућност авансног плаћања, oмoгућено је aвaнснo плaћaње </w:t>
      </w:r>
      <w:r w:rsidRPr="00423402">
        <w:rPr>
          <w:lang w:val="sr-Cyrl-CS" w:eastAsia="en-GB"/>
        </w:rPr>
        <w:t xml:space="preserve">јавне помоћи </w:t>
      </w:r>
      <w:r w:rsidRPr="00423402">
        <w:rPr>
          <w:lang w:val="sr-Cyrl-CS" w:eastAsia="hr-HR"/>
        </w:rPr>
        <w:t xml:space="preserve">у изнoсу дo 50%. Разлог за </w:t>
      </w:r>
      <w:r w:rsidRPr="00423402">
        <w:rPr>
          <w:bCs/>
          <w:lang w:val="sr-Cyrl-CS" w:eastAsia="hr-HR"/>
        </w:rPr>
        <w:t xml:space="preserve">измену Закона односи се на увођење aвaнснoг плaћaњa </w:t>
      </w:r>
      <w:r w:rsidRPr="00423402">
        <w:rPr>
          <w:lang w:val="sr-Cyrl-CS" w:eastAsia="hr-HR"/>
        </w:rPr>
        <w:t>у изнoсу дo 50% од одобрене вредности подстицаја за ИПАРД кориснике</w:t>
      </w:r>
      <w:r w:rsidRPr="00423402">
        <w:rPr>
          <w:bCs/>
          <w:lang w:val="sr-Cyrl-CS" w:eastAsia="hr-HR"/>
        </w:rPr>
        <w:t xml:space="preserve"> чиме ћe сe обезбедити значајан део финансијских средстава за реализацију планиране инвестиције ИПАРД корисника, док ће коришћење авансног плаћања утицати на пoбoљшaњe aпсoрпциje EУ финансијског дoпринoсa и смањење ризика од повраћаја средстава ЕУ.</w:t>
      </w:r>
    </w:p>
    <w:p w:rsidR="00F7362D" w:rsidRPr="00423402" w:rsidRDefault="00F7362D" w:rsidP="00F7362D">
      <w:pPr>
        <w:spacing w:after="120"/>
        <w:rPr>
          <w:b/>
          <w:lang w:val="sr-Cyrl-CS" w:eastAsia="hr-HR"/>
        </w:rPr>
      </w:pPr>
      <w:r w:rsidRPr="00423402">
        <w:rPr>
          <w:b/>
          <w:lang w:val="sr-Cyrl-CS" w:eastAsia="hr-HR"/>
        </w:rPr>
        <w:t>в) Навођење осталих извора права Европске уније и усклађеност са њима</w:t>
      </w:r>
    </w:p>
    <w:p w:rsidR="00F7362D" w:rsidRPr="00423402" w:rsidRDefault="00F7362D" w:rsidP="00F7362D">
      <w:pPr>
        <w:numPr>
          <w:ilvl w:val="0"/>
          <w:numId w:val="3"/>
        </w:numPr>
        <w:spacing w:after="120"/>
        <w:ind w:left="284" w:hanging="284"/>
        <w:rPr>
          <w:lang w:val="sr-Cyrl-CS" w:eastAsia="hr-HR"/>
        </w:rPr>
      </w:pPr>
      <w:r w:rsidRPr="00423402">
        <w:rPr>
          <w:lang w:val="sr-Cyrl-CS" w:eastAsia="hr-HR"/>
        </w:rPr>
        <w:lastRenderedPageBreak/>
        <w:t xml:space="preserve">Нема </w:t>
      </w:r>
    </w:p>
    <w:p w:rsidR="00F7362D" w:rsidRPr="00423402" w:rsidRDefault="00F7362D" w:rsidP="00F7362D">
      <w:pPr>
        <w:rPr>
          <w:b/>
          <w:lang w:val="sr-Cyrl-CS" w:eastAsia="hr-HR"/>
        </w:rPr>
      </w:pPr>
      <w:r w:rsidRPr="00423402">
        <w:rPr>
          <w:b/>
          <w:lang w:val="sr-Cyrl-CS" w:eastAsia="hr-HR"/>
        </w:rPr>
        <w:t>г) Разлози за делимичну усклађеност, односно неусклађеност,</w:t>
      </w:r>
    </w:p>
    <w:p w:rsidR="00F7362D" w:rsidRPr="00423402" w:rsidRDefault="00F7362D" w:rsidP="00F7362D">
      <w:pPr>
        <w:numPr>
          <w:ilvl w:val="1"/>
          <w:numId w:val="4"/>
        </w:numPr>
        <w:tabs>
          <w:tab w:val="left" w:pos="0"/>
          <w:tab w:val="num" w:pos="284"/>
        </w:tabs>
        <w:ind w:left="284" w:hanging="284"/>
        <w:rPr>
          <w:lang w:val="sr-Cyrl-CS" w:eastAsia="hr-HR"/>
        </w:rPr>
      </w:pPr>
      <w:r w:rsidRPr="00423402">
        <w:rPr>
          <w:lang w:val="sr-Cyrl-CS" w:eastAsia="hr-HR"/>
        </w:rPr>
        <w:t xml:space="preserve">Делимична усклађеност/ Неусклађеност Закона о пољопривреди и руралном развоју са секундарним изворима права ЕУ последица је недовољно развијених потребних механизама за имплементацију мера у области пољопривреде и руралног развоја, садржаних у Закону о пољопривреди и руралном развоју, као и непостојања пратећих прописа који регулишу ову област. Унапређење ових механизама, доношење прописа, као и унапређење пратећих административних капацитета, допринеће вишем степену усклађености Закона о пољопривреди и руралном развоју са легислативом ЕУ у овој области. Предложене измене у </w:t>
      </w:r>
      <w:r>
        <w:rPr>
          <w:lang w:val="sr-Cyrl-CS" w:eastAsia="hr-HR"/>
        </w:rPr>
        <w:t>Предлогу</w:t>
      </w:r>
      <w:r w:rsidRPr="00423402">
        <w:rPr>
          <w:lang w:val="sr-Cyrl-CS" w:eastAsia="hr-HR"/>
        </w:rPr>
        <w:t xml:space="preserve"> закона о изменама и допунама Закона о пољопривреди и руралном развоју не нарушавају достигнуту делимичну усклађеност са правом ЕУ.</w:t>
      </w:r>
    </w:p>
    <w:p w:rsidR="00F7362D" w:rsidRPr="00423402" w:rsidRDefault="00F7362D" w:rsidP="00F7362D">
      <w:pPr>
        <w:rPr>
          <w:b/>
          <w:i/>
          <w:lang w:val="sr-Cyrl-CS" w:eastAsia="hr-HR"/>
        </w:rPr>
      </w:pPr>
      <w:r w:rsidRPr="00423402">
        <w:rPr>
          <w:b/>
          <w:lang w:val="sr-Cyrl-CS" w:eastAsia="hr-HR"/>
        </w:rPr>
        <w:t>д) Рок у којем је предвиђено постизање потпуне усклађености прописа са прописима Европске уније.</w:t>
      </w:r>
    </w:p>
    <w:p w:rsidR="00F7362D" w:rsidRPr="00423402" w:rsidRDefault="00F7362D" w:rsidP="00F7362D">
      <w:pPr>
        <w:numPr>
          <w:ilvl w:val="1"/>
          <w:numId w:val="5"/>
        </w:numPr>
        <w:tabs>
          <w:tab w:val="left" w:pos="284"/>
        </w:tabs>
        <w:ind w:hanging="1440"/>
        <w:rPr>
          <w:lang w:val="sr-Cyrl-CS" w:eastAsia="hr-HR"/>
        </w:rPr>
      </w:pPr>
      <w:r w:rsidRPr="00423402">
        <w:rPr>
          <w:lang w:val="sr-Cyrl-CS" w:eastAsia="hr-HR"/>
        </w:rPr>
        <w:t>До приступања Републике Србије Европској унији.</w:t>
      </w:r>
    </w:p>
    <w:p w:rsidR="00F7362D" w:rsidRPr="00423402" w:rsidRDefault="00F7362D" w:rsidP="00F7362D">
      <w:pPr>
        <w:spacing w:after="120"/>
        <w:rPr>
          <w:b/>
          <w:lang w:val="sr-Cyrl-CS" w:eastAsia="hr-HR"/>
        </w:rPr>
      </w:pPr>
      <w:r w:rsidRPr="00423402">
        <w:rPr>
          <w:b/>
          <w:lang w:val="sr-Cyrl-CS" w:eastAsia="hr-HR"/>
        </w:rPr>
        <w:t xml:space="preserve">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7362D" w:rsidRPr="00423402" w:rsidRDefault="00F7362D" w:rsidP="00F7362D">
      <w:pPr>
        <w:spacing w:after="120"/>
        <w:rPr>
          <w:b/>
          <w:lang w:val="sr-Cyrl-CS" w:eastAsia="hr-HR"/>
        </w:rPr>
      </w:pPr>
      <w:r w:rsidRPr="00423402">
        <w:rPr>
          <w:b/>
          <w:lang w:val="sr-Cyrl-CS" w:eastAsia="hr-HR"/>
        </w:rPr>
        <w:t>6. Да ли су претходно наведени извори права Европске уније преведени на српски језик?</w:t>
      </w:r>
    </w:p>
    <w:p w:rsidR="00F7362D" w:rsidRPr="00423402" w:rsidRDefault="00F7362D" w:rsidP="00F7362D">
      <w:pPr>
        <w:numPr>
          <w:ilvl w:val="1"/>
          <w:numId w:val="5"/>
        </w:numPr>
        <w:tabs>
          <w:tab w:val="clear" w:pos="1440"/>
          <w:tab w:val="num" w:pos="284"/>
        </w:tabs>
        <w:spacing w:after="120"/>
        <w:ind w:hanging="1440"/>
        <w:rPr>
          <w:lang w:val="sr-Cyrl-CS" w:eastAsia="hr-HR"/>
        </w:rPr>
      </w:pPr>
      <w:r w:rsidRPr="00423402">
        <w:rPr>
          <w:lang w:val="sr-Cyrl-CS" w:eastAsia="hr-HR"/>
        </w:rPr>
        <w:t>Не.</w:t>
      </w:r>
    </w:p>
    <w:p w:rsidR="00F7362D" w:rsidRPr="00423402" w:rsidRDefault="00F7362D" w:rsidP="00F7362D">
      <w:pPr>
        <w:spacing w:after="120"/>
        <w:rPr>
          <w:b/>
          <w:lang w:val="sr-Cyrl-CS" w:eastAsia="hr-HR"/>
        </w:rPr>
      </w:pPr>
      <w:r w:rsidRPr="00423402">
        <w:rPr>
          <w:b/>
          <w:lang w:val="sr-Cyrl-CS" w:eastAsia="hr-HR"/>
        </w:rPr>
        <w:t>7. Да ли је пропис преведен на неки службени језик Европске уније?</w:t>
      </w:r>
    </w:p>
    <w:p w:rsidR="00F7362D" w:rsidRPr="00423402" w:rsidRDefault="00F7362D" w:rsidP="00F7362D">
      <w:pPr>
        <w:numPr>
          <w:ilvl w:val="1"/>
          <w:numId w:val="5"/>
        </w:numPr>
        <w:tabs>
          <w:tab w:val="clear" w:pos="1440"/>
          <w:tab w:val="num" w:pos="284"/>
        </w:tabs>
        <w:spacing w:after="120"/>
        <w:ind w:hanging="1440"/>
        <w:rPr>
          <w:lang w:val="sr-Cyrl-CS" w:eastAsia="hr-HR"/>
        </w:rPr>
      </w:pPr>
      <w:r w:rsidRPr="00423402">
        <w:rPr>
          <w:lang w:val="sr-Cyrl-CS" w:eastAsia="hr-HR"/>
        </w:rPr>
        <w:t>Не.</w:t>
      </w:r>
    </w:p>
    <w:p w:rsidR="00F7362D" w:rsidRPr="00423402" w:rsidRDefault="00F7362D" w:rsidP="00F7362D">
      <w:pPr>
        <w:spacing w:after="120"/>
        <w:rPr>
          <w:b/>
          <w:lang w:val="sr-Cyrl-CS" w:eastAsia="hr-HR"/>
        </w:rPr>
      </w:pPr>
      <w:r w:rsidRPr="00423402">
        <w:rPr>
          <w:b/>
          <w:lang w:val="sr-Cyrl-CS" w:eastAsia="hr-HR"/>
        </w:rPr>
        <w:t>8. Учешће консултаната у изради прописа и њихово мишљење о усклађености</w:t>
      </w:r>
    </w:p>
    <w:p w:rsidR="00F7362D" w:rsidRPr="00423402" w:rsidRDefault="00F7362D" w:rsidP="00F7362D">
      <w:pPr>
        <w:numPr>
          <w:ilvl w:val="0"/>
          <w:numId w:val="6"/>
        </w:numPr>
        <w:tabs>
          <w:tab w:val="num" w:pos="284"/>
        </w:tabs>
        <w:ind w:left="284" w:hanging="284"/>
        <w:rPr>
          <w:bCs/>
          <w:lang w:val="sr-Cyrl-CS" w:eastAsia="hr-HR"/>
        </w:rPr>
      </w:pPr>
      <w:r w:rsidRPr="00423402">
        <w:rPr>
          <w:lang w:val="sr-Cyrl-CS" w:eastAsia="hr-HR"/>
        </w:rPr>
        <w:t xml:space="preserve">У изради </w:t>
      </w:r>
      <w:r>
        <w:rPr>
          <w:lang w:val="sr-Cyrl-CS" w:eastAsia="hr-HR"/>
        </w:rPr>
        <w:t>Предлога</w:t>
      </w:r>
      <w:r w:rsidRPr="00423402">
        <w:rPr>
          <w:lang w:val="sr-Cyrl-CS" w:eastAsia="hr-HR"/>
        </w:rPr>
        <w:t xml:space="preserve"> </w:t>
      </w:r>
      <w:r>
        <w:rPr>
          <w:lang w:val="sr-Cyrl-CS" w:eastAsia="hr-HR"/>
        </w:rPr>
        <w:t>з</w:t>
      </w:r>
      <w:r w:rsidRPr="00423402">
        <w:rPr>
          <w:lang w:val="sr-Cyrl-CS" w:eastAsia="hr-HR"/>
        </w:rPr>
        <w:t>акона о изменама и допунама Закона о пољопривреди и руралном развоју</w:t>
      </w:r>
      <w:r w:rsidRPr="00423402">
        <w:rPr>
          <w:bCs/>
          <w:lang w:val="sr-Cyrl-CS" w:eastAsia="hr-HR"/>
        </w:rPr>
        <w:t xml:space="preserve"> нису </w:t>
      </w:r>
      <w:r w:rsidRPr="00423402">
        <w:rPr>
          <w:lang w:val="sr-Cyrl-CS" w:eastAsia="hr-HR"/>
        </w:rPr>
        <w:t>учествовали консултанти.</w:t>
      </w:r>
    </w:p>
    <w:p w:rsidR="00F7362D" w:rsidRPr="00423402" w:rsidRDefault="00F7362D" w:rsidP="00F7362D">
      <w:pPr>
        <w:shd w:val="clear" w:color="auto" w:fill="FFFFFF"/>
        <w:rPr>
          <w:b/>
          <w:lang w:val="sr-Cyrl-CS" w:eastAsia="hr-HR"/>
        </w:rPr>
      </w:pPr>
      <w:bookmarkStart w:id="0" w:name="_GoBack"/>
      <w:bookmarkEnd w:id="0"/>
    </w:p>
    <w:sectPr w:rsidR="00F7362D" w:rsidRPr="00423402" w:rsidSect="00FB23A9">
      <w:headerReference w:type="even" r:id="rId5"/>
      <w:headerReference w:type="default" r:id="rId6"/>
      <w:pgSz w:w="11907" w:h="16840" w:code="9"/>
      <w:pgMar w:top="1440" w:right="1797" w:bottom="1440" w:left="1797"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8A0" w:rsidRDefault="00F7362D" w:rsidP="007A024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D58A0" w:rsidRDefault="00F7362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8A0" w:rsidRDefault="00F7362D" w:rsidP="007A024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D58A0" w:rsidRDefault="00F7362D">
    <w:pPr>
      <w:pStyle w:val="Header"/>
      <w:jc w:val="center"/>
    </w:pPr>
  </w:p>
  <w:p w:rsidR="003D58A0" w:rsidRDefault="00F736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F9F"/>
    <w:multiLevelType w:val="hybridMultilevel"/>
    <w:tmpl w:val="4A6C6568"/>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4C487A"/>
    <w:multiLevelType w:val="hybridMultilevel"/>
    <w:tmpl w:val="3F54DF46"/>
    <w:lvl w:ilvl="0" w:tplc="515001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8A66CE"/>
    <w:multiLevelType w:val="hybridMultilevel"/>
    <w:tmpl w:val="66CC32C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C6E00DB"/>
    <w:multiLevelType w:val="hybridMultilevel"/>
    <w:tmpl w:val="045A6CDC"/>
    <w:lvl w:ilvl="0" w:tplc="51500168">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15:restartNumberingAfterBreak="0">
    <w:nsid w:val="504D640C"/>
    <w:multiLevelType w:val="hybridMultilevel"/>
    <w:tmpl w:val="4CD4BE4E"/>
    <w:lvl w:ilvl="0" w:tplc="51500168">
      <w:numFmt w:val="bullet"/>
      <w:lvlText w:val="•"/>
      <w:lvlJc w:val="left"/>
      <w:pPr>
        <w:ind w:left="1349" w:hanging="705"/>
      </w:pPr>
      <w:rPr>
        <w:rFonts w:ascii="Times New Roman" w:eastAsia="Times New Roman" w:hAnsi="Times New Roman" w:cs="Times New Roman" w:hint="default"/>
      </w:rPr>
    </w:lvl>
    <w:lvl w:ilvl="1" w:tplc="281A0003" w:tentative="1">
      <w:start w:val="1"/>
      <w:numFmt w:val="bullet"/>
      <w:lvlText w:val="o"/>
      <w:lvlJc w:val="left"/>
      <w:pPr>
        <w:ind w:left="1724" w:hanging="360"/>
      </w:pPr>
      <w:rPr>
        <w:rFonts w:ascii="Courier New" w:hAnsi="Courier New" w:cs="Courier New" w:hint="default"/>
      </w:rPr>
    </w:lvl>
    <w:lvl w:ilvl="2" w:tplc="281A0005" w:tentative="1">
      <w:start w:val="1"/>
      <w:numFmt w:val="bullet"/>
      <w:lvlText w:val=""/>
      <w:lvlJc w:val="left"/>
      <w:pPr>
        <w:ind w:left="2444" w:hanging="360"/>
      </w:pPr>
      <w:rPr>
        <w:rFonts w:ascii="Wingdings" w:hAnsi="Wingdings" w:hint="default"/>
      </w:rPr>
    </w:lvl>
    <w:lvl w:ilvl="3" w:tplc="281A0001" w:tentative="1">
      <w:start w:val="1"/>
      <w:numFmt w:val="bullet"/>
      <w:lvlText w:val=""/>
      <w:lvlJc w:val="left"/>
      <w:pPr>
        <w:ind w:left="3164" w:hanging="360"/>
      </w:pPr>
      <w:rPr>
        <w:rFonts w:ascii="Symbol" w:hAnsi="Symbol" w:hint="default"/>
      </w:rPr>
    </w:lvl>
    <w:lvl w:ilvl="4" w:tplc="281A0003" w:tentative="1">
      <w:start w:val="1"/>
      <w:numFmt w:val="bullet"/>
      <w:lvlText w:val="o"/>
      <w:lvlJc w:val="left"/>
      <w:pPr>
        <w:ind w:left="3884" w:hanging="360"/>
      </w:pPr>
      <w:rPr>
        <w:rFonts w:ascii="Courier New" w:hAnsi="Courier New" w:cs="Courier New" w:hint="default"/>
      </w:rPr>
    </w:lvl>
    <w:lvl w:ilvl="5" w:tplc="281A0005" w:tentative="1">
      <w:start w:val="1"/>
      <w:numFmt w:val="bullet"/>
      <w:lvlText w:val=""/>
      <w:lvlJc w:val="left"/>
      <w:pPr>
        <w:ind w:left="4604" w:hanging="360"/>
      </w:pPr>
      <w:rPr>
        <w:rFonts w:ascii="Wingdings" w:hAnsi="Wingdings" w:hint="default"/>
      </w:rPr>
    </w:lvl>
    <w:lvl w:ilvl="6" w:tplc="281A0001" w:tentative="1">
      <w:start w:val="1"/>
      <w:numFmt w:val="bullet"/>
      <w:lvlText w:val=""/>
      <w:lvlJc w:val="left"/>
      <w:pPr>
        <w:ind w:left="5324" w:hanging="360"/>
      </w:pPr>
      <w:rPr>
        <w:rFonts w:ascii="Symbol" w:hAnsi="Symbol" w:hint="default"/>
      </w:rPr>
    </w:lvl>
    <w:lvl w:ilvl="7" w:tplc="281A0003" w:tentative="1">
      <w:start w:val="1"/>
      <w:numFmt w:val="bullet"/>
      <w:lvlText w:val="o"/>
      <w:lvlJc w:val="left"/>
      <w:pPr>
        <w:ind w:left="6044" w:hanging="360"/>
      </w:pPr>
      <w:rPr>
        <w:rFonts w:ascii="Courier New" w:hAnsi="Courier New" w:cs="Courier New" w:hint="default"/>
      </w:rPr>
    </w:lvl>
    <w:lvl w:ilvl="8" w:tplc="281A0005" w:tentative="1">
      <w:start w:val="1"/>
      <w:numFmt w:val="bullet"/>
      <w:lvlText w:val=""/>
      <w:lvlJc w:val="left"/>
      <w:pPr>
        <w:ind w:left="6764" w:hanging="360"/>
      </w:pPr>
      <w:rPr>
        <w:rFonts w:ascii="Wingdings" w:hAnsi="Wingdings" w:hint="default"/>
      </w:rPr>
    </w:lvl>
  </w:abstractNum>
  <w:abstractNum w:abstractNumId="5" w15:restartNumberingAfterBreak="0">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DF00D7"/>
    <w:multiLevelType w:val="hybridMultilevel"/>
    <w:tmpl w:val="98821A4A"/>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557E83"/>
    <w:multiLevelType w:val="hybridMultilevel"/>
    <w:tmpl w:val="7E16716C"/>
    <w:lvl w:ilvl="0" w:tplc="515001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6"/>
  </w:num>
  <w:num w:numId="6">
    <w:abstractNumId w:val="7"/>
  </w:num>
  <w:num w:numId="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62D"/>
    <w:rsid w:val="0011385E"/>
    <w:rsid w:val="001B2613"/>
    <w:rsid w:val="00213670"/>
    <w:rsid w:val="002F56EE"/>
    <w:rsid w:val="0031262E"/>
    <w:rsid w:val="00405C9A"/>
    <w:rsid w:val="004A1EB3"/>
    <w:rsid w:val="00504868"/>
    <w:rsid w:val="005F4F2D"/>
    <w:rsid w:val="006845D4"/>
    <w:rsid w:val="007508C8"/>
    <w:rsid w:val="007E160C"/>
    <w:rsid w:val="00826F18"/>
    <w:rsid w:val="008A44EF"/>
    <w:rsid w:val="008C641A"/>
    <w:rsid w:val="008D3EA5"/>
    <w:rsid w:val="009C1A3D"/>
    <w:rsid w:val="009C394C"/>
    <w:rsid w:val="00AA4655"/>
    <w:rsid w:val="00AE17D5"/>
    <w:rsid w:val="00B107B0"/>
    <w:rsid w:val="00B853A0"/>
    <w:rsid w:val="00C6423D"/>
    <w:rsid w:val="00EE1D1E"/>
    <w:rsid w:val="00F7362D"/>
    <w:rsid w:val="00FF0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7B500"/>
  <w15:chartTrackingRefBased/>
  <w15:docId w15:val="{9E876CC4-0F8F-4936-BF77-607BEEEB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7362D"/>
    <w:pPr>
      <w:tabs>
        <w:tab w:val="center" w:pos="4320"/>
        <w:tab w:val="right" w:pos="8640"/>
      </w:tabs>
    </w:pPr>
    <w:rPr>
      <w:rFonts w:eastAsia="Times New Roman" w:cs="Times New Roman"/>
      <w:szCs w:val="24"/>
    </w:rPr>
  </w:style>
  <w:style w:type="character" w:customStyle="1" w:styleId="HeaderChar">
    <w:name w:val="Header Char"/>
    <w:basedOn w:val="DefaultParagraphFont"/>
    <w:link w:val="Header"/>
    <w:uiPriority w:val="99"/>
    <w:rsid w:val="00F7362D"/>
    <w:rPr>
      <w:rFonts w:eastAsia="Times New Roman" w:cs="Times New Roman"/>
      <w:szCs w:val="24"/>
    </w:rPr>
  </w:style>
  <w:style w:type="character" w:styleId="PageNumber">
    <w:name w:val="page number"/>
    <w:basedOn w:val="DefaultParagraphFont"/>
    <w:rsid w:val="00F73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1093</Words>
  <Characters>6231</Characters>
  <Application>Microsoft Office Word</Application>
  <DocSecurity>0</DocSecurity>
  <Lines>51</Lines>
  <Paragraphs>14</Paragraphs>
  <ScaleCrop>false</ScaleCrop>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Snezana Marinovic</cp:lastModifiedBy>
  <cp:revision>1</cp:revision>
  <dcterms:created xsi:type="dcterms:W3CDTF">2021-10-27T08:55:00Z</dcterms:created>
  <dcterms:modified xsi:type="dcterms:W3CDTF">2021-10-27T08:57:00Z</dcterms:modified>
</cp:coreProperties>
</file>