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Pr="00BA5973" w:rsidRDefault="00BA5973" w:rsidP="002A3DED">
      <w:pPr>
        <w:pStyle w:val="Default"/>
        <w:jc w:val="center"/>
        <w:rPr>
          <w:rFonts w:ascii="Times New Roman" w:hAnsi="Times New Roman" w:cs="Times New Roman"/>
          <w:bCs/>
          <w:noProof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bCs/>
          <w:noProof/>
          <w:lang w:val="sr-Latn-CS"/>
        </w:rPr>
        <w:t>O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B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A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Z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L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O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Ž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E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NJ</w:t>
      </w:r>
      <w:r w:rsidR="00C37096" w:rsidRPr="00BA597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E</w:t>
      </w:r>
    </w:p>
    <w:p w:rsidR="002A3DED" w:rsidRPr="00BA5973" w:rsidRDefault="002A3DED" w:rsidP="002A3DED">
      <w:pPr>
        <w:pStyle w:val="Default"/>
        <w:jc w:val="center"/>
        <w:rPr>
          <w:rFonts w:ascii="Times New Roman" w:hAnsi="Times New Roman" w:cs="Times New Roman"/>
          <w:noProof/>
          <w:lang w:val="sr-Latn-CS"/>
        </w:rPr>
      </w:pPr>
    </w:p>
    <w:p w:rsidR="000B1BB9" w:rsidRPr="00BA5973" w:rsidRDefault="000B1BB9" w:rsidP="002A3DED">
      <w:pPr>
        <w:pStyle w:val="Default"/>
        <w:jc w:val="center"/>
        <w:rPr>
          <w:rFonts w:ascii="Times New Roman" w:hAnsi="Times New Roman" w:cs="Times New Roman"/>
          <w:noProof/>
          <w:lang w:val="sr-Latn-CS"/>
        </w:rPr>
      </w:pPr>
    </w:p>
    <w:p w:rsidR="00C37096" w:rsidRPr="00BA5973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BA5973">
        <w:rPr>
          <w:rFonts w:ascii="Times New Roman" w:hAnsi="Times New Roman" w:cs="Times New Roman"/>
          <w:noProof/>
          <w:lang w:val="sr-Latn-CS"/>
        </w:rPr>
        <w:t xml:space="preserve">I. </w:t>
      </w:r>
      <w:r w:rsidR="00BA5973">
        <w:rPr>
          <w:rFonts w:ascii="Times New Roman" w:hAnsi="Times New Roman" w:cs="Times New Roman"/>
          <w:noProof/>
          <w:lang w:val="sr-Latn-CS"/>
        </w:rPr>
        <w:t>USTAVNI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OSNOV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ZA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DONOŠENJE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ZAKONA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2A3DED" w:rsidRPr="00BA5973" w:rsidRDefault="002A3DED" w:rsidP="002A3DED">
      <w:pPr>
        <w:pStyle w:val="Default"/>
        <w:jc w:val="both"/>
        <w:rPr>
          <w:rFonts w:ascii="Times New Roman" w:hAnsi="Times New Roman" w:cs="Times New Roman"/>
          <w:noProof/>
          <w:lang w:val="sr-Latn-CS"/>
        </w:rPr>
      </w:pPr>
    </w:p>
    <w:p w:rsidR="00C37096" w:rsidRPr="00BA5973" w:rsidRDefault="00BA5973" w:rsidP="002A3DE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Ustavni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donošenje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sadržan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odredbi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99.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Ustava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kojom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propisano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Narodna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skupština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potvrđuje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međunarodne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kad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zakonom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predviđena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obaveza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njihovog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potvrđivanja</w:t>
      </w:r>
      <w:r w:rsidR="00C37096" w:rsidRPr="00BA597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0B1BB9" w:rsidRPr="00BA5973" w:rsidRDefault="000B1BB9" w:rsidP="002A3DE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2A3DED" w:rsidRPr="00BA5973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:rsidR="002A3DED" w:rsidRPr="00BA5973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BA5973">
        <w:rPr>
          <w:rFonts w:ascii="Times New Roman" w:hAnsi="Times New Roman" w:cs="Times New Roman"/>
          <w:noProof/>
          <w:lang w:val="sr-Latn-CS"/>
        </w:rPr>
        <w:t xml:space="preserve">II. </w:t>
      </w:r>
      <w:r w:rsidR="00BA5973">
        <w:rPr>
          <w:rFonts w:ascii="Times New Roman" w:hAnsi="Times New Roman" w:cs="Times New Roman"/>
          <w:noProof/>
          <w:lang w:val="sr-Latn-CS"/>
        </w:rPr>
        <w:t>RAZLOZI</w:t>
      </w:r>
      <w:r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ZA</w:t>
      </w:r>
      <w:r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POTVRĐIVANJE</w:t>
      </w:r>
      <w:r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lang w:val="sr-Latn-CS"/>
        </w:rPr>
        <w:t>UGOVORA</w:t>
      </w:r>
    </w:p>
    <w:p w:rsidR="00C37096" w:rsidRPr="00BA5973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BA5973">
        <w:rPr>
          <w:rFonts w:ascii="Times New Roman" w:hAnsi="Times New Roman" w:cs="Times New Roman"/>
          <w:noProof/>
          <w:lang w:val="sr-Latn-CS"/>
        </w:rPr>
        <w:t xml:space="preserve"> </w:t>
      </w:r>
    </w:p>
    <w:p w:rsidR="00EC1E24" w:rsidRPr="00BA5973" w:rsidRDefault="00BA5973" w:rsidP="00402772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</w:t>
      </w:r>
      <w:r w:rsidR="00C37096" w:rsidRPr="00BA5973">
        <w:rPr>
          <w:noProof/>
          <w:lang w:val="sr-Latn-CS"/>
        </w:rPr>
        <w:t xml:space="preserve">e </w:t>
      </w:r>
      <w:r>
        <w:rPr>
          <w:noProof/>
          <w:lang w:val="sr-Latn-CS"/>
        </w:rPr>
        <w:t>Ugovora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daljinskog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grejanja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Kragujevcu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C37096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potpisanog</w:t>
      </w:r>
      <w:r w:rsidR="00EC1E24" w:rsidRPr="00BA5973">
        <w:rPr>
          <w:noProof/>
          <w:lang w:val="sr-Latn-CS"/>
        </w:rPr>
        <w:t xml:space="preserve"> 2</w:t>
      </w:r>
      <w:r w:rsidR="00C37096" w:rsidRPr="00BA5973">
        <w:rPr>
          <w:noProof/>
          <w:lang w:val="sr-Latn-CS"/>
        </w:rPr>
        <w:t xml:space="preserve">. </w:t>
      </w:r>
      <w:r>
        <w:rPr>
          <w:noProof/>
          <w:lang w:val="sr-Latn-CS"/>
        </w:rPr>
        <w:t>jula</w:t>
      </w:r>
      <w:r w:rsidR="00C37096" w:rsidRPr="00BA5973">
        <w:rPr>
          <w:noProof/>
          <w:lang w:val="sr-Latn-CS"/>
        </w:rPr>
        <w:t xml:space="preserve"> 20</w:t>
      </w:r>
      <w:r w:rsidR="00632709" w:rsidRPr="00BA5973">
        <w:rPr>
          <w:noProof/>
          <w:lang w:val="sr-Latn-CS"/>
        </w:rPr>
        <w:t>2</w:t>
      </w:r>
      <w:r w:rsidR="00C37096" w:rsidRPr="00BA5973">
        <w:rPr>
          <w:noProof/>
          <w:lang w:val="sr-Latn-CS"/>
        </w:rPr>
        <w:t xml:space="preserve">1. </w:t>
      </w:r>
      <w:r>
        <w:rPr>
          <w:noProof/>
          <w:lang w:val="sr-Latn-CS"/>
        </w:rPr>
        <w:t>godine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37096" w:rsidRPr="00BA5973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37096" w:rsidRPr="00BA5973">
        <w:rPr>
          <w:noProof/>
          <w:lang w:val="sr-Latn-CS"/>
        </w:rPr>
        <w:t xml:space="preserve">: </w:t>
      </w:r>
      <w:r>
        <w:rPr>
          <w:noProof/>
          <w:lang w:val="sr-Latn-CS"/>
        </w:rPr>
        <w:t>Ugovor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zajmu</w:t>
      </w:r>
      <w:r w:rsidR="00C37096" w:rsidRPr="00BA5973">
        <w:rPr>
          <w:noProof/>
          <w:lang w:val="sr-Latn-CS"/>
        </w:rPr>
        <w:t xml:space="preserve">), </w:t>
      </w:r>
      <w:r>
        <w:rPr>
          <w:noProof/>
          <w:lang w:val="sr-Latn-CS"/>
        </w:rPr>
        <w:t>sadržani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5C324C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odobrila</w:t>
      </w:r>
      <w:r w:rsidR="00402772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zajam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37096" w:rsidRPr="00BA5973">
        <w:rPr>
          <w:noProof/>
          <w:lang w:val="sr-Latn-CS"/>
        </w:rPr>
        <w:t xml:space="preserve"> </w:t>
      </w:r>
      <w:r w:rsidR="00EC1E24" w:rsidRPr="00BA5973">
        <w:rPr>
          <w:noProof/>
          <w:lang w:val="sr-Latn-CS"/>
        </w:rPr>
        <w:t>1</w:t>
      </w:r>
      <w:r w:rsidR="00632709" w:rsidRPr="00BA5973">
        <w:rPr>
          <w:noProof/>
          <w:lang w:val="sr-Latn-CS"/>
        </w:rPr>
        <w:t>8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C3709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EC1E24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402772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02772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zajmoprimcu</w:t>
      </w:r>
      <w:r w:rsidR="00402772" w:rsidRPr="00BA5973">
        <w:rPr>
          <w:noProof/>
          <w:lang w:val="sr-Latn-CS"/>
        </w:rPr>
        <w:t xml:space="preserve">, </w:t>
      </w:r>
    </w:p>
    <w:p w:rsidR="00FC1276" w:rsidRPr="00BA5973" w:rsidRDefault="00BA5973" w:rsidP="00402772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C1276" w:rsidRPr="00BA5973">
        <w:rPr>
          <w:noProof/>
          <w:lang w:val="sr-Latn-CS"/>
        </w:rPr>
        <w:t xml:space="preserve"> 5. </w:t>
      </w:r>
      <w:r>
        <w:rPr>
          <w:noProof/>
          <w:lang w:val="sr-Latn-CS"/>
        </w:rPr>
        <w:t>stav</w:t>
      </w:r>
      <w:r w:rsidR="00FC1276" w:rsidRPr="00BA5973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FC1276" w:rsidRPr="00BA5973">
        <w:rPr>
          <w:noProof/>
          <w:lang w:val="sr-Latn-CS"/>
        </w:rPr>
        <w:t xml:space="preserve"> </w:t>
      </w:r>
      <w:r w:rsidR="00E33573" w:rsidRPr="00BA5973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E33573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33573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33573" w:rsidRPr="00BA597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E33573" w:rsidRPr="00BA5973">
        <w:rPr>
          <w:noProof/>
          <w:lang w:val="sr-Latn-CS"/>
        </w:rPr>
        <w:t xml:space="preserve">. 61/05, 107/09, 78/11, 68/15, 95/18, 91/19 </w:t>
      </w:r>
      <w:r>
        <w:rPr>
          <w:noProof/>
          <w:lang w:val="sr-Latn-CS"/>
        </w:rPr>
        <w:t>i</w:t>
      </w:r>
      <w:r w:rsidR="00E33573" w:rsidRPr="00BA5973">
        <w:rPr>
          <w:noProof/>
          <w:lang w:val="sr-Latn-CS"/>
        </w:rPr>
        <w:t xml:space="preserve"> 149/20) </w:t>
      </w:r>
      <w:r>
        <w:rPr>
          <w:noProof/>
          <w:lang w:val="sr-Latn-CS"/>
        </w:rPr>
        <w:t>Narodna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FC1276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FC1276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odlučuje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="00FC01FF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C01FF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33573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FC01FF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uzimanja</w:t>
      </w:r>
      <w:r w:rsidR="00FC01FF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dugoročnih</w:t>
      </w:r>
      <w:r w:rsidR="00FC01FF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FC01FF" w:rsidRPr="00BA5973">
        <w:rPr>
          <w:noProof/>
          <w:lang w:val="sr-Latn-CS"/>
        </w:rPr>
        <w:t>.</w:t>
      </w:r>
    </w:p>
    <w:p w:rsidR="008B35AE" w:rsidRPr="00BA5973" w:rsidRDefault="00BA5973" w:rsidP="00402772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FC1276" w:rsidRPr="00BA5973">
        <w:rPr>
          <w:noProof/>
          <w:lang w:val="sr-Latn-CS"/>
        </w:rPr>
        <w:t>,</w:t>
      </w:r>
      <w:r w:rsidR="005C324C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zajmu</w:t>
      </w:r>
      <w:r w:rsidR="00FC1276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8B35AE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8B35A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C1276" w:rsidRPr="00BA5973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="00FC1276" w:rsidRPr="00BA5973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zaključivanju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izvršavanju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FC1276" w:rsidRPr="00BA597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C12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C1276" w:rsidRPr="00BA597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FC1276" w:rsidRPr="00BA5973">
        <w:rPr>
          <w:noProof/>
          <w:lang w:val="sr-Latn-CS"/>
        </w:rPr>
        <w:t xml:space="preserve"> 32/13)</w:t>
      </w:r>
      <w:r w:rsidR="008B35AE" w:rsidRPr="00BA5973">
        <w:rPr>
          <w:noProof/>
          <w:lang w:val="sr-Latn-CS"/>
        </w:rPr>
        <w:t>.</w:t>
      </w:r>
    </w:p>
    <w:p w:rsidR="00632709" w:rsidRPr="00BA5973" w:rsidRDefault="00BA5973" w:rsidP="0020094D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Zakonom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budžetu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2021. </w:t>
      </w:r>
      <w:r>
        <w:rPr>
          <w:noProof/>
          <w:lang w:val="sr-Latn-CS" w:eastAsia="sr-Latn-CS"/>
        </w:rPr>
        <w:t>godinu</w:t>
      </w:r>
      <w:r w:rsidR="00632709" w:rsidRPr="00BA5973">
        <w:rPr>
          <w:noProof/>
          <w:lang w:val="sr-Latn-CS" w:eastAsia="sr-Latn-CS"/>
        </w:rPr>
        <w:t xml:space="preserve"> („</w:t>
      </w:r>
      <w:r>
        <w:rPr>
          <w:noProof/>
          <w:lang w:val="sr-Latn-CS" w:eastAsia="sr-Latn-CS"/>
        </w:rPr>
        <w:t>Službeni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glasnik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RS</w:t>
      </w:r>
      <w:r w:rsidR="00632709" w:rsidRPr="00BA5973">
        <w:rPr>
          <w:noProof/>
          <w:lang w:val="sr-Latn-CS" w:eastAsia="sr-Latn-CS"/>
        </w:rPr>
        <w:t xml:space="preserve">”, </w:t>
      </w:r>
      <w:r>
        <w:rPr>
          <w:noProof/>
          <w:lang w:val="sr-Latn-CS" w:eastAsia="sr-Latn-CS"/>
        </w:rPr>
        <w:t>broj</w:t>
      </w:r>
      <w:r w:rsidR="00632709" w:rsidRPr="00BA5973">
        <w:rPr>
          <w:noProof/>
          <w:lang w:val="sr-Latn-CS" w:eastAsia="sr-Latn-CS"/>
        </w:rPr>
        <w:t xml:space="preserve"> 149/20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40/21)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članu</w:t>
      </w:r>
      <w:r w:rsidR="00632709" w:rsidRPr="00BA5973">
        <w:rPr>
          <w:noProof/>
          <w:lang w:val="sr-Latn-CS" w:eastAsia="sr-Latn-CS"/>
        </w:rPr>
        <w:t xml:space="preserve"> 3.</w:t>
      </w:r>
      <w:r>
        <w:rPr>
          <w:noProof/>
          <w:lang w:val="sr-Latn-CS" w:eastAsia="sr-Latn-CS"/>
        </w:rPr>
        <w:t>B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odobreno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zaduživanje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kod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Evropske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banke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obnovu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razvoj</w:t>
      </w:r>
      <w:r w:rsidR="00632709" w:rsidRPr="00BA5973">
        <w:rPr>
          <w:noProof/>
          <w:lang w:val="sr-Latn-CS" w:eastAsia="sr-Latn-CS"/>
        </w:rPr>
        <w:t xml:space="preserve"> (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daljem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tekstu</w:t>
      </w:r>
      <w:r w:rsidR="00632709" w:rsidRPr="00BA5973">
        <w:rPr>
          <w:noProof/>
          <w:lang w:val="sr-Latn-CS" w:eastAsia="sr-Latn-CS"/>
        </w:rPr>
        <w:t xml:space="preserve">: </w:t>
      </w:r>
      <w:r>
        <w:rPr>
          <w:noProof/>
          <w:lang w:val="sr-Latn-CS" w:eastAsia="sr-Latn-CS"/>
        </w:rPr>
        <w:t>Banka</w:t>
      </w:r>
      <w:r w:rsidR="00632709" w:rsidRPr="00BA5973">
        <w:rPr>
          <w:noProof/>
          <w:lang w:val="sr-Latn-CS" w:eastAsia="sr-Latn-CS"/>
        </w:rPr>
        <w:t xml:space="preserve">)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sprovođenje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zamene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kotlova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ugalj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odnosi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 </w:t>
      </w: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daljinskog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Kragujevcu</w:t>
      </w:r>
      <w:r w:rsidR="00632709" w:rsidRPr="00BA5973">
        <w:rPr>
          <w:noProof/>
          <w:lang w:val="sr-Latn-CS" w:eastAsia="sr-Latn-CS"/>
        </w:rPr>
        <w:t xml:space="preserve"> (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daljem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tekstu</w:t>
      </w:r>
      <w:r w:rsidR="00632709" w:rsidRPr="00BA5973">
        <w:rPr>
          <w:noProof/>
          <w:lang w:val="sr-Latn-CS" w:eastAsia="sr-Latn-CS"/>
        </w:rPr>
        <w:t xml:space="preserve">: </w:t>
      </w: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),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iznosu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</w:t>
      </w:r>
      <w:r w:rsidR="00632709" w:rsidRPr="00BA5973">
        <w:rPr>
          <w:noProof/>
          <w:lang w:val="sr-Latn-CS" w:eastAsia="sr-Latn-CS"/>
        </w:rPr>
        <w:t xml:space="preserve"> 20.000.000 </w:t>
      </w:r>
      <w:r>
        <w:rPr>
          <w:noProof/>
          <w:lang w:val="sr-Latn-CS" w:eastAsia="sr-Latn-CS"/>
        </w:rPr>
        <w:t>evra</w:t>
      </w:r>
      <w:r w:rsidR="00632709" w:rsidRPr="00BA5973">
        <w:rPr>
          <w:noProof/>
          <w:lang w:val="sr-Latn-CS" w:eastAsia="sr-Latn-CS"/>
        </w:rPr>
        <w:t>.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uključuje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modernizaciju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sistema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daljinskog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gradu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Kragujevcu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zamenu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postojećeg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postrojenja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ugalj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što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omogućiti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potpuno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isključivanje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uglja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gradskog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daljinskog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taj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način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značajno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redukovati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ili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eliminisati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ispuštanje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sumpornih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oksida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čvrstih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čestica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smanjiti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emisija</w:t>
      </w:r>
      <w:r w:rsidR="00632709" w:rsidRPr="00BA5973">
        <w:rPr>
          <w:noProof/>
          <w:lang w:val="sr-Latn-CS" w:eastAsia="sr-Latn-CS"/>
        </w:rPr>
        <w:t xml:space="preserve"> CO2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značajno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poboljšati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energetska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efikasnost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sistema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Ekološka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socijalna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korist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povezana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ukupnim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poboljšanjem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kvaliteta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pouzdanosti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usluga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smanjenjem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potrošnje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goriva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zagađenja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vazduha</w:t>
      </w:r>
      <w:r w:rsidR="00632709" w:rsidRPr="00BA5973">
        <w:rPr>
          <w:noProof/>
          <w:lang w:val="sr-Latn-CS" w:eastAsia="sr-Latn-CS"/>
        </w:rPr>
        <w:t>/</w:t>
      </w:r>
      <w:r>
        <w:rPr>
          <w:noProof/>
          <w:lang w:val="sr-Latn-CS" w:eastAsia="sr-Latn-CS"/>
        </w:rPr>
        <w:t>zemlje</w:t>
      </w:r>
      <w:r w:rsidR="00632709" w:rsidRPr="00BA5973">
        <w:rPr>
          <w:noProof/>
          <w:lang w:val="sr-Latn-CS" w:eastAsia="sr-Latn-CS"/>
        </w:rPr>
        <w:t>/</w:t>
      </w:r>
      <w:r>
        <w:rPr>
          <w:noProof/>
          <w:lang w:val="sr-Latn-CS" w:eastAsia="sr-Latn-CS"/>
        </w:rPr>
        <w:t>podzemnih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voda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kao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gubitaka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toplote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vode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takođe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baviti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glavnim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ekološkim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problemom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odnosi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odlaganje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pepela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šljake</w:t>
      </w:r>
      <w:r w:rsidR="00632709" w:rsidRPr="00BA5973">
        <w:rPr>
          <w:noProof/>
          <w:lang w:val="sr-Latn-CS" w:eastAsia="sr-Latn-CS"/>
        </w:rPr>
        <w:t xml:space="preserve">. 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Nakon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procene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strane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Banke</w:t>
      </w:r>
      <w:r w:rsidR="00AD7908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utvrđeno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iznos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="00AD7908" w:rsidRPr="00BA5973">
        <w:rPr>
          <w:noProof/>
          <w:lang w:val="sr-Latn-CS" w:eastAsia="sr-Latn-CS"/>
        </w:rPr>
        <w:t xml:space="preserve"> 18 </w:t>
      </w:r>
      <w:r>
        <w:rPr>
          <w:noProof/>
          <w:lang w:val="sr-Latn-CS" w:eastAsia="sr-Latn-CS"/>
        </w:rPr>
        <w:t>miliona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evra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dovoljan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realizaciju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koji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biti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podeljen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dva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dela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finansiran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dve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tranše</w:t>
      </w:r>
      <w:r w:rsidR="00AD7908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od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čega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Tranša</w:t>
      </w:r>
      <w:r w:rsidR="00AD7908" w:rsidRPr="00BA5973">
        <w:rPr>
          <w:noProof/>
          <w:lang w:val="sr-Latn-CS" w:eastAsia="sr-Latn-CS"/>
        </w:rPr>
        <w:t xml:space="preserve"> 1 </w:t>
      </w:r>
      <w:r>
        <w:rPr>
          <w:noProof/>
          <w:lang w:val="sr-Latn-CS" w:eastAsia="sr-Latn-CS"/>
        </w:rPr>
        <w:t>iznositi</w:t>
      </w:r>
      <w:r w:rsidR="00AD7908" w:rsidRPr="00BA5973">
        <w:rPr>
          <w:noProof/>
          <w:lang w:val="sr-Latn-CS" w:eastAsia="sr-Latn-CS"/>
        </w:rPr>
        <w:t xml:space="preserve"> 14 </w:t>
      </w:r>
      <w:r>
        <w:rPr>
          <w:noProof/>
          <w:lang w:val="sr-Latn-CS" w:eastAsia="sr-Latn-CS"/>
        </w:rPr>
        <w:t>miliona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evra</w:t>
      </w:r>
      <w:r w:rsidR="00AD7908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Tranša</w:t>
      </w:r>
      <w:r w:rsidR="00AD7908" w:rsidRPr="00BA5973">
        <w:rPr>
          <w:noProof/>
          <w:lang w:val="sr-Latn-CS" w:eastAsia="sr-Latn-CS"/>
        </w:rPr>
        <w:t xml:space="preserve"> 2 </w:t>
      </w:r>
      <w:r>
        <w:rPr>
          <w:noProof/>
          <w:lang w:val="sr-Latn-CS" w:eastAsia="sr-Latn-CS"/>
        </w:rPr>
        <w:t>do</w:t>
      </w:r>
      <w:r w:rsidR="00AD7908" w:rsidRPr="00BA5973">
        <w:rPr>
          <w:noProof/>
          <w:lang w:val="sr-Latn-CS" w:eastAsia="sr-Latn-CS"/>
        </w:rPr>
        <w:t xml:space="preserve"> 4 </w:t>
      </w:r>
      <w:r>
        <w:rPr>
          <w:noProof/>
          <w:lang w:val="sr-Latn-CS" w:eastAsia="sr-Latn-CS"/>
        </w:rPr>
        <w:t>miliona</w:t>
      </w:r>
      <w:r w:rsidR="00AD7908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evra</w:t>
      </w:r>
      <w:r w:rsidR="00AD7908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podeljen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dela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kako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sledi</w:t>
      </w:r>
      <w:r w:rsidR="00632709" w:rsidRPr="00BA5973">
        <w:rPr>
          <w:noProof/>
          <w:lang w:val="sr-Latn-CS" w:eastAsia="sr-Latn-CS"/>
        </w:rPr>
        <w:t>: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Deo</w:t>
      </w:r>
      <w:r w:rsidR="00632709" w:rsidRPr="00BA5973">
        <w:rPr>
          <w:noProof/>
          <w:lang w:val="sr-Latn-CS" w:eastAsia="sr-Latn-CS"/>
        </w:rPr>
        <w:t xml:space="preserve"> 1 (</w:t>
      </w:r>
      <w:r>
        <w:rPr>
          <w:noProof/>
          <w:lang w:val="sr-Latn-CS" w:eastAsia="sr-Latn-CS"/>
        </w:rPr>
        <w:t>koji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finansira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Tranše</w:t>
      </w:r>
      <w:r w:rsidR="00632709" w:rsidRPr="00BA5973">
        <w:rPr>
          <w:noProof/>
          <w:lang w:val="sr-Latn-CS" w:eastAsia="sr-Latn-CS"/>
        </w:rPr>
        <w:t xml:space="preserve"> 1) </w:t>
      </w:r>
      <w:r>
        <w:rPr>
          <w:noProof/>
          <w:lang w:val="sr-Latn-CS" w:eastAsia="sr-Latn-CS"/>
        </w:rPr>
        <w:t>obuhvata</w:t>
      </w:r>
      <w:r w:rsidR="00632709" w:rsidRPr="00BA5973">
        <w:rPr>
          <w:noProof/>
          <w:lang w:val="sr-Latn-CS" w:eastAsia="sr-Latn-CS"/>
        </w:rPr>
        <w:t xml:space="preserve">: 1) </w:t>
      </w:r>
      <w:r>
        <w:rPr>
          <w:noProof/>
          <w:lang w:val="sr-Latn-CS" w:eastAsia="sr-Latn-CS"/>
        </w:rPr>
        <w:t>rashodovanje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starih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kotlova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pripadajućeg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postrojenja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sistema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daljinskog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Kragujevca</w:t>
      </w:r>
      <w:r w:rsidR="00632709" w:rsidRPr="00BA5973">
        <w:rPr>
          <w:noProof/>
          <w:lang w:val="sr-Latn-CS" w:eastAsia="sr-Latn-CS"/>
        </w:rPr>
        <w:t xml:space="preserve">, 2) </w:t>
      </w:r>
      <w:r>
        <w:rPr>
          <w:noProof/>
          <w:lang w:val="sr-Latn-CS" w:eastAsia="sr-Latn-CS"/>
        </w:rPr>
        <w:t>ugradnju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novih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kotlova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toplu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vodu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prirodni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gas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ukupnog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kapaciteta</w:t>
      </w:r>
      <w:r w:rsidR="00632709" w:rsidRPr="00BA5973">
        <w:rPr>
          <w:noProof/>
          <w:lang w:val="sr-Latn-CS" w:eastAsia="sr-Latn-CS"/>
        </w:rPr>
        <w:t xml:space="preserve"> 110MW, 3) </w:t>
      </w:r>
      <w:r>
        <w:rPr>
          <w:noProof/>
          <w:lang w:val="sr-Latn-CS" w:eastAsia="sr-Latn-CS"/>
        </w:rPr>
        <w:t>nadzor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nad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radovima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strane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nezavisnog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inženjera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Očekuje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radovi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započnu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ubrzo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nakon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potpisivanja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Ugovora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zajmu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Deo</w:t>
      </w:r>
      <w:r w:rsidR="00632709" w:rsidRPr="00BA5973">
        <w:rPr>
          <w:noProof/>
          <w:lang w:val="sr-Latn-CS" w:eastAsia="sr-Latn-CS"/>
        </w:rPr>
        <w:t xml:space="preserve"> 1 </w:t>
      </w:r>
      <w:r>
        <w:rPr>
          <w:noProof/>
          <w:lang w:val="sr-Latn-CS" w:eastAsia="sr-Latn-CS"/>
        </w:rPr>
        <w:t>završi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kraja</w:t>
      </w:r>
      <w:r w:rsidR="00632709" w:rsidRPr="00BA5973">
        <w:rPr>
          <w:noProof/>
          <w:lang w:val="sr-Latn-CS" w:eastAsia="sr-Latn-CS"/>
        </w:rPr>
        <w:t xml:space="preserve"> 2023. </w:t>
      </w:r>
      <w:r>
        <w:rPr>
          <w:noProof/>
          <w:lang w:val="sr-Latn-CS" w:eastAsia="sr-Latn-CS"/>
        </w:rPr>
        <w:t>godine</w:t>
      </w:r>
      <w:r w:rsidR="00632709" w:rsidRPr="00BA5973">
        <w:rPr>
          <w:noProof/>
          <w:lang w:val="sr-Latn-CS" w:eastAsia="sr-Latn-CS"/>
        </w:rPr>
        <w:t>.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Deo</w:t>
      </w:r>
      <w:r w:rsidR="00632709" w:rsidRPr="00BA5973">
        <w:rPr>
          <w:noProof/>
          <w:lang w:val="sr-Latn-CS" w:eastAsia="sr-Latn-CS"/>
        </w:rPr>
        <w:t xml:space="preserve"> 2 (</w:t>
      </w:r>
      <w:r>
        <w:rPr>
          <w:noProof/>
          <w:lang w:val="sr-Latn-CS" w:eastAsia="sr-Latn-CS"/>
        </w:rPr>
        <w:t>koji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finansira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Tranše</w:t>
      </w:r>
      <w:r w:rsidR="00632709" w:rsidRPr="00BA5973">
        <w:rPr>
          <w:noProof/>
          <w:lang w:val="sr-Latn-CS" w:eastAsia="sr-Latn-CS"/>
        </w:rPr>
        <w:t xml:space="preserve"> 2) </w:t>
      </w:r>
      <w:r>
        <w:rPr>
          <w:noProof/>
          <w:lang w:val="sr-Latn-CS" w:eastAsia="sr-Latn-CS"/>
        </w:rPr>
        <w:t>odnosi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remedijaciju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lokacije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odlaganje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pepela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nalazi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projektnoj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lokaciji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angažovanje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konsultanata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odgovarajućim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kvalifikacijama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pružanje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pomoći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nabavkama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implementaciji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kao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vršenju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nadzora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nad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lastRenderedPageBreak/>
        <w:t>građevinskim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radovima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Deo</w:t>
      </w:r>
      <w:r w:rsidR="00632709" w:rsidRPr="00BA5973">
        <w:rPr>
          <w:noProof/>
          <w:lang w:val="sr-Latn-CS" w:eastAsia="sr-Latn-CS"/>
        </w:rPr>
        <w:t xml:space="preserve"> 2 (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pripadajuća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Tranša</w:t>
      </w:r>
      <w:r w:rsidR="00632709" w:rsidRPr="00BA5973">
        <w:rPr>
          <w:noProof/>
          <w:lang w:val="sr-Latn-CS" w:eastAsia="sr-Latn-CS"/>
        </w:rPr>
        <w:t xml:space="preserve"> 2) </w:t>
      </w:r>
      <w:r>
        <w:rPr>
          <w:noProof/>
          <w:lang w:val="sr-Latn-CS" w:eastAsia="sr-Latn-CS"/>
        </w:rPr>
        <w:t>podleže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dodatnoj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dubinskoj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analizi</w:t>
      </w:r>
      <w:r w:rsidR="00632709" w:rsidRPr="00BA5973">
        <w:rPr>
          <w:noProof/>
          <w:lang w:val="sr-Latn-CS" w:eastAsia="sr-Latn-CS"/>
        </w:rPr>
        <w:t xml:space="preserve"> (due diligence)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očekuje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bude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završena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kraja</w:t>
      </w:r>
      <w:r w:rsidR="00632709" w:rsidRPr="00BA5973">
        <w:rPr>
          <w:noProof/>
          <w:lang w:val="sr-Latn-CS" w:eastAsia="sr-Latn-CS"/>
        </w:rPr>
        <w:t xml:space="preserve"> 2021. </w:t>
      </w:r>
      <w:r>
        <w:rPr>
          <w:noProof/>
          <w:lang w:val="sr-Latn-CS" w:eastAsia="sr-Latn-CS"/>
        </w:rPr>
        <w:t>godine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Očekuje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Deo</w:t>
      </w:r>
      <w:r w:rsidR="00632709" w:rsidRPr="00BA5973">
        <w:rPr>
          <w:noProof/>
          <w:lang w:val="sr-Latn-CS" w:eastAsia="sr-Latn-CS"/>
        </w:rPr>
        <w:t xml:space="preserve"> 2 </w:t>
      </w:r>
      <w:r>
        <w:rPr>
          <w:noProof/>
          <w:lang w:val="sr-Latn-CS" w:eastAsia="sr-Latn-CS"/>
        </w:rPr>
        <w:t>biti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završen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kraja</w:t>
      </w:r>
      <w:r w:rsidR="00632709" w:rsidRPr="00BA5973">
        <w:rPr>
          <w:noProof/>
          <w:lang w:val="sr-Latn-CS" w:eastAsia="sr-Latn-CS"/>
        </w:rPr>
        <w:t xml:space="preserve"> 2024. </w:t>
      </w:r>
      <w:r>
        <w:rPr>
          <w:noProof/>
          <w:lang w:val="sr-Latn-CS" w:eastAsia="sr-Latn-CS"/>
        </w:rPr>
        <w:t>godine</w:t>
      </w:r>
      <w:r w:rsidR="00632709" w:rsidRPr="00BA5973">
        <w:rPr>
          <w:noProof/>
          <w:lang w:val="sr-Latn-CS" w:eastAsia="sr-Latn-CS"/>
        </w:rPr>
        <w:t>.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realizaciju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potpisuju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ugovora</w:t>
      </w:r>
      <w:r w:rsidR="00632709" w:rsidRPr="00BA5973">
        <w:rPr>
          <w:noProof/>
          <w:lang w:val="sr-Latn-CS" w:eastAsia="sr-Latn-CS"/>
        </w:rPr>
        <w:t xml:space="preserve">: </w:t>
      </w:r>
      <w:r>
        <w:rPr>
          <w:noProof/>
          <w:lang w:val="sr-Latn-CS" w:eastAsia="sr-Latn-CS"/>
        </w:rPr>
        <w:t>Ugovor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zajmu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između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predstavlja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ministar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finansija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ime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Vlade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kao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zastupnika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Banke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kao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Ugovor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projektu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između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predstavlja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ministar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zaštite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životne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sredine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Energetike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</w:t>
      </w:r>
      <w:r w:rsidR="00632709" w:rsidRPr="00BA5973">
        <w:rPr>
          <w:noProof/>
          <w:lang w:val="sr-Latn-CS" w:eastAsia="sr-Latn-CS"/>
        </w:rPr>
        <w:t>.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>.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Kragujevac</w:t>
      </w:r>
      <w:r w:rsidR="00632709" w:rsidRPr="00BA5973">
        <w:rPr>
          <w:noProof/>
          <w:lang w:val="sr-Latn-CS" w:eastAsia="sr-Latn-CS"/>
        </w:rPr>
        <w:t xml:space="preserve"> (</w:t>
      </w:r>
      <w:r>
        <w:rPr>
          <w:noProof/>
          <w:lang w:val="sr-Latn-CS" w:eastAsia="sr-Latn-CS"/>
        </w:rPr>
        <w:t>društv</w:t>
      </w:r>
      <w:r w:rsidR="00632709" w:rsidRPr="00BA5973">
        <w:rPr>
          <w:noProof/>
          <w:lang w:val="sr-Latn-CS" w:eastAsia="sr-Latn-CS"/>
        </w:rPr>
        <w:t xml:space="preserve">o </w:t>
      </w:r>
      <w:r>
        <w:rPr>
          <w:noProof/>
          <w:lang w:val="sr-Latn-CS" w:eastAsia="sr-Latn-CS"/>
        </w:rPr>
        <w:t>sa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ograničenom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odgovornošću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registrovano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zakonima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potpunosti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vlasništvu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Srbije</w:t>
      </w:r>
      <w:r w:rsidR="00E33573" w:rsidRPr="00BA5973">
        <w:rPr>
          <w:noProof/>
          <w:lang w:val="sr-Latn-CS" w:eastAsia="sr-Latn-CS"/>
        </w:rPr>
        <w:t xml:space="preserve">), </w:t>
      </w:r>
      <w:r>
        <w:rPr>
          <w:noProof/>
          <w:lang w:val="sr-Latn-CS" w:eastAsia="sr-Latn-CS"/>
        </w:rPr>
        <w:t>koja</w:t>
      </w:r>
      <w:r w:rsidR="00E33573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E33573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sprovoditi</w:t>
      </w:r>
      <w:r w:rsidR="00E33573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Banke</w:t>
      </w:r>
      <w:r w:rsidR="00632709" w:rsidRPr="00BA5973">
        <w:rPr>
          <w:noProof/>
          <w:lang w:val="sr-Latn-CS" w:eastAsia="sr-Latn-CS"/>
        </w:rPr>
        <w:t>.</w:t>
      </w:r>
    </w:p>
    <w:p w:rsidR="00FD6818" w:rsidRPr="00BA5973" w:rsidRDefault="00BA5973" w:rsidP="00FD6818">
      <w:pPr>
        <w:tabs>
          <w:tab w:val="left" w:pos="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Zaključkom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FD6818" w:rsidRPr="00BA5973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FD6818" w:rsidRPr="00BA5973">
        <w:rPr>
          <w:noProof/>
          <w:lang w:val="sr-Latn-CS"/>
        </w:rPr>
        <w:t>: 48-</w:t>
      </w:r>
      <w:r w:rsidR="00DD364E" w:rsidRPr="00BA5973">
        <w:rPr>
          <w:noProof/>
          <w:lang w:val="sr-Latn-CS"/>
        </w:rPr>
        <w:t>5945</w:t>
      </w:r>
      <w:r w:rsidR="00FD6818" w:rsidRPr="00BA5973">
        <w:rPr>
          <w:noProof/>
          <w:lang w:val="sr-Latn-CS"/>
        </w:rPr>
        <w:t>/20</w:t>
      </w:r>
      <w:r w:rsidR="00DD364E" w:rsidRPr="00BA5973">
        <w:rPr>
          <w:noProof/>
          <w:lang w:val="sr-Latn-CS"/>
        </w:rPr>
        <w:t>2</w:t>
      </w:r>
      <w:r w:rsidR="00FD6818" w:rsidRPr="00BA5973">
        <w:rPr>
          <w:noProof/>
          <w:lang w:val="sr-Latn-CS"/>
        </w:rPr>
        <w:t>1</w:t>
      </w:r>
      <w:r w:rsidR="00DD364E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D6818" w:rsidRPr="00BA5973">
        <w:rPr>
          <w:noProof/>
          <w:lang w:val="sr-Latn-CS"/>
        </w:rPr>
        <w:t xml:space="preserve"> 2</w:t>
      </w:r>
      <w:r w:rsidR="00DD364E" w:rsidRPr="00BA5973">
        <w:rPr>
          <w:noProof/>
          <w:lang w:val="sr-Latn-CS"/>
        </w:rPr>
        <w:t>4</w:t>
      </w:r>
      <w:r w:rsidR="00FD6818" w:rsidRPr="00BA5973">
        <w:rPr>
          <w:noProof/>
          <w:lang w:val="sr-Latn-CS"/>
        </w:rPr>
        <w:t xml:space="preserve">. </w:t>
      </w:r>
      <w:r>
        <w:rPr>
          <w:noProof/>
          <w:lang w:val="sr-Latn-CS"/>
        </w:rPr>
        <w:t>juna</w:t>
      </w:r>
      <w:r w:rsidR="00FD6818" w:rsidRPr="00BA5973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FD6818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utvrđena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Bankom</w:t>
      </w:r>
      <w:r w:rsidR="00FD6818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delegacije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D6818" w:rsidRPr="00BA5973">
        <w:rPr>
          <w:noProof/>
          <w:lang w:val="sr-Latn-CS"/>
        </w:rPr>
        <w:t xml:space="preserve"> (</w:t>
      </w:r>
      <w:r>
        <w:rPr>
          <w:noProof/>
          <w:lang w:val="sr-Latn-CS"/>
        </w:rPr>
        <w:t>predstavnici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AD790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D790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AD790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AD790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AD790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FD6818" w:rsidRPr="00BA5973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zajmu</w:t>
      </w:r>
      <w:r w:rsidR="00FD6818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rezultiralo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postizanjem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A1AD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EA1AD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zaključivanjem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kreditnog</w:t>
      </w:r>
      <w:r w:rsidR="00FD6818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aranžmana</w:t>
      </w:r>
      <w:r w:rsidR="00FD6818" w:rsidRPr="00BA5973">
        <w:rPr>
          <w:noProof/>
          <w:lang w:val="sr-Latn-CS"/>
        </w:rPr>
        <w:t>.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Banka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obezbedila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tehničku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pomoć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iznosu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="00632709" w:rsidRPr="00BA5973">
        <w:rPr>
          <w:noProof/>
          <w:lang w:val="sr-Latn-CS" w:eastAsia="sr-Latn-CS"/>
        </w:rPr>
        <w:t xml:space="preserve"> 276.000 </w:t>
      </w:r>
      <w:r>
        <w:rPr>
          <w:noProof/>
          <w:lang w:val="sr-Latn-CS" w:eastAsia="sr-Latn-CS"/>
        </w:rPr>
        <w:t>evra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: (i) </w:t>
      </w:r>
      <w:r>
        <w:rPr>
          <w:noProof/>
          <w:lang w:val="sr-Latn-CS" w:eastAsia="sr-Latn-CS"/>
        </w:rPr>
        <w:t>Energetiku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</w:t>
      </w:r>
      <w:r w:rsidR="00632709" w:rsidRPr="00BA5973">
        <w:rPr>
          <w:noProof/>
          <w:lang w:val="sr-Latn-CS" w:eastAsia="sr-Latn-CS"/>
        </w:rPr>
        <w:t>.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>.</w:t>
      </w:r>
      <w:r>
        <w:rPr>
          <w:noProof/>
          <w:lang w:val="sr-Latn-CS" w:eastAsia="sr-Latn-CS"/>
        </w:rPr>
        <w:t>o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Kragujevac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pripremu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studije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izvodljivosti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vezi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korišćenjem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obnovljive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gradske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otpadne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toplote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sistemu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daljinskog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koja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predstavljati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osnovu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naknadnu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toplotnu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energiju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obnovljivih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izvora</w:t>
      </w:r>
      <w:r w:rsidR="00632709" w:rsidRPr="00BA5973">
        <w:rPr>
          <w:noProof/>
          <w:lang w:val="sr-Latn-CS" w:eastAsia="sr-Latn-CS"/>
        </w:rPr>
        <w:t xml:space="preserve"> / </w:t>
      </w:r>
      <w:r>
        <w:rPr>
          <w:noProof/>
          <w:lang w:val="sr-Latn-CS" w:eastAsia="sr-Latn-CS"/>
        </w:rPr>
        <w:t>projekti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snabdevanja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malo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ugljenika</w:t>
      </w:r>
      <w:r w:rsidR="00632709" w:rsidRPr="00BA5973">
        <w:rPr>
          <w:noProof/>
          <w:lang w:val="sr-Latn-CS" w:eastAsia="sr-Latn-CS"/>
        </w:rPr>
        <w:t xml:space="preserve">; (ii) </w:t>
      </w:r>
      <w:r>
        <w:rPr>
          <w:noProof/>
          <w:lang w:val="sr-Latn-CS" w:eastAsia="sr-Latn-CS"/>
        </w:rPr>
        <w:t>Ministarstvo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zaštite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životne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sredine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izradu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studije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tehničkog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ekološkog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skrininga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kako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utvrdile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mogućnosti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ponovnu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upotrebu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>/</w:t>
      </w:r>
      <w:r>
        <w:rPr>
          <w:noProof/>
          <w:lang w:val="sr-Latn-CS" w:eastAsia="sr-Latn-CS"/>
        </w:rPr>
        <w:t>ili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reciklažu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bezbedno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odlaganje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letećeg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pepela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šljake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proizvedenih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postrojenjima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ugalj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kotlovima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Srbiji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prvoj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fazi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studija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fokusirati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Kragujevac</w:t>
      </w:r>
      <w:r w:rsidR="00632709" w:rsidRPr="00BA5973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druga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faza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obuhvatiti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nacionalni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opseg</w:t>
      </w:r>
      <w:r w:rsidR="00632709" w:rsidRPr="00BA5973">
        <w:rPr>
          <w:noProof/>
          <w:lang w:val="sr-Latn-CS" w:eastAsia="sr-Latn-CS"/>
        </w:rPr>
        <w:t>.</w:t>
      </w:r>
    </w:p>
    <w:p w:rsidR="00632709" w:rsidRPr="00BA5973" w:rsidRDefault="00BA5973" w:rsidP="00632709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omogućiti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uklanjanje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uglja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gradskog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sistema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daljinskog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grejanja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značajno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poboljšati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kvalitet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vazduha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gradu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zbog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centralne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lokacije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kotlova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ugalj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menjaju</w:t>
      </w:r>
      <w:r w:rsidR="00632709" w:rsidRPr="00BA5973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Projekat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rezultirati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sledećim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poboljšanjima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energetske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efikasnosti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prednostima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životnu</w:t>
      </w:r>
      <w:r w:rsidR="00632709" w:rsidRPr="00BA5973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sredinu</w:t>
      </w:r>
      <w:r w:rsidR="00632709" w:rsidRPr="00BA5973">
        <w:rPr>
          <w:noProof/>
          <w:lang w:val="sr-Latn-CS" w:eastAsia="sr-Latn-CS"/>
        </w:rPr>
        <w:t>:</w:t>
      </w:r>
    </w:p>
    <w:p w:rsidR="00632709" w:rsidRPr="00BA5973" w:rsidRDefault="00632709" w:rsidP="00632709">
      <w:pPr>
        <w:ind w:firstLine="720"/>
        <w:jc w:val="both"/>
        <w:rPr>
          <w:noProof/>
          <w:lang w:val="sr-Latn-CS" w:eastAsia="sr-Latn-CS"/>
        </w:rPr>
      </w:pPr>
      <w:r w:rsidRPr="00BA5973">
        <w:rPr>
          <w:noProof/>
          <w:lang w:val="sr-Latn-CS" w:eastAsia="sr-Latn-CS"/>
        </w:rPr>
        <w:t xml:space="preserve">• </w:t>
      </w:r>
      <w:r w:rsidR="00BA5973">
        <w:rPr>
          <w:noProof/>
          <w:lang w:val="sr-Latn-CS" w:eastAsia="sr-Latn-CS"/>
        </w:rPr>
        <w:t>ukupna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poboljšanja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energetske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efikasnosti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sistema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daljinskog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grejanja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koja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rezultiraju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smanjenjem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emisije</w:t>
      </w:r>
      <w:r w:rsidRPr="00BA5973">
        <w:rPr>
          <w:noProof/>
          <w:lang w:val="sr-Latn-CS" w:eastAsia="sr-Latn-CS"/>
        </w:rPr>
        <w:t xml:space="preserve"> </w:t>
      </w:r>
      <w:r w:rsidRPr="00BA5973">
        <w:rPr>
          <w:noProof/>
          <w:lang w:val="sr-Latn-CS"/>
        </w:rPr>
        <w:t>CO</w:t>
      </w:r>
      <w:r w:rsidRPr="00BA5973">
        <w:rPr>
          <w:noProof/>
          <w:vertAlign w:val="subscript"/>
          <w:lang w:val="sr-Latn-CS"/>
        </w:rPr>
        <w:t>2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za</w:t>
      </w:r>
      <w:r w:rsidRPr="00BA5973">
        <w:rPr>
          <w:noProof/>
          <w:lang w:val="sr-Latn-CS" w:eastAsia="sr-Latn-CS"/>
        </w:rPr>
        <w:t xml:space="preserve"> 66 </w:t>
      </w:r>
      <w:r w:rsidR="00BA5973">
        <w:rPr>
          <w:noProof/>
          <w:lang w:val="sr-Latn-CS" w:eastAsia="sr-Latn-CS"/>
        </w:rPr>
        <w:t>procenata</w:t>
      </w:r>
      <w:r w:rsidRPr="00BA5973">
        <w:rPr>
          <w:noProof/>
          <w:lang w:val="sr-Latn-CS" w:eastAsia="sr-Latn-CS"/>
        </w:rPr>
        <w:t xml:space="preserve"> (60.364 </w:t>
      </w:r>
      <w:r w:rsidR="00BA5973">
        <w:rPr>
          <w:noProof/>
          <w:lang w:val="sr-Latn-CS" w:eastAsia="sr-Latn-CS"/>
        </w:rPr>
        <w:t>tona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godišnje</w:t>
      </w:r>
      <w:r w:rsidRPr="00BA5973">
        <w:rPr>
          <w:noProof/>
          <w:lang w:val="sr-Latn-CS" w:eastAsia="sr-Latn-CS"/>
        </w:rPr>
        <w:t>);</w:t>
      </w:r>
    </w:p>
    <w:p w:rsidR="00632709" w:rsidRPr="00BA5973" w:rsidRDefault="00632709" w:rsidP="00632709">
      <w:pPr>
        <w:ind w:firstLine="720"/>
        <w:jc w:val="both"/>
        <w:rPr>
          <w:noProof/>
          <w:lang w:val="sr-Latn-CS" w:eastAsia="sr-Latn-CS"/>
        </w:rPr>
      </w:pPr>
      <w:r w:rsidRPr="00BA5973">
        <w:rPr>
          <w:noProof/>
          <w:lang w:val="sr-Latn-CS" w:eastAsia="sr-Latn-CS"/>
        </w:rPr>
        <w:t xml:space="preserve">• </w:t>
      </w:r>
      <w:r w:rsidR="00BA5973">
        <w:rPr>
          <w:noProof/>
          <w:lang w:val="sr-Latn-CS" w:eastAsia="sr-Latn-CS"/>
        </w:rPr>
        <w:t>eliminacija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emisije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sumpor</w:t>
      </w:r>
      <w:r w:rsidRPr="00BA5973">
        <w:rPr>
          <w:noProof/>
          <w:lang w:val="sr-Latn-CS" w:eastAsia="sr-Latn-CS"/>
        </w:rPr>
        <w:t>-</w:t>
      </w:r>
      <w:r w:rsidR="00BA5973">
        <w:rPr>
          <w:noProof/>
          <w:lang w:val="sr-Latn-CS" w:eastAsia="sr-Latn-CS"/>
        </w:rPr>
        <w:t>dioksida</w:t>
      </w:r>
      <w:r w:rsidRPr="00BA5973">
        <w:rPr>
          <w:noProof/>
          <w:lang w:val="sr-Latn-CS" w:eastAsia="sr-Latn-CS"/>
        </w:rPr>
        <w:t xml:space="preserve"> </w:t>
      </w:r>
      <w:r w:rsidRPr="00BA5973">
        <w:rPr>
          <w:noProof/>
          <w:lang w:val="sr-Latn-CS"/>
        </w:rPr>
        <w:t>SO</w:t>
      </w:r>
      <w:r w:rsidRPr="00BA5973">
        <w:rPr>
          <w:noProof/>
          <w:vertAlign w:val="subscript"/>
          <w:lang w:val="sr-Latn-CS"/>
        </w:rPr>
        <w:t>2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od</w:t>
      </w:r>
      <w:r w:rsidRPr="00BA5973">
        <w:rPr>
          <w:noProof/>
          <w:lang w:val="sr-Latn-CS" w:eastAsia="sr-Latn-CS"/>
        </w:rPr>
        <w:t xml:space="preserve"> 556 </w:t>
      </w:r>
      <w:r w:rsidR="00BA5973">
        <w:rPr>
          <w:noProof/>
          <w:lang w:val="sr-Latn-CS" w:eastAsia="sr-Latn-CS"/>
        </w:rPr>
        <w:t>tona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godišnje</w:t>
      </w:r>
      <w:r w:rsidRPr="00BA5973">
        <w:rPr>
          <w:noProof/>
          <w:lang w:val="sr-Latn-CS" w:eastAsia="sr-Latn-CS"/>
        </w:rPr>
        <w:t>;</w:t>
      </w:r>
    </w:p>
    <w:p w:rsidR="00632709" w:rsidRPr="00BA5973" w:rsidRDefault="00632709" w:rsidP="00632709">
      <w:pPr>
        <w:ind w:firstLine="720"/>
        <w:jc w:val="both"/>
        <w:rPr>
          <w:noProof/>
          <w:lang w:val="sr-Latn-CS" w:eastAsia="sr-Latn-CS"/>
        </w:rPr>
      </w:pPr>
      <w:r w:rsidRPr="00BA5973">
        <w:rPr>
          <w:noProof/>
          <w:lang w:val="sr-Latn-CS" w:eastAsia="sr-Latn-CS"/>
        </w:rPr>
        <w:t xml:space="preserve">• </w:t>
      </w:r>
      <w:r w:rsidR="00BA5973">
        <w:rPr>
          <w:noProof/>
          <w:lang w:val="sr-Latn-CS" w:eastAsia="sr-Latn-CS"/>
        </w:rPr>
        <w:t>eliminacija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emisija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čvrstih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čestica</w:t>
      </w:r>
      <w:r w:rsidRPr="00BA5973">
        <w:rPr>
          <w:noProof/>
          <w:lang w:val="sr-Latn-CS" w:eastAsia="sr-Latn-CS"/>
        </w:rPr>
        <w:t xml:space="preserve"> </w:t>
      </w:r>
      <w:r w:rsidRPr="00BA5973">
        <w:rPr>
          <w:noProof/>
          <w:lang w:val="sr-Latn-CS"/>
        </w:rPr>
        <w:t>PM</w:t>
      </w:r>
      <w:r w:rsidRPr="00BA5973">
        <w:rPr>
          <w:noProof/>
          <w:vertAlign w:val="subscript"/>
          <w:lang w:val="sr-Latn-CS"/>
        </w:rPr>
        <w:t>2.5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 w:eastAsia="sr-Latn-CS"/>
        </w:rPr>
        <w:t>od</w:t>
      </w:r>
      <w:r w:rsidRPr="00BA5973">
        <w:rPr>
          <w:noProof/>
          <w:lang w:val="sr-Latn-CS" w:eastAsia="sr-Latn-CS"/>
        </w:rPr>
        <w:t xml:space="preserve"> 10 </w:t>
      </w:r>
      <w:r w:rsidR="00BA5973">
        <w:rPr>
          <w:noProof/>
          <w:lang w:val="sr-Latn-CS" w:eastAsia="sr-Latn-CS"/>
        </w:rPr>
        <w:t>tona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godišnje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i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ukupnih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emisija</w:t>
      </w:r>
      <w:r w:rsidRPr="00BA5973">
        <w:rPr>
          <w:noProof/>
          <w:lang w:val="sr-Latn-CS" w:eastAsia="sr-Latn-CS"/>
        </w:rPr>
        <w:t xml:space="preserve"> </w:t>
      </w:r>
      <w:r w:rsidRPr="00BA5973">
        <w:rPr>
          <w:noProof/>
          <w:lang w:val="sr-Latn-CS"/>
        </w:rPr>
        <w:t>PM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od</w:t>
      </w:r>
      <w:r w:rsidRPr="00BA5973">
        <w:rPr>
          <w:noProof/>
          <w:lang w:val="sr-Latn-CS" w:eastAsia="sr-Latn-CS"/>
        </w:rPr>
        <w:t xml:space="preserve"> 99,3 </w:t>
      </w:r>
      <w:r w:rsidR="00BA5973">
        <w:rPr>
          <w:noProof/>
          <w:lang w:val="sr-Latn-CS" w:eastAsia="sr-Latn-CS"/>
        </w:rPr>
        <w:t>tone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godišnje</w:t>
      </w:r>
      <w:r w:rsidRPr="00BA5973">
        <w:rPr>
          <w:noProof/>
          <w:lang w:val="sr-Latn-CS" w:eastAsia="sr-Latn-CS"/>
        </w:rPr>
        <w:t>;</w:t>
      </w:r>
    </w:p>
    <w:p w:rsidR="00632709" w:rsidRPr="00BA5973" w:rsidRDefault="00632709" w:rsidP="00632709">
      <w:pPr>
        <w:ind w:firstLine="720"/>
        <w:jc w:val="both"/>
        <w:rPr>
          <w:noProof/>
          <w:lang w:val="sr-Latn-CS" w:eastAsia="sr-Latn-CS"/>
        </w:rPr>
      </w:pPr>
      <w:r w:rsidRPr="00BA5973">
        <w:rPr>
          <w:noProof/>
          <w:lang w:val="sr-Latn-CS" w:eastAsia="sr-Latn-CS"/>
        </w:rPr>
        <w:t xml:space="preserve">• </w:t>
      </w:r>
      <w:r w:rsidR="00BA5973">
        <w:rPr>
          <w:noProof/>
          <w:lang w:val="sr-Latn-CS" w:eastAsia="sr-Latn-CS"/>
        </w:rPr>
        <w:t>smanjenje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emisije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azot</w:t>
      </w:r>
      <w:r w:rsidRPr="00BA5973">
        <w:rPr>
          <w:noProof/>
          <w:lang w:val="sr-Latn-CS" w:eastAsia="sr-Latn-CS"/>
        </w:rPr>
        <w:t>-</w:t>
      </w:r>
      <w:r w:rsidR="00BA5973">
        <w:rPr>
          <w:noProof/>
          <w:lang w:val="sr-Latn-CS" w:eastAsia="sr-Latn-CS"/>
        </w:rPr>
        <w:t>oksida</w:t>
      </w:r>
      <w:r w:rsidRPr="00BA5973">
        <w:rPr>
          <w:noProof/>
          <w:lang w:val="sr-Latn-CS" w:eastAsia="sr-Latn-CS"/>
        </w:rPr>
        <w:t xml:space="preserve"> </w:t>
      </w:r>
      <w:r w:rsidRPr="00BA5973">
        <w:rPr>
          <w:noProof/>
          <w:lang w:val="sr-Latn-CS"/>
        </w:rPr>
        <w:t>NO</w:t>
      </w:r>
      <w:r w:rsidRPr="00BA5973">
        <w:rPr>
          <w:noProof/>
          <w:vertAlign w:val="subscript"/>
          <w:lang w:val="sr-Latn-CS"/>
        </w:rPr>
        <w:t>X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od</w:t>
      </w:r>
      <w:r w:rsidRPr="00BA5973">
        <w:rPr>
          <w:noProof/>
          <w:lang w:val="sr-Latn-CS" w:eastAsia="sr-Latn-CS"/>
        </w:rPr>
        <w:t xml:space="preserve"> 98 </w:t>
      </w:r>
      <w:r w:rsidR="00BA5973">
        <w:rPr>
          <w:noProof/>
          <w:lang w:val="sr-Latn-CS" w:eastAsia="sr-Latn-CS"/>
        </w:rPr>
        <w:t>tona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godišnje</w:t>
      </w:r>
      <w:r w:rsidRPr="00BA5973">
        <w:rPr>
          <w:noProof/>
          <w:lang w:val="sr-Latn-CS" w:eastAsia="sr-Latn-CS"/>
        </w:rPr>
        <w:t xml:space="preserve"> (89 </w:t>
      </w:r>
      <w:r w:rsidR="00BA5973">
        <w:rPr>
          <w:noProof/>
          <w:lang w:val="sr-Latn-CS" w:eastAsia="sr-Latn-CS"/>
        </w:rPr>
        <w:t>procenata</w:t>
      </w:r>
      <w:r w:rsidRPr="00BA5973">
        <w:rPr>
          <w:noProof/>
          <w:lang w:val="sr-Latn-CS" w:eastAsia="sr-Latn-CS"/>
        </w:rPr>
        <w:t>);</w:t>
      </w:r>
    </w:p>
    <w:p w:rsidR="00632709" w:rsidRPr="00BA5973" w:rsidRDefault="00632709" w:rsidP="00632709">
      <w:pPr>
        <w:ind w:firstLine="720"/>
        <w:jc w:val="both"/>
        <w:rPr>
          <w:noProof/>
          <w:lang w:val="sr-Latn-CS" w:eastAsia="sr-Latn-CS"/>
        </w:rPr>
      </w:pPr>
      <w:r w:rsidRPr="00BA5973">
        <w:rPr>
          <w:noProof/>
          <w:lang w:val="sr-Latn-CS" w:eastAsia="sr-Latn-CS"/>
        </w:rPr>
        <w:t xml:space="preserve">• </w:t>
      </w:r>
      <w:r w:rsidR="00BA5973">
        <w:rPr>
          <w:noProof/>
          <w:lang w:val="sr-Latn-CS" w:eastAsia="sr-Latn-CS"/>
        </w:rPr>
        <w:t>ušteda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vode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od</w:t>
      </w:r>
      <w:r w:rsidRPr="00BA5973">
        <w:rPr>
          <w:noProof/>
          <w:lang w:val="sr-Latn-CS" w:eastAsia="sr-Latn-CS"/>
        </w:rPr>
        <w:t xml:space="preserve"> 39.200 m</w:t>
      </w:r>
      <w:r w:rsidRPr="00BA5973">
        <w:rPr>
          <w:noProof/>
          <w:vertAlign w:val="superscript"/>
          <w:lang w:val="sr-Latn-CS" w:eastAsia="sr-Latn-CS"/>
        </w:rPr>
        <w:t>3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godišnje</w:t>
      </w:r>
      <w:r w:rsidRPr="00BA5973">
        <w:rPr>
          <w:noProof/>
          <w:lang w:val="sr-Latn-CS" w:eastAsia="sr-Latn-CS"/>
        </w:rPr>
        <w:t xml:space="preserve"> (55 </w:t>
      </w:r>
      <w:r w:rsidR="00BA5973">
        <w:rPr>
          <w:noProof/>
          <w:lang w:val="sr-Latn-CS" w:eastAsia="sr-Latn-CS"/>
        </w:rPr>
        <w:t>procenata</w:t>
      </w:r>
      <w:r w:rsidRPr="00BA5973">
        <w:rPr>
          <w:noProof/>
          <w:lang w:val="sr-Latn-CS" w:eastAsia="sr-Latn-CS"/>
        </w:rPr>
        <w:t>);</w:t>
      </w:r>
    </w:p>
    <w:p w:rsidR="00632709" w:rsidRPr="00BA5973" w:rsidRDefault="00632709" w:rsidP="00632709">
      <w:pPr>
        <w:ind w:firstLine="720"/>
        <w:jc w:val="both"/>
        <w:rPr>
          <w:noProof/>
          <w:lang w:val="sr-Latn-CS" w:eastAsia="sr-Latn-CS"/>
        </w:rPr>
      </w:pPr>
      <w:r w:rsidRPr="00BA5973">
        <w:rPr>
          <w:noProof/>
          <w:lang w:val="sr-Latn-CS" w:eastAsia="sr-Latn-CS"/>
        </w:rPr>
        <w:t xml:space="preserve">• </w:t>
      </w:r>
      <w:r w:rsidR="00BA5973">
        <w:rPr>
          <w:noProof/>
          <w:lang w:val="sr-Latn-CS" w:eastAsia="sr-Latn-CS"/>
        </w:rPr>
        <w:t>bezbedno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odlaganje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postojećeg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inventara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letećeg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pepela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i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sprečavanje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buduće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generacije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pepela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i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šljake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i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kontaminacije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vode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u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vezi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sa</w:t>
      </w:r>
      <w:r w:rsidRPr="00BA5973">
        <w:rPr>
          <w:noProof/>
          <w:lang w:val="sr-Latn-CS" w:eastAsia="sr-Latn-CS"/>
        </w:rPr>
        <w:t xml:space="preserve"> </w:t>
      </w:r>
      <w:r w:rsidR="00BA5973">
        <w:rPr>
          <w:noProof/>
          <w:lang w:val="sr-Latn-CS" w:eastAsia="sr-Latn-CS"/>
        </w:rPr>
        <w:t>navedenim</w:t>
      </w:r>
      <w:r w:rsidRPr="00BA5973">
        <w:rPr>
          <w:noProof/>
          <w:lang w:val="sr-Latn-CS" w:eastAsia="sr-Latn-CS"/>
        </w:rPr>
        <w:t>.</w:t>
      </w:r>
    </w:p>
    <w:p w:rsidR="006D19AC" w:rsidRPr="00BA5973" w:rsidRDefault="006D19AC" w:rsidP="006D19AC">
      <w:pPr>
        <w:tabs>
          <w:tab w:val="left" w:pos="360"/>
        </w:tabs>
        <w:jc w:val="both"/>
        <w:rPr>
          <w:bCs/>
          <w:noProof/>
          <w:lang w:val="sr-Latn-CS"/>
        </w:rPr>
      </w:pPr>
      <w:r w:rsidRPr="00BA5973">
        <w:rPr>
          <w:noProof/>
          <w:lang w:val="sr-Latn-CS"/>
        </w:rPr>
        <w:tab/>
      </w:r>
      <w:r w:rsidRPr="00BA5973">
        <w:rPr>
          <w:noProof/>
          <w:lang w:val="sr-Latn-CS"/>
        </w:rPr>
        <w:tab/>
      </w:r>
      <w:r w:rsidR="00BA5973">
        <w:rPr>
          <w:noProof/>
          <w:lang w:val="sr-Latn-CS"/>
        </w:rPr>
        <w:t>Prema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odredbama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Standardnih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uslova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poslovanja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od</w:t>
      </w:r>
      <w:r w:rsidRPr="00BA5973">
        <w:rPr>
          <w:noProof/>
          <w:lang w:val="sr-Latn-CS"/>
        </w:rPr>
        <w:t xml:space="preserve"> 1. </w:t>
      </w:r>
      <w:r w:rsidR="00BA5973">
        <w:rPr>
          <w:noProof/>
          <w:lang w:val="sr-Latn-CS"/>
        </w:rPr>
        <w:t>oktobra</w:t>
      </w:r>
      <w:r w:rsidRPr="00BA5973">
        <w:rPr>
          <w:noProof/>
          <w:lang w:val="sr-Latn-CS"/>
        </w:rPr>
        <w:t xml:space="preserve"> 2018. </w:t>
      </w:r>
      <w:r w:rsidR="00BA5973">
        <w:rPr>
          <w:noProof/>
          <w:lang w:val="sr-Latn-CS"/>
        </w:rPr>
        <w:t>godine</w:t>
      </w:r>
      <w:r w:rsidRPr="00BA5973">
        <w:rPr>
          <w:noProof/>
          <w:lang w:val="sr-Latn-CS"/>
        </w:rPr>
        <w:t xml:space="preserve">, </w:t>
      </w:r>
      <w:r w:rsidR="00BA5973">
        <w:rPr>
          <w:noProof/>
          <w:lang w:val="sr-Latn-CS"/>
        </w:rPr>
        <w:t>koje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Banka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primenjuje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u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svojoj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poslovnoj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politici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i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praksi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kod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odobravanja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pozajmica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klijentima</w:t>
      </w:r>
      <w:r w:rsidRPr="00BA5973">
        <w:rPr>
          <w:noProof/>
          <w:lang w:val="sr-Latn-CS"/>
        </w:rPr>
        <w:t xml:space="preserve">, </w:t>
      </w:r>
      <w:r w:rsidR="00BA5973">
        <w:rPr>
          <w:noProof/>
          <w:lang w:val="sr-Latn-CS"/>
        </w:rPr>
        <w:t>ovaj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zajam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je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odobren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pod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sledećim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finansijskim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uslovima</w:t>
      </w:r>
      <w:r w:rsidRPr="00BA5973">
        <w:rPr>
          <w:noProof/>
          <w:lang w:val="sr-Latn-CS"/>
        </w:rPr>
        <w:t>:</w:t>
      </w:r>
      <w:r w:rsidRPr="00BA5973">
        <w:rPr>
          <w:bCs/>
          <w:noProof/>
          <w:lang w:val="sr-Latn-CS"/>
        </w:rPr>
        <w:t xml:space="preserve"> 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iznos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zaduženja</w:t>
      </w:r>
      <w:r w:rsidR="00632709" w:rsidRPr="00BA5973">
        <w:rPr>
          <w:noProof/>
          <w:lang w:val="sr-Latn-CS"/>
        </w:rPr>
        <w:t xml:space="preserve"> 18.000.000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podeljen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otplata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25 </w:t>
      </w:r>
      <w:r>
        <w:rPr>
          <w:noProof/>
          <w:lang w:val="sr-Latn-CS"/>
        </w:rPr>
        <w:t>jednakih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632709" w:rsidRPr="00BA5973">
        <w:rPr>
          <w:noProof/>
          <w:lang w:val="sr-Latn-CS"/>
        </w:rPr>
        <w:t xml:space="preserve"> (</w:t>
      </w:r>
      <w:r>
        <w:rPr>
          <w:noProof/>
          <w:lang w:val="sr-Latn-CS"/>
        </w:rPr>
        <w:t>kamate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provizija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dospelih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glavnice</w:t>
      </w:r>
      <w:r w:rsidR="00632709" w:rsidRPr="00BA5973">
        <w:rPr>
          <w:noProof/>
          <w:lang w:val="sr-Latn-CS"/>
        </w:rPr>
        <w:t xml:space="preserve">) </w:t>
      </w:r>
      <w:r>
        <w:rPr>
          <w:noProof/>
          <w:lang w:val="sr-Latn-CS"/>
        </w:rPr>
        <w:t>su</w:t>
      </w:r>
      <w:r w:rsidR="00632709" w:rsidRPr="00BA5973">
        <w:rPr>
          <w:noProof/>
          <w:lang w:val="sr-Latn-CS"/>
        </w:rPr>
        <w:t xml:space="preserve"> 25. </w:t>
      </w:r>
      <w:r>
        <w:rPr>
          <w:noProof/>
          <w:lang w:val="sr-Latn-CS"/>
        </w:rPr>
        <w:t>april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25. </w:t>
      </w:r>
      <w:r>
        <w:rPr>
          <w:noProof/>
          <w:lang w:val="sr-Latn-CS"/>
        </w:rPr>
        <w:t>oktobar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period</w:t>
      </w:r>
      <w:r w:rsidR="0041707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počeka</w:t>
      </w:r>
      <w:r w:rsidR="0041707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1707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41707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41707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1707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632709" w:rsidRPr="00BA5973">
        <w:rPr>
          <w:noProof/>
          <w:lang w:val="sr-Latn-CS"/>
        </w:rPr>
        <w:t xml:space="preserve"> 2 </w:t>
      </w:r>
      <w:r>
        <w:rPr>
          <w:noProof/>
          <w:lang w:val="sr-Latn-CS"/>
        </w:rPr>
        <w:t>on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kasnijoj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ispune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preduslovi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definisati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Tranša</w:t>
      </w:r>
      <w:r w:rsidR="00632709" w:rsidRPr="00BA5973">
        <w:rPr>
          <w:noProof/>
          <w:lang w:val="sr-Latn-CS"/>
        </w:rPr>
        <w:t xml:space="preserve"> 1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32709" w:rsidRPr="00BA5973">
        <w:rPr>
          <w:noProof/>
          <w:lang w:val="sr-Latn-CS"/>
        </w:rPr>
        <w:t xml:space="preserve"> 14.000.000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periodom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raspoloživosti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32709" w:rsidRPr="00BA5973">
        <w:rPr>
          <w:noProof/>
          <w:lang w:val="sr-Latn-CS"/>
        </w:rPr>
        <w:t xml:space="preserve"> 25. </w:t>
      </w:r>
      <w:r>
        <w:rPr>
          <w:noProof/>
          <w:lang w:val="sr-Latn-CS"/>
        </w:rPr>
        <w:t>oktobra</w:t>
      </w:r>
      <w:r w:rsidR="00632709" w:rsidRPr="00BA5973">
        <w:rPr>
          <w:noProof/>
          <w:lang w:val="sr-Latn-CS"/>
        </w:rPr>
        <w:t xml:space="preserve"> 2024. </w:t>
      </w:r>
      <w:r>
        <w:rPr>
          <w:noProof/>
          <w:lang w:val="sr-Latn-CS"/>
        </w:rPr>
        <w:t>godine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otplatom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32709" w:rsidRPr="00BA5973">
        <w:rPr>
          <w:noProof/>
          <w:lang w:val="sr-Latn-CS"/>
        </w:rPr>
        <w:t xml:space="preserve"> 25. </w:t>
      </w:r>
      <w:r>
        <w:rPr>
          <w:noProof/>
          <w:lang w:val="sr-Latn-CS"/>
        </w:rPr>
        <w:t>aprilom</w:t>
      </w:r>
      <w:r w:rsidR="00632709" w:rsidRPr="00BA5973">
        <w:rPr>
          <w:noProof/>
          <w:lang w:val="sr-Latn-CS"/>
        </w:rPr>
        <w:t xml:space="preserve"> 2037. </w:t>
      </w:r>
      <w:r>
        <w:rPr>
          <w:noProof/>
          <w:lang w:val="sr-Latn-CS"/>
        </w:rPr>
        <w:t>godine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Tranša</w:t>
      </w:r>
      <w:r w:rsidR="00632709" w:rsidRPr="00BA5973">
        <w:rPr>
          <w:noProof/>
          <w:lang w:val="sr-Latn-CS"/>
        </w:rPr>
        <w:t xml:space="preserve"> 2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32709" w:rsidRPr="00BA5973">
        <w:rPr>
          <w:noProof/>
          <w:lang w:val="sr-Latn-CS"/>
        </w:rPr>
        <w:t xml:space="preserve"> 4.000.000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periodom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raspoloživosti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pada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počeka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632709" w:rsidRPr="00BA5973">
        <w:rPr>
          <w:noProof/>
          <w:lang w:val="sr-Latn-CS"/>
        </w:rPr>
        <w:t xml:space="preserve"> 2;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isplata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tranšama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632709" w:rsidRPr="00BA5973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varijabilne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kamatne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jednake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referentnoj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kamatnoj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="00632709" w:rsidRPr="00BA5973">
        <w:rPr>
          <w:noProof/>
          <w:lang w:val="sr-Latn-CS"/>
        </w:rPr>
        <w:t xml:space="preserve"> - </w:t>
      </w:r>
      <w:r>
        <w:rPr>
          <w:noProof/>
          <w:lang w:val="sr-Latn-CS"/>
        </w:rPr>
        <w:t>šestomesečni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uvećanoj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fiksnu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maržu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32709" w:rsidRPr="00BA5973">
        <w:rPr>
          <w:noProof/>
          <w:lang w:val="sr-Latn-CS"/>
        </w:rPr>
        <w:t xml:space="preserve"> 1%, </w:t>
      </w:r>
      <w:r>
        <w:rPr>
          <w:noProof/>
          <w:lang w:val="sr-Latn-CS"/>
        </w:rPr>
        <w:t>uz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kamatna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fiksira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opcija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dugom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predviđena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otplate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minimalnom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32709" w:rsidRPr="00BA5973">
        <w:rPr>
          <w:noProof/>
          <w:lang w:val="sr-Latn-CS"/>
        </w:rPr>
        <w:t xml:space="preserve"> 1.000.000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provizija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neiskorišćeni</w:t>
      </w:r>
      <w:r w:rsidR="00EA1AD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A1AD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EA1AD1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A1AD1" w:rsidRPr="00BA5973">
        <w:rPr>
          <w:noProof/>
          <w:lang w:val="sr-Latn-CS"/>
        </w:rPr>
        <w:t xml:space="preserve"> 0,5% </w:t>
      </w:r>
      <w:r>
        <w:rPr>
          <w:noProof/>
          <w:lang w:val="sr-Latn-CS"/>
        </w:rPr>
        <w:t>godišnje</w:t>
      </w:r>
      <w:r w:rsidR="00EA1AD1" w:rsidRPr="00BA5973">
        <w:rPr>
          <w:noProof/>
          <w:lang w:val="sr-Latn-CS"/>
        </w:rPr>
        <w:t>;</w:t>
      </w:r>
    </w:p>
    <w:p w:rsidR="00632709" w:rsidRPr="00BA5973" w:rsidRDefault="00BA5973" w:rsidP="00632709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upisna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32709" w:rsidRPr="00BA5973">
        <w:rPr>
          <w:noProof/>
          <w:lang w:val="sr-Latn-CS"/>
        </w:rPr>
        <w:t xml:space="preserve"> 1% </w:t>
      </w:r>
      <w:r>
        <w:rPr>
          <w:noProof/>
          <w:lang w:val="sr-Latn-CS"/>
        </w:rPr>
        <w:t>ukupnog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jednokratno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sukcesivno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postanu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efektivna</w:t>
      </w:r>
      <w:r w:rsidR="00632709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632709" w:rsidRPr="00BA5973">
        <w:rPr>
          <w:noProof/>
          <w:lang w:val="sr-Latn-CS"/>
        </w:rPr>
        <w:t xml:space="preserve"> 140.000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632709" w:rsidRPr="00BA5973">
        <w:rPr>
          <w:noProof/>
          <w:lang w:val="sr-Latn-CS"/>
        </w:rPr>
        <w:t xml:space="preserve"> 1 </w:t>
      </w:r>
      <w:r>
        <w:rPr>
          <w:noProof/>
          <w:lang w:val="sr-Latn-CS"/>
        </w:rPr>
        <w:t>i</w:t>
      </w:r>
      <w:r w:rsidR="00632709" w:rsidRPr="00BA5973">
        <w:rPr>
          <w:noProof/>
          <w:lang w:val="sr-Latn-CS"/>
        </w:rPr>
        <w:t xml:space="preserve"> 40.000 </w:t>
      </w:r>
      <w:r>
        <w:rPr>
          <w:noProof/>
          <w:lang w:val="sr-Latn-CS"/>
        </w:rPr>
        <w:t>evra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32709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632709" w:rsidRPr="00BA5973">
        <w:rPr>
          <w:noProof/>
          <w:lang w:val="sr-Latn-CS"/>
        </w:rPr>
        <w:t xml:space="preserve"> 2.</w:t>
      </w:r>
    </w:p>
    <w:p w:rsidR="008A01E4" w:rsidRPr="00BA5973" w:rsidRDefault="008A01E4" w:rsidP="00632709">
      <w:pPr>
        <w:tabs>
          <w:tab w:val="left" w:pos="1080"/>
        </w:tabs>
        <w:jc w:val="both"/>
        <w:rPr>
          <w:bCs/>
          <w:noProof/>
          <w:highlight w:val="yellow"/>
          <w:lang w:val="sr-Latn-CS"/>
        </w:rPr>
      </w:pPr>
    </w:p>
    <w:p w:rsidR="006D19AC" w:rsidRPr="00BA5973" w:rsidRDefault="006D19AC" w:rsidP="006D19AC">
      <w:pPr>
        <w:ind w:firstLine="720"/>
        <w:jc w:val="both"/>
        <w:rPr>
          <w:noProof/>
          <w:sz w:val="18"/>
          <w:szCs w:val="18"/>
          <w:lang w:val="sr-Latn-CS" w:eastAsia="sr-Latn-CS"/>
        </w:rPr>
      </w:pPr>
    </w:p>
    <w:p w:rsidR="00C37096" w:rsidRPr="00BA5973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III.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OBJAŠNJENJE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OSNOVNIH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PRAVNIH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INSTITUTA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POJEDINAČNIH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REŠENJA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C4068A" w:rsidRPr="00BA5973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C4068A" w:rsidRPr="00BA5973" w:rsidRDefault="00BA5973" w:rsidP="00747569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Odredbom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auto"/>
          <w:lang w:val="sr-Latn-CS"/>
        </w:rPr>
        <w:t>Predloga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predviđa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potvrđivanje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zajmu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Projekat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daljinskog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grejanja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Kragujevcu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banke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obnovu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7A4C03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="007A4C03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potpisan</w:t>
      </w:r>
      <w:r w:rsidR="007A4C03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472751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Beogradu</w:t>
      </w:r>
      <w:r w:rsidR="00472751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7A4C03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2. </w:t>
      </w:r>
      <w:r>
        <w:rPr>
          <w:rFonts w:ascii="Times New Roman" w:hAnsi="Times New Roman" w:cs="Times New Roman"/>
          <w:noProof/>
          <w:color w:val="auto"/>
          <w:lang w:val="sr-Latn-CS"/>
        </w:rPr>
        <w:t>jula</w:t>
      </w:r>
      <w:r w:rsidR="007A4C03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>20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>2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1. </w:t>
      </w:r>
      <w:r>
        <w:rPr>
          <w:rFonts w:ascii="Times New Roman" w:hAnsi="Times New Roman" w:cs="Times New Roman"/>
          <w:noProof/>
          <w:color w:val="auto"/>
          <w:lang w:val="sr-Latn-CS"/>
        </w:rPr>
        <w:t>godine</w:t>
      </w:r>
      <w:r w:rsidR="0074756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747569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originalu</w:t>
      </w:r>
      <w:r w:rsidR="00747569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747569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engleskom</w:t>
      </w:r>
      <w:r w:rsidR="00747569" w:rsidRPr="00BA597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jeziku</w:t>
      </w:r>
      <w:r w:rsidR="00747569" w:rsidRPr="00BA597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C37096" w:rsidRPr="00BA5973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Odredba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Predloga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sadrži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tekst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Ugovora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zajmu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Projekat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daljinskog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grejanja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Kragujevcu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između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Evropske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banke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obnovu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632709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razvoj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originalu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engleskom</w:t>
      </w:r>
      <w:r w:rsidR="00417071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jeziku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prevodu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srpski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jezik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C37096" w:rsidRPr="00BA5973" w:rsidRDefault="00BA5973" w:rsidP="00C4068A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odredbi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Predloga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uređuje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stupanje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snagu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C4068A" w:rsidRPr="00BA5973" w:rsidRDefault="00C4068A" w:rsidP="00C37096">
      <w:pPr>
        <w:pStyle w:val="Default"/>
        <w:jc w:val="both"/>
        <w:rPr>
          <w:rFonts w:ascii="Times New Roman" w:hAnsi="Times New Roman" w:cs="Times New Roman"/>
          <w:noProof/>
          <w:color w:val="auto"/>
          <w:sz w:val="18"/>
          <w:szCs w:val="18"/>
          <w:lang w:val="sr-Latn-CS"/>
        </w:rPr>
      </w:pPr>
    </w:p>
    <w:p w:rsidR="008154E2" w:rsidRPr="00BA5973" w:rsidRDefault="008154E2" w:rsidP="00C37096">
      <w:pPr>
        <w:pStyle w:val="Default"/>
        <w:jc w:val="both"/>
        <w:rPr>
          <w:rFonts w:ascii="Times New Roman" w:hAnsi="Times New Roman" w:cs="Times New Roman"/>
          <w:noProof/>
          <w:color w:val="auto"/>
          <w:sz w:val="18"/>
          <w:szCs w:val="18"/>
          <w:lang w:val="sr-Latn-CS"/>
        </w:rPr>
      </w:pPr>
    </w:p>
    <w:p w:rsidR="00C4068A" w:rsidRPr="00BA5973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IV.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FINANSIJSKE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OBAVEZE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PROCENA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FINANSIJSKIH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SREDSTAVA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KOJA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NASTAJU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IZVRŠAVANJEM</w:t>
      </w: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BA5973">
        <w:rPr>
          <w:rFonts w:ascii="Times New Roman" w:hAnsi="Times New Roman" w:cs="Times New Roman"/>
          <w:noProof/>
          <w:color w:val="auto"/>
          <w:lang w:val="sr-Latn-CS"/>
        </w:rPr>
        <w:t>ZAKONA</w:t>
      </w:r>
    </w:p>
    <w:p w:rsidR="00C37096" w:rsidRPr="00BA5973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sz w:val="18"/>
          <w:szCs w:val="18"/>
          <w:lang w:val="sr-Latn-CS"/>
        </w:rPr>
      </w:pPr>
      <w:r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</w:p>
    <w:p w:rsidR="00C37096" w:rsidRPr="00BA5973" w:rsidRDefault="00BA5973" w:rsidP="00C4068A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sprovođenje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zakona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obezbeđivaće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sredstva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budžetu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Republike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Srbije</w:t>
      </w:r>
      <w:r w:rsidR="00C37096" w:rsidRPr="00BA5973">
        <w:rPr>
          <w:rFonts w:ascii="Times New Roman" w:hAnsi="Times New Roman" w:cs="Times New Roman"/>
          <w:noProof/>
          <w:color w:val="auto"/>
          <w:lang w:val="sr-Latn-CS"/>
        </w:rPr>
        <w:t xml:space="preserve">. </w:t>
      </w:r>
    </w:p>
    <w:p w:rsidR="00953D76" w:rsidRPr="00BA5973" w:rsidRDefault="00953D76" w:rsidP="00C4068A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:rsidR="00953D76" w:rsidRPr="00BA5973" w:rsidRDefault="00953D76" w:rsidP="00953D76">
      <w:pPr>
        <w:ind w:firstLine="720"/>
        <w:jc w:val="both"/>
        <w:rPr>
          <w:noProof/>
          <w:lang w:val="sr-Latn-CS"/>
        </w:rPr>
      </w:pPr>
      <w:r w:rsidRPr="00BA5973">
        <w:rPr>
          <w:noProof/>
          <w:lang w:val="sr-Latn-CS"/>
        </w:rPr>
        <w:t xml:space="preserve">V. </w:t>
      </w:r>
      <w:r w:rsidR="00BA5973">
        <w:rPr>
          <w:noProof/>
          <w:lang w:val="sr-Latn-CS"/>
        </w:rPr>
        <w:t>RAZLOZI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ZA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DONOŠENJE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ZAKONA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HITNOM</w:t>
      </w:r>
      <w:r w:rsidRPr="00BA5973">
        <w:rPr>
          <w:noProof/>
          <w:lang w:val="sr-Latn-CS"/>
        </w:rPr>
        <w:t xml:space="preserve"> </w:t>
      </w:r>
      <w:r w:rsidR="00BA5973">
        <w:rPr>
          <w:noProof/>
          <w:lang w:val="sr-Latn-CS"/>
        </w:rPr>
        <w:t>POSTUPKU</w:t>
      </w:r>
    </w:p>
    <w:p w:rsidR="00953D76" w:rsidRPr="00BA5973" w:rsidRDefault="00953D76" w:rsidP="00953D76">
      <w:pPr>
        <w:ind w:firstLine="720"/>
        <w:jc w:val="both"/>
        <w:rPr>
          <w:noProof/>
          <w:sz w:val="18"/>
          <w:szCs w:val="18"/>
          <w:lang w:val="sr-Latn-CS"/>
        </w:rPr>
      </w:pPr>
    </w:p>
    <w:p w:rsidR="00953D76" w:rsidRPr="00BA5973" w:rsidRDefault="00BA5973" w:rsidP="00953D7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53D76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53D76" w:rsidRPr="00BA5973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953D76" w:rsidRPr="00BA5973">
        <w:rPr>
          <w:noProof/>
          <w:lang w:val="sr-Latn-CS"/>
        </w:rPr>
        <w:t xml:space="preserve"> </w:t>
      </w:r>
      <w:r w:rsidR="00953D76" w:rsidRPr="00BA5973">
        <w:rPr>
          <w:rFonts w:ascii="ArialMT" w:hAnsi="ArialMT" w:cs="ArialMT"/>
          <w:noProof/>
          <w:lang w:val="sr-Latn-CS"/>
        </w:rPr>
        <w:t>(„</w:t>
      </w:r>
      <w:r>
        <w:rPr>
          <w:rFonts w:ascii="ArialMT" w:hAnsi="ArialMT" w:cs="ArialMT"/>
          <w:noProof/>
          <w:lang w:val="sr-Latn-CS"/>
        </w:rPr>
        <w:t>Službeni</w:t>
      </w:r>
      <w:r w:rsidR="00953D76" w:rsidRPr="00BA5973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glasnik</w:t>
      </w:r>
      <w:r w:rsidR="00953D76" w:rsidRPr="00BA5973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RS</w:t>
      </w:r>
      <w:r w:rsidR="00953D76" w:rsidRPr="00BA5973">
        <w:rPr>
          <w:rFonts w:ascii="ArialMT" w:hAnsi="ArialMT" w:cs="ArialMT"/>
          <w:noProof/>
          <w:lang w:val="sr-Latn-CS"/>
        </w:rPr>
        <w:t xml:space="preserve">”, </w:t>
      </w:r>
      <w:r>
        <w:rPr>
          <w:rFonts w:ascii="ArialMT" w:hAnsi="ArialMT" w:cs="ArialMT"/>
          <w:noProof/>
          <w:lang w:val="sr-Latn-CS"/>
        </w:rPr>
        <w:t>broj</w:t>
      </w:r>
      <w:r w:rsidR="00953D76" w:rsidRPr="00BA5973">
        <w:rPr>
          <w:rFonts w:ascii="ArialMT" w:hAnsi="ArialMT" w:cs="ArialMT"/>
          <w:noProof/>
          <w:lang w:val="sr-Latn-CS"/>
        </w:rPr>
        <w:t xml:space="preserve"> 20/12 </w:t>
      </w:r>
      <w:r w:rsidR="00476B59" w:rsidRPr="00BA5973">
        <w:rPr>
          <w:rFonts w:ascii="ArialMT" w:hAnsi="ArialMT" w:cs="ArialMT"/>
          <w:noProof/>
          <w:lang w:val="sr-Latn-CS"/>
        </w:rPr>
        <w:t>–</w:t>
      </w:r>
      <w:r w:rsidR="00953D76" w:rsidRPr="00BA5973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prečišćen</w:t>
      </w:r>
      <w:r w:rsidR="00953D76" w:rsidRPr="00BA5973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tekst</w:t>
      </w:r>
      <w:r w:rsidR="00953D76" w:rsidRPr="00BA5973">
        <w:rPr>
          <w:rFonts w:ascii="ArialMT" w:hAnsi="ArialMT" w:cs="ArialMT"/>
          <w:noProof/>
          <w:lang w:val="sr-Latn-CS"/>
        </w:rPr>
        <w:t xml:space="preserve">), </w:t>
      </w:r>
      <w:r>
        <w:rPr>
          <w:noProof/>
          <w:lang w:val="sr-Latn-CS"/>
        </w:rPr>
        <w:t>proizilaze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953D76" w:rsidRPr="00BA5973">
        <w:rPr>
          <w:noProof/>
          <w:lang w:val="sr-Latn-CS"/>
        </w:rPr>
        <w:t xml:space="preserve">, </w:t>
      </w:r>
      <w:r>
        <w:rPr>
          <w:noProof/>
          <w:lang w:val="sr-Latn-CS"/>
        </w:rPr>
        <w:t>uslovljeni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stupanjem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53D76" w:rsidRPr="00BA5973">
        <w:rPr>
          <w:noProof/>
          <w:lang w:val="sr-Latn-CS"/>
        </w:rPr>
        <w:t xml:space="preserve"> </w:t>
      </w:r>
      <w:r>
        <w:rPr>
          <w:noProof/>
          <w:lang w:val="sr-Latn-CS"/>
        </w:rPr>
        <w:t>zajmu</w:t>
      </w:r>
      <w:r w:rsidR="00953D76" w:rsidRPr="00BA5973">
        <w:rPr>
          <w:noProof/>
          <w:lang w:val="sr-Latn-CS"/>
        </w:rPr>
        <w:t>.</w:t>
      </w:r>
    </w:p>
    <w:p w:rsidR="00C37096" w:rsidRPr="00BA5973" w:rsidRDefault="00C37096" w:rsidP="00C37096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sectPr w:rsidR="00C37096" w:rsidRPr="00BA5973" w:rsidSect="004A1F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B9" w:rsidRDefault="004E40B9" w:rsidP="00FB0673">
      <w:r>
        <w:separator/>
      </w:r>
    </w:p>
  </w:endnote>
  <w:endnote w:type="continuationSeparator" w:id="0">
    <w:p w:rsidR="004E40B9" w:rsidRDefault="004E40B9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64" w:rsidRDefault="004A1F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911746427"/>
      <w:docPartObj>
        <w:docPartGallery w:val="Page Numbers (Bottom of Page)"/>
        <w:docPartUnique/>
      </w:docPartObj>
    </w:sdtPr>
    <w:sdtEndPr/>
    <w:sdtContent>
      <w:p w:rsidR="004A1F64" w:rsidRPr="00BA5973" w:rsidRDefault="004A1F64">
        <w:pPr>
          <w:pStyle w:val="Footer"/>
          <w:jc w:val="center"/>
          <w:rPr>
            <w:noProof/>
            <w:lang w:val="sr-Latn-CS"/>
          </w:rPr>
        </w:pPr>
        <w:r w:rsidRPr="00BA5973">
          <w:rPr>
            <w:noProof/>
            <w:lang w:val="sr-Latn-CS"/>
          </w:rPr>
          <w:fldChar w:fldCharType="begin"/>
        </w:r>
        <w:r w:rsidRPr="00BA5973">
          <w:rPr>
            <w:noProof/>
            <w:lang w:val="sr-Latn-CS"/>
          </w:rPr>
          <w:instrText xml:space="preserve"> PAGE   \* MERGEFORMAT </w:instrText>
        </w:r>
        <w:r w:rsidRPr="00BA5973">
          <w:rPr>
            <w:noProof/>
            <w:lang w:val="sr-Latn-CS"/>
          </w:rPr>
          <w:fldChar w:fldCharType="separate"/>
        </w:r>
        <w:r w:rsidR="00BA5973">
          <w:rPr>
            <w:noProof/>
            <w:lang w:val="sr-Latn-CS"/>
          </w:rPr>
          <w:t>3</w:t>
        </w:r>
        <w:r w:rsidRPr="00BA5973">
          <w:rPr>
            <w:noProof/>
            <w:lang w:val="sr-Latn-CS"/>
          </w:rPr>
          <w:fldChar w:fldCharType="end"/>
        </w:r>
      </w:p>
    </w:sdtContent>
  </w:sdt>
  <w:p w:rsidR="00DB72BA" w:rsidRPr="00BA5973" w:rsidRDefault="00DB72B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64" w:rsidRDefault="004A1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B9" w:rsidRDefault="004E40B9" w:rsidP="00FB0673">
      <w:r>
        <w:separator/>
      </w:r>
    </w:p>
  </w:footnote>
  <w:footnote w:type="continuationSeparator" w:id="0">
    <w:p w:rsidR="004E40B9" w:rsidRDefault="004E40B9" w:rsidP="00FB0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64" w:rsidRDefault="004A1F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64" w:rsidRDefault="004A1F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F64" w:rsidRDefault="004A1F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02B16"/>
    <w:rsid w:val="000139EF"/>
    <w:rsid w:val="0002178B"/>
    <w:rsid w:val="00035F80"/>
    <w:rsid w:val="00060151"/>
    <w:rsid w:val="00065F25"/>
    <w:rsid w:val="000B1BB9"/>
    <w:rsid w:val="000F35BD"/>
    <w:rsid w:val="000F4A6B"/>
    <w:rsid w:val="001161E1"/>
    <w:rsid w:val="001A272D"/>
    <w:rsid w:val="001A2833"/>
    <w:rsid w:val="001A6885"/>
    <w:rsid w:val="001B7213"/>
    <w:rsid w:val="001D2B24"/>
    <w:rsid w:val="001D3473"/>
    <w:rsid w:val="0020094D"/>
    <w:rsid w:val="00264296"/>
    <w:rsid w:val="002A3DED"/>
    <w:rsid w:val="002C7E1F"/>
    <w:rsid w:val="00325021"/>
    <w:rsid w:val="00333E37"/>
    <w:rsid w:val="0039315B"/>
    <w:rsid w:val="00402772"/>
    <w:rsid w:val="00417071"/>
    <w:rsid w:val="00445C07"/>
    <w:rsid w:val="00452F35"/>
    <w:rsid w:val="00453784"/>
    <w:rsid w:val="00472751"/>
    <w:rsid w:val="00476B59"/>
    <w:rsid w:val="004A1F64"/>
    <w:rsid w:val="004E40B9"/>
    <w:rsid w:val="005426CB"/>
    <w:rsid w:val="00551517"/>
    <w:rsid w:val="00553897"/>
    <w:rsid w:val="005A5C24"/>
    <w:rsid w:val="005C3100"/>
    <w:rsid w:val="005C324C"/>
    <w:rsid w:val="005E6B5C"/>
    <w:rsid w:val="00632709"/>
    <w:rsid w:val="0066629E"/>
    <w:rsid w:val="00686705"/>
    <w:rsid w:val="006D19AC"/>
    <w:rsid w:val="006D530E"/>
    <w:rsid w:val="00704B57"/>
    <w:rsid w:val="00743AC2"/>
    <w:rsid w:val="00747569"/>
    <w:rsid w:val="0075062E"/>
    <w:rsid w:val="007547DB"/>
    <w:rsid w:val="00767A5B"/>
    <w:rsid w:val="007A4C03"/>
    <w:rsid w:val="007C53DB"/>
    <w:rsid w:val="00804766"/>
    <w:rsid w:val="008154E2"/>
    <w:rsid w:val="008161DF"/>
    <w:rsid w:val="00881FF6"/>
    <w:rsid w:val="008A01E4"/>
    <w:rsid w:val="008B1475"/>
    <w:rsid w:val="008B35AE"/>
    <w:rsid w:val="008B6925"/>
    <w:rsid w:val="0090773A"/>
    <w:rsid w:val="0092778D"/>
    <w:rsid w:val="00953D76"/>
    <w:rsid w:val="0095404F"/>
    <w:rsid w:val="009651E5"/>
    <w:rsid w:val="009A1A16"/>
    <w:rsid w:val="009C0E55"/>
    <w:rsid w:val="00A2629B"/>
    <w:rsid w:val="00A7063E"/>
    <w:rsid w:val="00A86F50"/>
    <w:rsid w:val="00AC4993"/>
    <w:rsid w:val="00AD7908"/>
    <w:rsid w:val="00AE43B6"/>
    <w:rsid w:val="00AF27C3"/>
    <w:rsid w:val="00B40258"/>
    <w:rsid w:val="00B667AC"/>
    <w:rsid w:val="00B770E3"/>
    <w:rsid w:val="00B95611"/>
    <w:rsid w:val="00BA5973"/>
    <w:rsid w:val="00BC3EF4"/>
    <w:rsid w:val="00C2281F"/>
    <w:rsid w:val="00C37096"/>
    <w:rsid w:val="00C4068A"/>
    <w:rsid w:val="00C658C5"/>
    <w:rsid w:val="00C73857"/>
    <w:rsid w:val="00C7701F"/>
    <w:rsid w:val="00D35F36"/>
    <w:rsid w:val="00D44C60"/>
    <w:rsid w:val="00D53D06"/>
    <w:rsid w:val="00D6563D"/>
    <w:rsid w:val="00D74979"/>
    <w:rsid w:val="00DB72BA"/>
    <w:rsid w:val="00DD364E"/>
    <w:rsid w:val="00E1005A"/>
    <w:rsid w:val="00E235EC"/>
    <w:rsid w:val="00E33573"/>
    <w:rsid w:val="00EA1AD1"/>
    <w:rsid w:val="00EC1E24"/>
    <w:rsid w:val="00EF0027"/>
    <w:rsid w:val="00F163C6"/>
    <w:rsid w:val="00F25359"/>
    <w:rsid w:val="00F35ABC"/>
    <w:rsid w:val="00F54C89"/>
    <w:rsid w:val="00FB0673"/>
    <w:rsid w:val="00FC01FF"/>
    <w:rsid w:val="00FC1276"/>
    <w:rsid w:val="00FD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0C5949-EA31-4A38-98FF-3D539F22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D19A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1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Bojan Grgic</cp:lastModifiedBy>
  <cp:revision>2</cp:revision>
  <cp:lastPrinted>2021-07-07T10:03:00Z</cp:lastPrinted>
  <dcterms:created xsi:type="dcterms:W3CDTF">2021-07-09T14:33:00Z</dcterms:created>
  <dcterms:modified xsi:type="dcterms:W3CDTF">2021-07-09T14:33:00Z</dcterms:modified>
</cp:coreProperties>
</file>